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39083">
      <w:pPr>
        <w:rPr>
          <w:rFonts w:hint="default" w:ascii="Times New Roman" w:hAnsi="Times New Roman" w:eastAsia="仿宋_GB2312" w:cs="Times New Roman"/>
          <w:color w:val="auto"/>
          <w:spacing w:val="0"/>
          <w:position w:val="0"/>
          <w:sz w:val="36"/>
          <w:szCs w:val="36"/>
        </w:rPr>
      </w:pPr>
    </w:p>
    <w:p w14:paraId="580BDA1D">
      <w:pPr>
        <w:rPr>
          <w:rFonts w:hint="default" w:ascii="Times New Roman" w:hAnsi="Times New Roman" w:eastAsia="仿宋_GB2312" w:cs="Times New Roman"/>
          <w:color w:val="auto"/>
          <w:spacing w:val="0"/>
          <w:position w:val="0"/>
          <w:sz w:val="36"/>
          <w:szCs w:val="36"/>
        </w:rPr>
      </w:pPr>
    </w:p>
    <w:p w14:paraId="59BB7349">
      <w:pPr>
        <w:rPr>
          <w:rFonts w:hint="default" w:ascii="Times New Roman" w:hAnsi="Times New Roman" w:eastAsia="仿宋_GB2312" w:cs="Times New Roman"/>
          <w:color w:val="auto"/>
          <w:spacing w:val="0"/>
          <w:position w:val="0"/>
          <w:sz w:val="36"/>
          <w:szCs w:val="36"/>
        </w:rPr>
      </w:pPr>
    </w:p>
    <w:p w14:paraId="07428ED1">
      <w:pPr>
        <w:rPr>
          <w:rFonts w:hint="default" w:ascii="Times New Roman" w:hAnsi="Times New Roman" w:eastAsia="仿宋_GB2312" w:cs="Times New Roman"/>
          <w:color w:val="auto"/>
          <w:spacing w:val="0"/>
          <w:position w:val="0"/>
          <w:sz w:val="36"/>
          <w:szCs w:val="36"/>
        </w:rPr>
      </w:pPr>
    </w:p>
    <w:p w14:paraId="1F6D8C7E">
      <w:pPr>
        <w:rPr>
          <w:rFonts w:hint="default" w:ascii="Times New Roman" w:hAnsi="Times New Roman" w:eastAsia="仿宋_GB2312" w:cs="Times New Roman"/>
          <w:color w:val="auto"/>
          <w:spacing w:val="0"/>
          <w:position w:val="0"/>
          <w:sz w:val="36"/>
          <w:szCs w:val="36"/>
        </w:rPr>
      </w:pPr>
    </w:p>
    <w:p w14:paraId="48B389D3">
      <w:pPr>
        <w:adjustRightInd w:val="0"/>
        <w:snapToGrid w:val="0"/>
        <w:jc w:val="center"/>
        <w:rPr>
          <w:rFonts w:hint="default" w:ascii="Times New Roman" w:hAnsi="Times New Roman" w:eastAsia="方正小标宋_GBK" w:cs="Times New Roman"/>
          <w:bCs/>
          <w:color w:val="auto"/>
          <w:spacing w:val="0"/>
          <w:position w:val="0"/>
          <w:sz w:val="72"/>
          <w:szCs w:val="72"/>
        </w:rPr>
      </w:pPr>
      <w:r>
        <w:rPr>
          <w:rFonts w:hint="default" w:ascii="Times New Roman" w:hAnsi="Times New Roman" w:eastAsia="方正小标宋_GBK" w:cs="Times New Roman"/>
          <w:bCs/>
          <w:color w:val="auto"/>
          <w:spacing w:val="0"/>
          <w:position w:val="0"/>
          <w:sz w:val="72"/>
          <w:szCs w:val="72"/>
        </w:rPr>
        <w:t>建设项目环境影响报告表</w:t>
      </w:r>
    </w:p>
    <w:p w14:paraId="2ABB4B81">
      <w:pPr>
        <w:adjustRightInd w:val="0"/>
        <w:snapToGrid w:val="0"/>
        <w:spacing w:before="192" w:beforeLines="80"/>
        <w:jc w:val="center"/>
        <w:rPr>
          <w:rFonts w:hint="default" w:ascii="Times New Roman" w:hAnsi="Times New Roman" w:eastAsia="华文仿宋" w:cs="Times New Roman"/>
          <w:color w:val="auto"/>
          <w:spacing w:val="0"/>
          <w:kern w:val="44"/>
          <w:position w:val="0"/>
          <w:sz w:val="44"/>
          <w:szCs w:val="44"/>
        </w:rPr>
      </w:pPr>
      <w:r>
        <w:rPr>
          <w:rFonts w:hint="eastAsia" w:eastAsia="楷体_GB2312" w:cs="Times New Roman"/>
          <w:bCs/>
          <w:color w:val="auto"/>
          <w:spacing w:val="0"/>
          <w:position w:val="0"/>
          <w:sz w:val="48"/>
          <w:szCs w:val="48"/>
          <w:lang w:eastAsia="zh-CN"/>
        </w:rPr>
        <w:t>（</w:t>
      </w:r>
      <w:r>
        <w:rPr>
          <w:rFonts w:hint="default" w:ascii="Times New Roman" w:hAnsi="Times New Roman" w:eastAsia="楷体_GB2312" w:cs="Times New Roman"/>
          <w:bCs/>
          <w:color w:val="auto"/>
          <w:spacing w:val="0"/>
          <w:position w:val="0"/>
          <w:sz w:val="48"/>
          <w:szCs w:val="48"/>
        </w:rPr>
        <w:t>污染影响类）</w:t>
      </w:r>
    </w:p>
    <w:p w14:paraId="6E4C6442">
      <w:pPr>
        <w:jc w:val="center"/>
        <w:rPr>
          <w:rFonts w:hint="default" w:ascii="Times New Roman" w:hAnsi="Times New Roman" w:eastAsia="仿宋" w:cs="Times New Roman"/>
          <w:color w:val="auto"/>
          <w:spacing w:val="0"/>
          <w:position w:val="0"/>
          <w:sz w:val="52"/>
          <w:szCs w:val="52"/>
        </w:rPr>
      </w:pPr>
    </w:p>
    <w:p w14:paraId="2F677953">
      <w:pPr>
        <w:jc w:val="center"/>
        <w:rPr>
          <w:rFonts w:hint="default" w:ascii="Times New Roman" w:hAnsi="Times New Roman" w:eastAsia="仿宋" w:cs="Times New Roman"/>
          <w:color w:val="auto"/>
          <w:spacing w:val="0"/>
          <w:position w:val="0"/>
          <w:sz w:val="52"/>
          <w:szCs w:val="52"/>
        </w:rPr>
      </w:pPr>
    </w:p>
    <w:p w14:paraId="3F2B2B09">
      <w:pPr>
        <w:jc w:val="center"/>
        <w:rPr>
          <w:rFonts w:hint="default" w:ascii="Times New Roman" w:hAnsi="Times New Roman" w:eastAsia="仿宋" w:cs="Times New Roman"/>
          <w:color w:val="auto"/>
          <w:spacing w:val="0"/>
          <w:position w:val="0"/>
          <w:sz w:val="52"/>
          <w:szCs w:val="52"/>
        </w:rPr>
      </w:pPr>
    </w:p>
    <w:p w14:paraId="0DE04D30">
      <w:pPr>
        <w:pStyle w:val="15"/>
        <w:rPr>
          <w:rFonts w:hint="default" w:ascii="Times New Roman" w:hAnsi="Times New Roman" w:eastAsia="仿宋" w:cs="Times New Roman"/>
          <w:color w:val="auto"/>
          <w:spacing w:val="0"/>
          <w:position w:val="0"/>
          <w:sz w:val="52"/>
          <w:szCs w:val="52"/>
        </w:rPr>
      </w:pPr>
    </w:p>
    <w:p w14:paraId="58943796">
      <w:pPr>
        <w:rPr>
          <w:rFonts w:hint="default" w:ascii="Times New Roman" w:hAnsi="Times New Roman" w:eastAsia="仿宋" w:cs="Times New Roman"/>
          <w:color w:val="auto"/>
          <w:spacing w:val="0"/>
          <w:position w:val="0"/>
          <w:sz w:val="52"/>
          <w:szCs w:val="52"/>
        </w:rPr>
      </w:pPr>
    </w:p>
    <w:p w14:paraId="02401757">
      <w:pPr>
        <w:pStyle w:val="15"/>
        <w:rPr>
          <w:rFonts w:hint="default" w:ascii="Times New Roman" w:hAnsi="Times New Roman" w:eastAsia="仿宋" w:cs="Times New Roman"/>
          <w:color w:val="auto"/>
          <w:spacing w:val="0"/>
          <w:position w:val="0"/>
          <w:sz w:val="52"/>
          <w:szCs w:val="52"/>
        </w:rPr>
      </w:pPr>
    </w:p>
    <w:p w14:paraId="29A24E15">
      <w:pPr>
        <w:rPr>
          <w:rFonts w:hint="default" w:ascii="Times New Roman" w:hAnsi="Times New Roman" w:eastAsia="仿宋" w:cs="Times New Roman"/>
          <w:color w:val="auto"/>
          <w:spacing w:val="0"/>
          <w:position w:val="0"/>
          <w:sz w:val="52"/>
          <w:szCs w:val="52"/>
        </w:rPr>
      </w:pPr>
    </w:p>
    <w:p w14:paraId="04532BBC">
      <w:pPr>
        <w:pStyle w:val="15"/>
        <w:rPr>
          <w:rFonts w:hint="default" w:ascii="Times New Roman" w:hAnsi="Times New Roman" w:eastAsia="仿宋" w:cs="Times New Roman"/>
          <w:color w:val="auto"/>
          <w:spacing w:val="0"/>
          <w:position w:val="0"/>
          <w:sz w:val="52"/>
          <w:szCs w:val="52"/>
        </w:rPr>
      </w:pPr>
    </w:p>
    <w:p w14:paraId="1C5A3A9A">
      <w:pPr>
        <w:rPr>
          <w:rFonts w:hint="default"/>
        </w:rPr>
      </w:pPr>
    </w:p>
    <w:p w14:paraId="2112A5A3">
      <w:pPr>
        <w:rPr>
          <w:rFonts w:hint="default"/>
        </w:rPr>
      </w:pPr>
    </w:p>
    <w:p w14:paraId="5C2441BC">
      <w:pPr>
        <w:jc w:val="center"/>
        <w:rPr>
          <w:rFonts w:hint="default" w:ascii="Times New Roman" w:hAnsi="Times New Roman" w:eastAsia="仿宋" w:cs="Times New Roman"/>
          <w:color w:val="auto"/>
          <w:spacing w:val="0"/>
          <w:position w:val="0"/>
          <w:sz w:val="52"/>
          <w:szCs w:val="52"/>
        </w:rPr>
      </w:pPr>
    </w:p>
    <w:tbl>
      <w:tblPr>
        <w:tblStyle w:val="2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93"/>
        <w:gridCol w:w="5515"/>
      </w:tblGrid>
      <w:tr w14:paraId="635CA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31" w:hRule="atLeast"/>
          <w:jc w:val="center"/>
        </w:trPr>
        <w:tc>
          <w:tcPr>
            <w:tcW w:w="1893" w:type="dxa"/>
            <w:tcBorders>
              <w:bottom w:val="nil"/>
              <w:tl2br w:val="nil"/>
              <w:tr2bl w:val="nil"/>
            </w:tcBorders>
            <w:vAlign w:val="center"/>
          </w:tcPr>
          <w:p w14:paraId="03AF345D">
            <w:pPr>
              <w:rPr>
                <w:rFonts w:hint="default" w:ascii="Times New Roman" w:hAnsi="Times New Roman" w:eastAsia="仿宋" w:cs="Times New Roman"/>
                <w:b/>
                <w:bCs/>
                <w:color w:val="auto"/>
                <w:spacing w:val="0"/>
                <w:position w:val="0"/>
                <w:sz w:val="28"/>
                <w:szCs w:val="28"/>
                <w:vertAlign w:val="baseline"/>
              </w:rPr>
            </w:pPr>
            <w:r>
              <w:rPr>
                <w:rFonts w:hint="default" w:ascii="Times New Roman" w:hAnsi="Times New Roman" w:eastAsia="仿宋" w:cs="Times New Roman"/>
                <w:b/>
                <w:bCs/>
                <w:color w:val="auto"/>
                <w:spacing w:val="0"/>
                <w:sz w:val="28"/>
                <w:szCs w:val="28"/>
                <w:vertAlign w:val="baseline"/>
                <w:lang w:val="en-US" w:eastAsia="zh-CN"/>
              </w:rPr>
              <w:t>项目名称：</w:t>
            </w:r>
          </w:p>
        </w:tc>
        <w:tc>
          <w:tcPr>
            <w:tcW w:w="5515" w:type="dxa"/>
            <w:tcBorders>
              <w:bottom w:val="single" w:color="auto" w:sz="4" w:space="0"/>
              <w:tl2br w:val="nil"/>
              <w:tr2bl w:val="nil"/>
            </w:tcBorders>
            <w:vAlign w:val="center"/>
          </w:tcPr>
          <w:p w14:paraId="1FBF87F2">
            <w:pPr>
              <w:rPr>
                <w:rFonts w:hint="default" w:ascii="Times New Roman" w:hAnsi="Times New Roman" w:eastAsia="仿宋" w:cs="Times New Roman"/>
                <w:b/>
                <w:bCs/>
                <w:color w:val="auto"/>
                <w:spacing w:val="0"/>
                <w:position w:val="0"/>
                <w:sz w:val="28"/>
                <w:szCs w:val="28"/>
                <w:vertAlign w:val="baseline"/>
              </w:rPr>
            </w:pPr>
            <w:r>
              <w:rPr>
                <w:rFonts w:hint="eastAsia" w:eastAsia="仿宋_GB2312" w:cs="Times New Roman"/>
                <w:b/>
                <w:bCs/>
                <w:color w:val="auto"/>
                <w:spacing w:val="0"/>
                <w:sz w:val="28"/>
                <w:szCs w:val="28"/>
                <w:u w:val="none"/>
                <w:lang w:val="en-US" w:eastAsia="zh-CN"/>
              </w:rPr>
              <w:t>年处理3万吨废旧光伏组件循环再利用项目</w:t>
            </w:r>
          </w:p>
        </w:tc>
      </w:tr>
      <w:tr w14:paraId="4D3B8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31" w:hRule="atLeast"/>
          <w:jc w:val="center"/>
        </w:trPr>
        <w:tc>
          <w:tcPr>
            <w:tcW w:w="1893" w:type="dxa"/>
            <w:tcBorders>
              <w:top w:val="nil"/>
              <w:tl2br w:val="nil"/>
              <w:tr2bl w:val="nil"/>
            </w:tcBorders>
            <w:vAlign w:val="center"/>
          </w:tcPr>
          <w:p w14:paraId="4473B15D">
            <w:pPr>
              <w:rPr>
                <w:rFonts w:hint="default" w:ascii="Times New Roman" w:hAnsi="Times New Roman" w:eastAsia="仿宋" w:cs="Times New Roman"/>
                <w:b/>
                <w:bCs/>
                <w:color w:val="auto"/>
                <w:spacing w:val="0"/>
                <w:position w:val="0"/>
                <w:sz w:val="28"/>
                <w:szCs w:val="28"/>
                <w:vertAlign w:val="baseline"/>
              </w:rPr>
            </w:pPr>
            <w:r>
              <w:rPr>
                <w:rFonts w:hint="default" w:ascii="Times New Roman" w:hAnsi="Times New Roman" w:eastAsia="仿宋_GB2312" w:cs="Times New Roman"/>
                <w:b/>
                <w:bCs/>
                <w:color w:val="auto"/>
                <w:spacing w:val="0"/>
                <w:sz w:val="28"/>
                <w:szCs w:val="28"/>
                <w:u w:val="none"/>
                <w:lang w:val="en-US" w:eastAsia="zh-CN"/>
              </w:rPr>
              <w:t>建设单位：</w:t>
            </w:r>
          </w:p>
        </w:tc>
        <w:tc>
          <w:tcPr>
            <w:tcW w:w="5515" w:type="dxa"/>
            <w:tcBorders>
              <w:top w:val="single" w:color="auto" w:sz="4" w:space="0"/>
              <w:bottom w:val="single" w:color="auto" w:sz="4" w:space="0"/>
              <w:tl2br w:val="nil"/>
              <w:tr2bl w:val="nil"/>
            </w:tcBorders>
            <w:vAlign w:val="center"/>
          </w:tcPr>
          <w:p w14:paraId="26D274CD">
            <w:pPr>
              <w:rPr>
                <w:rFonts w:hint="default" w:ascii="Times New Roman" w:hAnsi="Times New Roman" w:eastAsia="仿宋" w:cs="Times New Roman"/>
                <w:b/>
                <w:bCs/>
                <w:color w:val="auto"/>
                <w:spacing w:val="0"/>
                <w:position w:val="0"/>
                <w:sz w:val="28"/>
                <w:szCs w:val="28"/>
                <w:vertAlign w:val="baseline"/>
              </w:rPr>
            </w:pPr>
            <w:r>
              <w:rPr>
                <w:rFonts w:hint="eastAsia" w:eastAsia="仿宋_GB2312" w:cs="Times New Roman"/>
                <w:b/>
                <w:bCs/>
                <w:color w:val="auto"/>
                <w:spacing w:val="0"/>
                <w:sz w:val="28"/>
                <w:szCs w:val="28"/>
                <w:u w:val="none"/>
                <w:lang w:val="en-US" w:eastAsia="zh-CN"/>
              </w:rPr>
              <w:t>安徽合丰卓盛新能源科技有限公司</w:t>
            </w:r>
          </w:p>
        </w:tc>
      </w:tr>
      <w:tr w14:paraId="21E53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1893" w:type="dxa"/>
            <w:tcBorders>
              <w:tl2br w:val="nil"/>
              <w:tr2bl w:val="nil"/>
            </w:tcBorders>
            <w:vAlign w:val="center"/>
          </w:tcPr>
          <w:p w14:paraId="75113164">
            <w:pPr>
              <w:rPr>
                <w:rFonts w:hint="default" w:ascii="Times New Roman" w:hAnsi="Times New Roman" w:eastAsia="仿宋" w:cs="Times New Roman"/>
                <w:b/>
                <w:bCs/>
                <w:color w:val="auto"/>
                <w:spacing w:val="0"/>
                <w:position w:val="0"/>
                <w:sz w:val="28"/>
                <w:szCs w:val="28"/>
                <w:vertAlign w:val="baseline"/>
              </w:rPr>
            </w:pPr>
            <w:r>
              <w:rPr>
                <w:rFonts w:hint="default" w:ascii="Times New Roman" w:hAnsi="Times New Roman" w:eastAsia="仿宋" w:cs="Times New Roman"/>
                <w:b/>
                <w:bCs/>
                <w:color w:val="auto"/>
                <w:spacing w:val="0"/>
                <w:sz w:val="28"/>
                <w:szCs w:val="28"/>
                <w:vertAlign w:val="baseline"/>
                <w:lang w:val="en-US" w:eastAsia="zh-CN"/>
              </w:rPr>
              <w:t>编制日期：</w:t>
            </w:r>
          </w:p>
        </w:tc>
        <w:tc>
          <w:tcPr>
            <w:tcW w:w="5515" w:type="dxa"/>
            <w:tcBorders>
              <w:top w:val="single" w:color="auto" w:sz="4" w:space="0"/>
              <w:bottom w:val="single" w:color="auto" w:sz="4" w:space="0"/>
              <w:tl2br w:val="nil"/>
              <w:tr2bl w:val="nil"/>
            </w:tcBorders>
            <w:vAlign w:val="center"/>
          </w:tcPr>
          <w:p w14:paraId="7C1B5C68">
            <w:pPr>
              <w:rPr>
                <w:rFonts w:hint="default" w:ascii="Times New Roman" w:hAnsi="Times New Roman" w:eastAsia="仿宋" w:cs="Times New Roman"/>
                <w:b/>
                <w:bCs/>
                <w:color w:val="auto"/>
                <w:spacing w:val="0"/>
                <w:position w:val="0"/>
                <w:sz w:val="28"/>
                <w:szCs w:val="28"/>
                <w:vertAlign w:val="baseline"/>
              </w:rPr>
            </w:pPr>
            <w:r>
              <w:rPr>
                <w:rFonts w:hint="default" w:ascii="Times New Roman" w:hAnsi="Times New Roman" w:eastAsia="仿宋_GB2312" w:cs="Times New Roman"/>
                <w:b/>
                <w:bCs/>
                <w:color w:val="auto"/>
                <w:spacing w:val="0"/>
                <w:sz w:val="28"/>
                <w:szCs w:val="28"/>
                <w:u w:val="none"/>
                <w:lang w:val="en-US" w:eastAsia="zh-CN"/>
              </w:rPr>
              <w:t>202</w:t>
            </w:r>
            <w:r>
              <w:rPr>
                <w:rFonts w:hint="eastAsia" w:ascii="Times New Roman" w:hAnsi="Times New Roman" w:eastAsia="仿宋_GB2312" w:cs="Times New Roman"/>
                <w:b/>
                <w:bCs/>
                <w:color w:val="auto"/>
                <w:spacing w:val="0"/>
                <w:sz w:val="28"/>
                <w:szCs w:val="28"/>
                <w:u w:val="none"/>
                <w:lang w:val="en-US" w:eastAsia="zh-CN"/>
              </w:rPr>
              <w:t>5</w:t>
            </w:r>
            <w:r>
              <w:rPr>
                <w:rFonts w:hint="default" w:ascii="Times New Roman" w:hAnsi="Times New Roman" w:eastAsia="仿宋_GB2312" w:cs="Times New Roman"/>
                <w:b/>
                <w:bCs/>
                <w:color w:val="auto"/>
                <w:spacing w:val="0"/>
                <w:sz w:val="28"/>
                <w:szCs w:val="28"/>
                <w:u w:val="none"/>
                <w:lang w:val="en-US" w:eastAsia="zh-CN"/>
              </w:rPr>
              <w:t>年</w:t>
            </w:r>
            <w:r>
              <w:rPr>
                <w:rFonts w:hint="eastAsia" w:eastAsia="仿宋_GB2312" w:cs="Times New Roman"/>
                <w:b/>
                <w:bCs/>
                <w:color w:val="auto"/>
                <w:spacing w:val="0"/>
                <w:sz w:val="28"/>
                <w:szCs w:val="28"/>
                <w:u w:val="none"/>
                <w:lang w:val="en-US" w:eastAsia="zh-CN"/>
              </w:rPr>
              <w:t>9</w:t>
            </w:r>
            <w:r>
              <w:rPr>
                <w:rFonts w:hint="default" w:ascii="Times New Roman" w:hAnsi="Times New Roman" w:eastAsia="仿宋_GB2312" w:cs="Times New Roman"/>
                <w:b/>
                <w:bCs/>
                <w:color w:val="auto"/>
                <w:spacing w:val="0"/>
                <w:sz w:val="28"/>
                <w:szCs w:val="28"/>
                <w:u w:val="none"/>
                <w:lang w:val="en-US" w:eastAsia="zh-CN"/>
              </w:rPr>
              <w:t>月</w:t>
            </w:r>
          </w:p>
        </w:tc>
      </w:tr>
    </w:tbl>
    <w:p w14:paraId="68481A1B">
      <w:pPr>
        <w:adjustRightInd w:val="0"/>
        <w:snapToGrid w:val="0"/>
        <w:spacing w:line="288" w:lineRule="auto"/>
        <w:ind w:firstLine="1040"/>
        <w:rPr>
          <w:rFonts w:hint="default" w:ascii="Times New Roman" w:hAnsi="Times New Roman" w:eastAsia="仿宋_GB2312" w:cs="Times New Roman"/>
          <w:color w:val="auto"/>
          <w:spacing w:val="0"/>
          <w:position w:val="0"/>
          <w:sz w:val="36"/>
          <w:szCs w:val="36"/>
        </w:rPr>
      </w:pPr>
      <w:bookmarkStart w:id="0" w:name="_Hlk57884087"/>
    </w:p>
    <w:p w14:paraId="4429990A">
      <w:pPr>
        <w:pStyle w:val="15"/>
        <w:rPr>
          <w:rFonts w:hint="default"/>
        </w:rPr>
      </w:pPr>
    </w:p>
    <w:bookmarkEnd w:id="0"/>
    <w:p w14:paraId="1184FA27">
      <w:pPr>
        <w:adjustRightInd w:val="0"/>
        <w:snapToGrid w:val="0"/>
        <w:spacing w:line="288" w:lineRule="auto"/>
        <w:jc w:val="center"/>
        <w:rPr>
          <w:rFonts w:hint="default" w:ascii="Times New Roman" w:hAnsi="Times New Roman" w:eastAsia="楷体_GB2312" w:cs="Times New Roman"/>
          <w:color w:val="auto"/>
          <w:spacing w:val="0"/>
          <w:position w:val="0"/>
          <w:sz w:val="36"/>
          <w:szCs w:val="36"/>
        </w:rPr>
      </w:pPr>
      <w:r>
        <w:rPr>
          <w:rFonts w:hint="default" w:ascii="Times New Roman" w:hAnsi="Times New Roman" w:eastAsia="楷体_GB2312" w:cs="Times New Roman"/>
          <w:color w:val="auto"/>
          <w:spacing w:val="0"/>
          <w:position w:val="0"/>
          <w:sz w:val="36"/>
          <w:szCs w:val="36"/>
        </w:rPr>
        <w:t>中华人民共和国生态环境部制</w:t>
      </w:r>
    </w:p>
    <w:p w14:paraId="357D7493">
      <w:pPr>
        <w:bidi w:val="0"/>
        <w:rPr>
          <w:rFonts w:hint="default"/>
          <w:color w:val="auto"/>
          <w:spacing w:val="0"/>
        </w:rPr>
      </w:pPr>
    </w:p>
    <w:p w14:paraId="6561A90A">
      <w:pPr>
        <w:tabs>
          <w:tab w:val="left" w:pos="3372"/>
        </w:tabs>
        <w:jc w:val="left"/>
        <w:rPr>
          <w:rFonts w:hint="default" w:ascii="Times New Roman" w:hAnsi="Times New Roman" w:cs="Times New Roman"/>
          <w:color w:val="auto"/>
          <w:spacing w:val="0"/>
          <w:position w:val="0"/>
        </w:rPr>
        <w:sectPr>
          <w:footerReference r:id="rId3" w:type="default"/>
          <w:pgSz w:w="11906" w:h="16838"/>
          <w:pgMar w:top="1701" w:right="1531" w:bottom="1701" w:left="1531" w:header="851" w:footer="1077" w:gutter="0"/>
          <w:pgBorders>
            <w:top w:val="none" w:sz="0" w:space="0"/>
            <w:left w:val="none" w:sz="0" w:space="0"/>
            <w:bottom w:val="none" w:sz="0" w:space="0"/>
            <w:right w:val="none" w:sz="0" w:space="0"/>
          </w:pgBorders>
          <w:pgNumType w:start="3"/>
          <w:cols w:space="720" w:num="1"/>
          <w:docGrid w:linePitch="312" w:charSpace="0"/>
        </w:sectPr>
      </w:pPr>
      <w:r>
        <w:rPr>
          <w:rFonts w:hint="default" w:ascii="Times New Roman" w:hAnsi="Times New Roman" w:cs="Times New Roman"/>
          <w:color w:val="auto"/>
          <w:spacing w:val="0"/>
          <w:position w:val="0"/>
        </w:rPr>
        <w:tab/>
      </w:r>
    </w:p>
    <w:p w14:paraId="4AAB76F8">
      <w:pPr>
        <w:spacing w:line="480" w:lineRule="exact"/>
        <w:jc w:val="center"/>
        <w:rPr>
          <w:rFonts w:hint="default" w:ascii="Times New Roman" w:hAnsi="Times New Roman" w:cs="Times New Roman"/>
          <w:b/>
          <w:bCs/>
          <w:snapToGrid w:val="0"/>
          <w:color w:val="auto"/>
          <w:spacing w:val="0"/>
          <w:position w:val="0"/>
          <w:sz w:val="36"/>
          <w:szCs w:val="36"/>
        </w:rPr>
      </w:pPr>
      <w:r>
        <w:rPr>
          <w:rFonts w:hint="default" w:ascii="Times New Roman" w:hAnsi="Times New Roman" w:cs="Times New Roman"/>
          <w:b/>
          <w:bCs/>
          <w:snapToGrid w:val="0"/>
          <w:color w:val="auto"/>
          <w:spacing w:val="0"/>
          <w:position w:val="0"/>
          <w:sz w:val="36"/>
          <w:szCs w:val="36"/>
        </w:rPr>
        <w:t>目</w:t>
      </w:r>
      <w:r>
        <w:rPr>
          <w:rFonts w:hint="eastAsia" w:cs="Times New Roman"/>
          <w:b/>
          <w:bCs/>
          <w:snapToGrid w:val="0"/>
          <w:color w:val="auto"/>
          <w:spacing w:val="0"/>
          <w:position w:val="0"/>
          <w:sz w:val="36"/>
          <w:szCs w:val="36"/>
          <w:lang w:val="en-US" w:eastAsia="zh-CN"/>
        </w:rPr>
        <w:t xml:space="preserve">  </w:t>
      </w:r>
      <w:r>
        <w:rPr>
          <w:rFonts w:hint="default" w:ascii="Times New Roman" w:hAnsi="Times New Roman" w:cs="Times New Roman"/>
          <w:b/>
          <w:bCs/>
          <w:snapToGrid w:val="0"/>
          <w:color w:val="auto"/>
          <w:spacing w:val="0"/>
          <w:position w:val="0"/>
          <w:sz w:val="36"/>
          <w:szCs w:val="36"/>
        </w:rPr>
        <w:t>录</w:t>
      </w:r>
    </w:p>
    <w:p w14:paraId="6DD5C0B9">
      <w:pPr>
        <w:pStyle w:val="19"/>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eastAsia="宋体" w:cs="Times New Roman"/>
          <w:b/>
          <w:bCs/>
          <w:color w:val="auto"/>
          <w:spacing w:val="0"/>
          <w:position w:val="0"/>
          <w:sz w:val="28"/>
          <w:szCs w:val="28"/>
        </w:rPr>
      </w:pPr>
    </w:p>
    <w:p w14:paraId="16FB6836">
      <w:pPr>
        <w:pStyle w:val="19"/>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firstLine="562" w:firstLineChars="200"/>
        <w:textAlignment w:val="auto"/>
        <w:rPr>
          <w:b/>
          <w:bCs/>
          <w:sz w:val="28"/>
          <w:szCs w:val="36"/>
        </w:rPr>
      </w:pPr>
      <w:r>
        <w:rPr>
          <w:rFonts w:hint="default" w:ascii="Times New Roman" w:hAnsi="Times New Roman" w:eastAsia="宋体" w:cs="Times New Roman"/>
          <w:b/>
          <w:bCs/>
          <w:color w:val="auto"/>
          <w:spacing w:val="0"/>
          <w:position w:val="0"/>
          <w:sz w:val="28"/>
          <w:szCs w:val="28"/>
        </w:rPr>
        <w:fldChar w:fldCharType="begin"/>
      </w:r>
      <w:r>
        <w:rPr>
          <w:rFonts w:hint="default" w:ascii="Times New Roman" w:hAnsi="Times New Roman" w:eastAsia="宋体" w:cs="Times New Roman"/>
          <w:b/>
          <w:bCs/>
          <w:color w:val="auto"/>
          <w:spacing w:val="0"/>
          <w:position w:val="0"/>
          <w:sz w:val="28"/>
          <w:szCs w:val="28"/>
        </w:rPr>
        <w:instrText xml:space="preserve">TOC \o "1-1" \h \u </w:instrText>
      </w:r>
      <w:r>
        <w:rPr>
          <w:rFonts w:hint="default" w:ascii="Times New Roman" w:hAnsi="Times New Roman" w:eastAsia="宋体" w:cs="Times New Roman"/>
          <w:b/>
          <w:bCs/>
          <w:color w:val="auto"/>
          <w:spacing w:val="0"/>
          <w:position w:val="0"/>
          <w:sz w:val="28"/>
          <w:szCs w:val="28"/>
        </w:rPr>
        <w:fldChar w:fldCharType="separate"/>
      </w:r>
      <w:r>
        <w:rPr>
          <w:rFonts w:hint="default" w:ascii="Times New Roman" w:hAnsi="Times New Roman" w:eastAsia="宋体" w:cs="Times New Roman"/>
          <w:b/>
          <w:bCs/>
          <w:color w:val="auto"/>
          <w:spacing w:val="0"/>
          <w:position w:val="0"/>
          <w:sz w:val="28"/>
          <w:szCs w:val="40"/>
        </w:rPr>
        <w:fldChar w:fldCharType="begin"/>
      </w:r>
      <w:r>
        <w:rPr>
          <w:rFonts w:hint="default" w:ascii="Times New Roman" w:hAnsi="Times New Roman" w:eastAsia="宋体" w:cs="Times New Roman"/>
          <w:b/>
          <w:bCs/>
          <w:spacing w:val="0"/>
          <w:position w:val="0"/>
          <w:sz w:val="28"/>
          <w:szCs w:val="40"/>
        </w:rPr>
        <w:instrText xml:space="preserve"> HYPERLINK \l _Toc31043 </w:instrText>
      </w:r>
      <w:r>
        <w:rPr>
          <w:rFonts w:hint="default" w:ascii="Times New Roman" w:hAnsi="Times New Roman" w:eastAsia="宋体" w:cs="Times New Roman"/>
          <w:b/>
          <w:bCs/>
          <w:spacing w:val="0"/>
          <w:position w:val="0"/>
          <w:sz w:val="28"/>
          <w:szCs w:val="40"/>
        </w:rPr>
        <w:fldChar w:fldCharType="separate"/>
      </w:r>
      <w:r>
        <w:rPr>
          <w:rFonts w:hint="default"/>
          <w:b/>
          <w:bCs/>
          <w:sz w:val="28"/>
          <w:szCs w:val="36"/>
          <w:lang w:val="en-US" w:eastAsia="zh-CN"/>
        </w:rPr>
        <w:t>一、建设项目基本情况</w:t>
      </w:r>
      <w:r>
        <w:rPr>
          <w:b/>
          <w:bCs/>
          <w:sz w:val="28"/>
          <w:szCs w:val="36"/>
        </w:rPr>
        <w:tab/>
      </w:r>
      <w:r>
        <w:rPr>
          <w:b/>
          <w:bCs/>
          <w:sz w:val="28"/>
          <w:szCs w:val="36"/>
        </w:rPr>
        <w:fldChar w:fldCharType="begin"/>
      </w:r>
      <w:r>
        <w:rPr>
          <w:b/>
          <w:bCs/>
          <w:sz w:val="28"/>
          <w:szCs w:val="36"/>
        </w:rPr>
        <w:instrText xml:space="preserve"> PAGEREF _Toc31043 \h </w:instrText>
      </w:r>
      <w:r>
        <w:rPr>
          <w:b/>
          <w:bCs/>
          <w:sz w:val="28"/>
          <w:szCs w:val="36"/>
        </w:rPr>
        <w:fldChar w:fldCharType="separate"/>
      </w:r>
      <w:r>
        <w:rPr>
          <w:b/>
          <w:bCs/>
          <w:sz w:val="28"/>
          <w:szCs w:val="36"/>
        </w:rPr>
        <w:t>1</w:t>
      </w:r>
      <w:r>
        <w:rPr>
          <w:b/>
          <w:bCs/>
          <w:sz w:val="28"/>
          <w:szCs w:val="36"/>
        </w:rPr>
        <w:fldChar w:fldCharType="end"/>
      </w:r>
      <w:r>
        <w:rPr>
          <w:rFonts w:hint="default" w:ascii="Times New Roman" w:hAnsi="Times New Roman" w:eastAsia="宋体" w:cs="Times New Roman"/>
          <w:b/>
          <w:bCs/>
          <w:color w:val="auto"/>
          <w:spacing w:val="0"/>
          <w:position w:val="0"/>
          <w:sz w:val="28"/>
          <w:szCs w:val="40"/>
        </w:rPr>
        <w:fldChar w:fldCharType="end"/>
      </w:r>
    </w:p>
    <w:p w14:paraId="6945FB0D">
      <w:pPr>
        <w:pStyle w:val="19"/>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firstLine="562" w:firstLineChars="200"/>
        <w:textAlignment w:val="auto"/>
        <w:rPr>
          <w:b/>
          <w:bCs/>
          <w:sz w:val="28"/>
          <w:szCs w:val="36"/>
        </w:rPr>
      </w:pPr>
      <w:r>
        <w:rPr>
          <w:rFonts w:hint="default" w:ascii="Times New Roman" w:hAnsi="Times New Roman" w:eastAsia="宋体" w:cs="Times New Roman"/>
          <w:b/>
          <w:bCs/>
          <w:color w:val="auto"/>
          <w:spacing w:val="0"/>
          <w:position w:val="0"/>
          <w:sz w:val="28"/>
          <w:szCs w:val="40"/>
        </w:rPr>
        <w:fldChar w:fldCharType="begin"/>
      </w:r>
      <w:r>
        <w:rPr>
          <w:rFonts w:hint="default" w:ascii="Times New Roman" w:hAnsi="Times New Roman" w:eastAsia="宋体" w:cs="Times New Roman"/>
          <w:b/>
          <w:bCs/>
          <w:spacing w:val="0"/>
          <w:position w:val="0"/>
          <w:sz w:val="28"/>
          <w:szCs w:val="40"/>
        </w:rPr>
        <w:instrText xml:space="preserve"> HYPERLINK \l _Toc4761 </w:instrText>
      </w:r>
      <w:r>
        <w:rPr>
          <w:rFonts w:hint="default" w:ascii="Times New Roman" w:hAnsi="Times New Roman" w:eastAsia="宋体" w:cs="Times New Roman"/>
          <w:b/>
          <w:bCs/>
          <w:spacing w:val="0"/>
          <w:position w:val="0"/>
          <w:sz w:val="28"/>
          <w:szCs w:val="40"/>
        </w:rPr>
        <w:fldChar w:fldCharType="separate"/>
      </w:r>
      <w:r>
        <w:rPr>
          <w:rFonts w:hint="default"/>
          <w:b/>
          <w:bCs/>
          <w:sz w:val="28"/>
          <w:szCs w:val="36"/>
          <w:lang w:val="en-US" w:eastAsia="zh-CN"/>
        </w:rPr>
        <w:t>二、建设项目工程分析</w:t>
      </w:r>
      <w:r>
        <w:rPr>
          <w:b/>
          <w:bCs/>
          <w:sz w:val="28"/>
          <w:szCs w:val="36"/>
        </w:rPr>
        <w:tab/>
      </w:r>
      <w:r>
        <w:rPr>
          <w:b/>
          <w:bCs/>
          <w:sz w:val="28"/>
          <w:szCs w:val="36"/>
        </w:rPr>
        <w:fldChar w:fldCharType="begin"/>
      </w:r>
      <w:r>
        <w:rPr>
          <w:b/>
          <w:bCs/>
          <w:sz w:val="28"/>
          <w:szCs w:val="36"/>
        </w:rPr>
        <w:instrText xml:space="preserve"> PAGEREF _Toc4761 \h </w:instrText>
      </w:r>
      <w:r>
        <w:rPr>
          <w:b/>
          <w:bCs/>
          <w:sz w:val="28"/>
          <w:szCs w:val="36"/>
        </w:rPr>
        <w:fldChar w:fldCharType="separate"/>
      </w:r>
      <w:r>
        <w:rPr>
          <w:b/>
          <w:bCs/>
          <w:sz w:val="28"/>
          <w:szCs w:val="36"/>
        </w:rPr>
        <w:t>41</w:t>
      </w:r>
      <w:r>
        <w:rPr>
          <w:b/>
          <w:bCs/>
          <w:sz w:val="28"/>
          <w:szCs w:val="36"/>
        </w:rPr>
        <w:fldChar w:fldCharType="end"/>
      </w:r>
      <w:r>
        <w:rPr>
          <w:rFonts w:hint="default" w:ascii="Times New Roman" w:hAnsi="Times New Roman" w:eastAsia="宋体" w:cs="Times New Roman"/>
          <w:b/>
          <w:bCs/>
          <w:color w:val="auto"/>
          <w:spacing w:val="0"/>
          <w:position w:val="0"/>
          <w:sz w:val="28"/>
          <w:szCs w:val="40"/>
        </w:rPr>
        <w:fldChar w:fldCharType="end"/>
      </w:r>
    </w:p>
    <w:p w14:paraId="5FAA55F4">
      <w:pPr>
        <w:pStyle w:val="19"/>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firstLine="562" w:firstLineChars="200"/>
        <w:textAlignment w:val="auto"/>
        <w:rPr>
          <w:b/>
          <w:bCs/>
          <w:sz w:val="28"/>
          <w:szCs w:val="36"/>
        </w:rPr>
      </w:pPr>
      <w:r>
        <w:rPr>
          <w:rFonts w:hint="default" w:ascii="Times New Roman" w:hAnsi="Times New Roman" w:eastAsia="宋体" w:cs="Times New Roman"/>
          <w:b/>
          <w:bCs/>
          <w:color w:val="auto"/>
          <w:spacing w:val="0"/>
          <w:position w:val="0"/>
          <w:sz w:val="28"/>
          <w:szCs w:val="40"/>
        </w:rPr>
        <w:fldChar w:fldCharType="begin"/>
      </w:r>
      <w:r>
        <w:rPr>
          <w:rFonts w:hint="default" w:ascii="Times New Roman" w:hAnsi="Times New Roman" w:eastAsia="宋体" w:cs="Times New Roman"/>
          <w:b/>
          <w:bCs/>
          <w:spacing w:val="0"/>
          <w:position w:val="0"/>
          <w:sz w:val="28"/>
          <w:szCs w:val="40"/>
        </w:rPr>
        <w:instrText xml:space="preserve"> HYPERLINK \l _Toc5544 </w:instrText>
      </w:r>
      <w:r>
        <w:rPr>
          <w:rFonts w:hint="default" w:ascii="Times New Roman" w:hAnsi="Times New Roman" w:eastAsia="宋体" w:cs="Times New Roman"/>
          <w:b/>
          <w:bCs/>
          <w:spacing w:val="0"/>
          <w:position w:val="0"/>
          <w:sz w:val="28"/>
          <w:szCs w:val="40"/>
        </w:rPr>
        <w:fldChar w:fldCharType="separate"/>
      </w:r>
      <w:r>
        <w:rPr>
          <w:rFonts w:hint="default"/>
          <w:b/>
          <w:bCs/>
          <w:sz w:val="28"/>
          <w:szCs w:val="36"/>
        </w:rPr>
        <w:t>三、区域环境质量现状、环境保护目标及评价标准</w:t>
      </w:r>
      <w:r>
        <w:rPr>
          <w:b/>
          <w:bCs/>
          <w:sz w:val="28"/>
          <w:szCs w:val="36"/>
        </w:rPr>
        <w:tab/>
      </w:r>
      <w:r>
        <w:rPr>
          <w:b/>
          <w:bCs/>
          <w:sz w:val="28"/>
          <w:szCs w:val="36"/>
        </w:rPr>
        <w:fldChar w:fldCharType="begin"/>
      </w:r>
      <w:r>
        <w:rPr>
          <w:b/>
          <w:bCs/>
          <w:sz w:val="28"/>
          <w:szCs w:val="36"/>
        </w:rPr>
        <w:instrText xml:space="preserve"> PAGEREF _Toc5544 \h </w:instrText>
      </w:r>
      <w:r>
        <w:rPr>
          <w:b/>
          <w:bCs/>
          <w:sz w:val="28"/>
          <w:szCs w:val="36"/>
        </w:rPr>
        <w:fldChar w:fldCharType="separate"/>
      </w:r>
      <w:r>
        <w:rPr>
          <w:b/>
          <w:bCs/>
          <w:sz w:val="28"/>
          <w:szCs w:val="36"/>
        </w:rPr>
        <w:t>68</w:t>
      </w:r>
      <w:r>
        <w:rPr>
          <w:b/>
          <w:bCs/>
          <w:sz w:val="28"/>
          <w:szCs w:val="36"/>
        </w:rPr>
        <w:fldChar w:fldCharType="end"/>
      </w:r>
      <w:r>
        <w:rPr>
          <w:rFonts w:hint="default" w:ascii="Times New Roman" w:hAnsi="Times New Roman" w:eastAsia="宋体" w:cs="Times New Roman"/>
          <w:b/>
          <w:bCs/>
          <w:color w:val="auto"/>
          <w:spacing w:val="0"/>
          <w:position w:val="0"/>
          <w:sz w:val="28"/>
          <w:szCs w:val="40"/>
        </w:rPr>
        <w:fldChar w:fldCharType="end"/>
      </w:r>
    </w:p>
    <w:p w14:paraId="752FCD82">
      <w:pPr>
        <w:pStyle w:val="19"/>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firstLine="562" w:firstLineChars="200"/>
        <w:textAlignment w:val="auto"/>
        <w:rPr>
          <w:b/>
          <w:bCs/>
          <w:sz w:val="28"/>
          <w:szCs w:val="36"/>
        </w:rPr>
      </w:pPr>
      <w:r>
        <w:rPr>
          <w:rFonts w:hint="default" w:ascii="Times New Roman" w:hAnsi="Times New Roman" w:eastAsia="宋体" w:cs="Times New Roman"/>
          <w:b/>
          <w:bCs/>
          <w:color w:val="auto"/>
          <w:spacing w:val="0"/>
          <w:position w:val="0"/>
          <w:sz w:val="28"/>
          <w:szCs w:val="40"/>
        </w:rPr>
        <w:fldChar w:fldCharType="begin"/>
      </w:r>
      <w:r>
        <w:rPr>
          <w:rFonts w:hint="default" w:ascii="Times New Roman" w:hAnsi="Times New Roman" w:eastAsia="宋体" w:cs="Times New Roman"/>
          <w:b/>
          <w:bCs/>
          <w:spacing w:val="0"/>
          <w:position w:val="0"/>
          <w:sz w:val="28"/>
          <w:szCs w:val="40"/>
        </w:rPr>
        <w:instrText xml:space="preserve"> HYPERLINK \l _Toc9018 </w:instrText>
      </w:r>
      <w:r>
        <w:rPr>
          <w:rFonts w:hint="default" w:ascii="Times New Roman" w:hAnsi="Times New Roman" w:eastAsia="宋体" w:cs="Times New Roman"/>
          <w:b/>
          <w:bCs/>
          <w:spacing w:val="0"/>
          <w:position w:val="0"/>
          <w:sz w:val="28"/>
          <w:szCs w:val="40"/>
        </w:rPr>
        <w:fldChar w:fldCharType="separate"/>
      </w:r>
      <w:r>
        <w:rPr>
          <w:rFonts w:hint="default"/>
          <w:b/>
          <w:bCs/>
          <w:sz w:val="28"/>
          <w:szCs w:val="36"/>
        </w:rPr>
        <w:t>四、主要环境影响和保护措施</w:t>
      </w:r>
      <w:r>
        <w:rPr>
          <w:b/>
          <w:bCs/>
          <w:sz w:val="28"/>
          <w:szCs w:val="36"/>
        </w:rPr>
        <w:tab/>
      </w:r>
      <w:r>
        <w:rPr>
          <w:b/>
          <w:bCs/>
          <w:sz w:val="28"/>
          <w:szCs w:val="36"/>
        </w:rPr>
        <w:fldChar w:fldCharType="begin"/>
      </w:r>
      <w:r>
        <w:rPr>
          <w:b/>
          <w:bCs/>
          <w:sz w:val="28"/>
          <w:szCs w:val="36"/>
        </w:rPr>
        <w:instrText xml:space="preserve"> PAGEREF _Toc9018 \h </w:instrText>
      </w:r>
      <w:r>
        <w:rPr>
          <w:b/>
          <w:bCs/>
          <w:sz w:val="28"/>
          <w:szCs w:val="36"/>
        </w:rPr>
        <w:fldChar w:fldCharType="separate"/>
      </w:r>
      <w:r>
        <w:rPr>
          <w:b/>
          <w:bCs/>
          <w:sz w:val="28"/>
          <w:szCs w:val="36"/>
        </w:rPr>
        <w:t>80</w:t>
      </w:r>
      <w:r>
        <w:rPr>
          <w:b/>
          <w:bCs/>
          <w:sz w:val="28"/>
          <w:szCs w:val="36"/>
        </w:rPr>
        <w:fldChar w:fldCharType="end"/>
      </w:r>
      <w:r>
        <w:rPr>
          <w:rFonts w:hint="default" w:ascii="Times New Roman" w:hAnsi="Times New Roman" w:eastAsia="宋体" w:cs="Times New Roman"/>
          <w:b/>
          <w:bCs/>
          <w:color w:val="auto"/>
          <w:spacing w:val="0"/>
          <w:position w:val="0"/>
          <w:sz w:val="28"/>
          <w:szCs w:val="40"/>
        </w:rPr>
        <w:fldChar w:fldCharType="end"/>
      </w:r>
    </w:p>
    <w:p w14:paraId="2369B648">
      <w:pPr>
        <w:pStyle w:val="19"/>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firstLine="562" w:firstLineChars="200"/>
        <w:textAlignment w:val="auto"/>
        <w:rPr>
          <w:b/>
          <w:bCs/>
          <w:sz w:val="28"/>
          <w:szCs w:val="36"/>
        </w:rPr>
      </w:pPr>
      <w:r>
        <w:rPr>
          <w:rFonts w:hint="default" w:ascii="Times New Roman" w:hAnsi="Times New Roman" w:eastAsia="宋体" w:cs="Times New Roman"/>
          <w:b/>
          <w:bCs/>
          <w:color w:val="auto"/>
          <w:spacing w:val="0"/>
          <w:position w:val="0"/>
          <w:sz w:val="28"/>
          <w:szCs w:val="40"/>
        </w:rPr>
        <w:fldChar w:fldCharType="begin"/>
      </w:r>
      <w:r>
        <w:rPr>
          <w:rFonts w:hint="default" w:ascii="Times New Roman" w:hAnsi="Times New Roman" w:eastAsia="宋体" w:cs="Times New Roman"/>
          <w:b/>
          <w:bCs/>
          <w:spacing w:val="0"/>
          <w:position w:val="0"/>
          <w:sz w:val="28"/>
          <w:szCs w:val="40"/>
        </w:rPr>
        <w:instrText xml:space="preserve"> HYPERLINK \l _Toc27255 </w:instrText>
      </w:r>
      <w:r>
        <w:rPr>
          <w:rFonts w:hint="default" w:ascii="Times New Roman" w:hAnsi="Times New Roman" w:eastAsia="宋体" w:cs="Times New Roman"/>
          <w:b/>
          <w:bCs/>
          <w:spacing w:val="0"/>
          <w:position w:val="0"/>
          <w:sz w:val="28"/>
          <w:szCs w:val="40"/>
        </w:rPr>
        <w:fldChar w:fldCharType="separate"/>
      </w:r>
      <w:r>
        <w:rPr>
          <w:rFonts w:hint="default"/>
          <w:b/>
          <w:bCs/>
          <w:sz w:val="28"/>
          <w:szCs w:val="36"/>
        </w:rPr>
        <w:t>五、环境保护措施监督检查清单</w:t>
      </w:r>
      <w:r>
        <w:rPr>
          <w:b/>
          <w:bCs/>
          <w:sz w:val="28"/>
          <w:szCs w:val="36"/>
        </w:rPr>
        <w:tab/>
      </w:r>
      <w:r>
        <w:rPr>
          <w:b/>
          <w:bCs/>
          <w:sz w:val="28"/>
          <w:szCs w:val="36"/>
        </w:rPr>
        <w:fldChar w:fldCharType="begin"/>
      </w:r>
      <w:r>
        <w:rPr>
          <w:b/>
          <w:bCs/>
          <w:sz w:val="28"/>
          <w:szCs w:val="36"/>
        </w:rPr>
        <w:instrText xml:space="preserve"> PAGEREF _Toc27255 \h </w:instrText>
      </w:r>
      <w:r>
        <w:rPr>
          <w:b/>
          <w:bCs/>
          <w:sz w:val="28"/>
          <w:szCs w:val="36"/>
        </w:rPr>
        <w:fldChar w:fldCharType="separate"/>
      </w:r>
      <w:r>
        <w:rPr>
          <w:b/>
          <w:bCs/>
          <w:sz w:val="28"/>
          <w:szCs w:val="36"/>
        </w:rPr>
        <w:t>132</w:t>
      </w:r>
      <w:r>
        <w:rPr>
          <w:b/>
          <w:bCs/>
          <w:sz w:val="28"/>
          <w:szCs w:val="36"/>
        </w:rPr>
        <w:fldChar w:fldCharType="end"/>
      </w:r>
      <w:r>
        <w:rPr>
          <w:rFonts w:hint="default" w:ascii="Times New Roman" w:hAnsi="Times New Roman" w:eastAsia="宋体" w:cs="Times New Roman"/>
          <w:b/>
          <w:bCs/>
          <w:color w:val="auto"/>
          <w:spacing w:val="0"/>
          <w:position w:val="0"/>
          <w:sz w:val="28"/>
          <w:szCs w:val="40"/>
        </w:rPr>
        <w:fldChar w:fldCharType="end"/>
      </w:r>
    </w:p>
    <w:p w14:paraId="3904E1D5">
      <w:pPr>
        <w:pStyle w:val="19"/>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firstLine="562" w:firstLineChars="200"/>
        <w:textAlignment w:val="auto"/>
        <w:rPr>
          <w:b/>
          <w:bCs/>
          <w:sz w:val="28"/>
          <w:szCs w:val="36"/>
        </w:rPr>
      </w:pPr>
      <w:r>
        <w:rPr>
          <w:rFonts w:hint="default" w:ascii="Times New Roman" w:hAnsi="Times New Roman" w:eastAsia="宋体" w:cs="Times New Roman"/>
          <w:b/>
          <w:bCs/>
          <w:color w:val="auto"/>
          <w:spacing w:val="0"/>
          <w:position w:val="0"/>
          <w:sz w:val="28"/>
          <w:szCs w:val="40"/>
        </w:rPr>
        <w:fldChar w:fldCharType="begin"/>
      </w:r>
      <w:r>
        <w:rPr>
          <w:rFonts w:hint="default" w:ascii="Times New Roman" w:hAnsi="Times New Roman" w:eastAsia="宋体" w:cs="Times New Roman"/>
          <w:b/>
          <w:bCs/>
          <w:spacing w:val="0"/>
          <w:position w:val="0"/>
          <w:sz w:val="28"/>
          <w:szCs w:val="40"/>
        </w:rPr>
        <w:instrText xml:space="preserve"> HYPERLINK \l _Toc26714 </w:instrText>
      </w:r>
      <w:r>
        <w:rPr>
          <w:rFonts w:hint="default" w:ascii="Times New Roman" w:hAnsi="Times New Roman" w:eastAsia="宋体" w:cs="Times New Roman"/>
          <w:b/>
          <w:bCs/>
          <w:spacing w:val="0"/>
          <w:position w:val="0"/>
          <w:sz w:val="28"/>
          <w:szCs w:val="40"/>
        </w:rPr>
        <w:fldChar w:fldCharType="separate"/>
      </w:r>
      <w:r>
        <w:rPr>
          <w:rFonts w:hint="eastAsia"/>
          <w:b/>
          <w:bCs/>
          <w:sz w:val="28"/>
          <w:szCs w:val="36"/>
        </w:rPr>
        <w:t>六、结论</w:t>
      </w:r>
      <w:r>
        <w:rPr>
          <w:b/>
          <w:bCs/>
          <w:sz w:val="28"/>
          <w:szCs w:val="36"/>
        </w:rPr>
        <w:tab/>
      </w:r>
      <w:r>
        <w:rPr>
          <w:b/>
          <w:bCs/>
          <w:sz w:val="28"/>
          <w:szCs w:val="36"/>
        </w:rPr>
        <w:fldChar w:fldCharType="begin"/>
      </w:r>
      <w:r>
        <w:rPr>
          <w:b/>
          <w:bCs/>
          <w:sz w:val="28"/>
          <w:szCs w:val="36"/>
        </w:rPr>
        <w:instrText xml:space="preserve"> PAGEREF _Toc26714 \h </w:instrText>
      </w:r>
      <w:r>
        <w:rPr>
          <w:b/>
          <w:bCs/>
          <w:sz w:val="28"/>
          <w:szCs w:val="36"/>
        </w:rPr>
        <w:fldChar w:fldCharType="separate"/>
      </w:r>
      <w:r>
        <w:rPr>
          <w:b/>
          <w:bCs/>
          <w:sz w:val="28"/>
          <w:szCs w:val="36"/>
        </w:rPr>
        <w:t>135</w:t>
      </w:r>
      <w:r>
        <w:rPr>
          <w:b/>
          <w:bCs/>
          <w:sz w:val="28"/>
          <w:szCs w:val="36"/>
        </w:rPr>
        <w:fldChar w:fldCharType="end"/>
      </w:r>
      <w:r>
        <w:rPr>
          <w:rFonts w:hint="default" w:ascii="Times New Roman" w:hAnsi="Times New Roman" w:eastAsia="宋体" w:cs="Times New Roman"/>
          <w:b/>
          <w:bCs/>
          <w:color w:val="auto"/>
          <w:spacing w:val="0"/>
          <w:position w:val="0"/>
          <w:sz w:val="28"/>
          <w:szCs w:val="40"/>
        </w:rPr>
        <w:fldChar w:fldCharType="end"/>
      </w:r>
    </w:p>
    <w:p w14:paraId="382D172A">
      <w:pPr>
        <w:pStyle w:val="19"/>
        <w:keepNext w:val="0"/>
        <w:keepLines w:val="0"/>
        <w:pageBreakBefore w:val="0"/>
        <w:widowControl w:val="0"/>
        <w:tabs>
          <w:tab w:val="right" w:leader="dot" w:pos="8844"/>
        </w:tabs>
        <w:kinsoku/>
        <w:wordWrap/>
        <w:overflowPunct/>
        <w:topLinePunct w:val="0"/>
        <w:autoSpaceDE/>
        <w:autoSpaceDN/>
        <w:bidi w:val="0"/>
        <w:adjustRightInd/>
        <w:snapToGrid/>
        <w:spacing w:line="360" w:lineRule="auto"/>
        <w:ind w:firstLine="562" w:firstLineChars="200"/>
        <w:textAlignment w:val="auto"/>
      </w:pPr>
      <w:r>
        <w:rPr>
          <w:rFonts w:hint="default" w:ascii="Times New Roman" w:hAnsi="Times New Roman" w:eastAsia="宋体" w:cs="Times New Roman"/>
          <w:b/>
          <w:bCs/>
          <w:color w:val="auto"/>
          <w:spacing w:val="0"/>
          <w:position w:val="0"/>
          <w:sz w:val="28"/>
          <w:szCs w:val="40"/>
        </w:rPr>
        <w:fldChar w:fldCharType="begin"/>
      </w:r>
      <w:r>
        <w:rPr>
          <w:rFonts w:hint="default" w:ascii="Times New Roman" w:hAnsi="Times New Roman" w:eastAsia="宋体" w:cs="Times New Roman"/>
          <w:b/>
          <w:bCs/>
          <w:spacing w:val="0"/>
          <w:position w:val="0"/>
          <w:sz w:val="28"/>
          <w:szCs w:val="40"/>
        </w:rPr>
        <w:instrText xml:space="preserve"> HYPERLINK \l _Toc18835 </w:instrText>
      </w:r>
      <w:r>
        <w:rPr>
          <w:rFonts w:hint="default" w:ascii="Times New Roman" w:hAnsi="Times New Roman" w:eastAsia="宋体" w:cs="Times New Roman"/>
          <w:b/>
          <w:bCs/>
          <w:spacing w:val="0"/>
          <w:position w:val="0"/>
          <w:sz w:val="28"/>
          <w:szCs w:val="40"/>
        </w:rPr>
        <w:fldChar w:fldCharType="separate"/>
      </w:r>
      <w:r>
        <w:rPr>
          <w:rFonts w:hint="default"/>
          <w:b/>
          <w:bCs/>
          <w:sz w:val="28"/>
          <w:szCs w:val="36"/>
        </w:rPr>
        <w:t>附表</w:t>
      </w:r>
      <w:r>
        <w:rPr>
          <w:b/>
          <w:bCs/>
          <w:sz w:val="28"/>
          <w:szCs w:val="36"/>
        </w:rPr>
        <w:tab/>
      </w:r>
      <w:r>
        <w:rPr>
          <w:b/>
          <w:bCs/>
          <w:sz w:val="28"/>
          <w:szCs w:val="36"/>
        </w:rPr>
        <w:fldChar w:fldCharType="begin"/>
      </w:r>
      <w:r>
        <w:rPr>
          <w:b/>
          <w:bCs/>
          <w:sz w:val="28"/>
          <w:szCs w:val="36"/>
        </w:rPr>
        <w:instrText xml:space="preserve"> PAGEREF _Toc18835 \h </w:instrText>
      </w:r>
      <w:r>
        <w:rPr>
          <w:b/>
          <w:bCs/>
          <w:sz w:val="28"/>
          <w:szCs w:val="36"/>
        </w:rPr>
        <w:fldChar w:fldCharType="separate"/>
      </w:r>
      <w:r>
        <w:rPr>
          <w:b/>
          <w:bCs/>
          <w:sz w:val="28"/>
          <w:szCs w:val="36"/>
        </w:rPr>
        <w:t>136</w:t>
      </w:r>
      <w:r>
        <w:rPr>
          <w:b/>
          <w:bCs/>
          <w:sz w:val="28"/>
          <w:szCs w:val="36"/>
        </w:rPr>
        <w:fldChar w:fldCharType="end"/>
      </w:r>
      <w:r>
        <w:rPr>
          <w:rFonts w:hint="default" w:ascii="Times New Roman" w:hAnsi="Times New Roman" w:eastAsia="宋体" w:cs="Times New Roman"/>
          <w:b/>
          <w:bCs/>
          <w:color w:val="auto"/>
          <w:spacing w:val="0"/>
          <w:position w:val="0"/>
          <w:sz w:val="28"/>
          <w:szCs w:val="40"/>
        </w:rPr>
        <w:fldChar w:fldCharType="end"/>
      </w:r>
    </w:p>
    <w:p w14:paraId="03551F50">
      <w:pPr>
        <w:spacing w:line="480" w:lineRule="exact"/>
        <w:rPr>
          <w:rFonts w:hint="default" w:ascii="Times New Roman" w:hAnsi="Times New Roman" w:eastAsia="宋体" w:cs="Times New Roman"/>
          <w:b/>
          <w:bCs/>
          <w:color w:val="auto"/>
          <w:spacing w:val="0"/>
          <w:position w:val="0"/>
          <w:sz w:val="24"/>
          <w:szCs w:val="24"/>
        </w:rPr>
      </w:pPr>
      <w:r>
        <w:rPr>
          <w:rFonts w:hint="default" w:ascii="Times New Roman" w:hAnsi="Times New Roman" w:eastAsia="宋体" w:cs="Times New Roman"/>
          <w:bCs/>
          <w:color w:val="auto"/>
          <w:spacing w:val="0"/>
          <w:position w:val="0"/>
          <w:szCs w:val="28"/>
        </w:rPr>
        <w:fldChar w:fldCharType="end"/>
      </w:r>
    </w:p>
    <w:p w14:paraId="21E92798">
      <w:pPr>
        <w:spacing w:line="480" w:lineRule="exact"/>
        <w:rPr>
          <w:rFonts w:hint="default" w:ascii="Times New Roman" w:hAnsi="Times New Roman" w:eastAsia="宋体" w:cs="Times New Roman"/>
          <w:b/>
          <w:bCs/>
          <w:color w:val="auto"/>
          <w:spacing w:val="0"/>
          <w:position w:val="0"/>
          <w:sz w:val="24"/>
          <w:szCs w:val="24"/>
        </w:rPr>
      </w:pPr>
    </w:p>
    <w:p w14:paraId="535BCA3B">
      <w:pPr>
        <w:spacing w:line="480" w:lineRule="exact"/>
        <w:rPr>
          <w:rFonts w:hint="default" w:ascii="Times New Roman" w:hAnsi="Times New Roman" w:eastAsia="宋体" w:cs="Times New Roman"/>
          <w:b/>
          <w:bCs/>
          <w:color w:val="auto"/>
          <w:spacing w:val="0"/>
          <w:position w:val="0"/>
          <w:sz w:val="24"/>
          <w:szCs w:val="24"/>
        </w:rPr>
      </w:pPr>
    </w:p>
    <w:p w14:paraId="559BA45C">
      <w:pPr>
        <w:spacing w:line="480" w:lineRule="exact"/>
        <w:rPr>
          <w:rFonts w:hint="default" w:ascii="Times New Roman" w:hAnsi="Times New Roman" w:eastAsia="宋体" w:cs="Times New Roman"/>
          <w:b/>
          <w:bCs/>
          <w:color w:val="auto"/>
          <w:spacing w:val="0"/>
          <w:position w:val="0"/>
          <w:sz w:val="24"/>
          <w:szCs w:val="24"/>
        </w:rPr>
      </w:pPr>
    </w:p>
    <w:p w14:paraId="04CE2056">
      <w:pPr>
        <w:spacing w:line="480" w:lineRule="exact"/>
        <w:rPr>
          <w:rFonts w:hint="default" w:ascii="Times New Roman" w:hAnsi="Times New Roman" w:eastAsia="宋体" w:cs="Times New Roman"/>
          <w:b/>
          <w:bCs/>
          <w:color w:val="auto"/>
          <w:spacing w:val="0"/>
          <w:position w:val="0"/>
          <w:sz w:val="24"/>
          <w:szCs w:val="24"/>
        </w:rPr>
      </w:pPr>
    </w:p>
    <w:p w14:paraId="286807CF">
      <w:pPr>
        <w:spacing w:line="480" w:lineRule="exact"/>
        <w:rPr>
          <w:rFonts w:hint="default" w:ascii="Times New Roman" w:hAnsi="Times New Roman" w:eastAsia="宋体" w:cs="Times New Roman"/>
          <w:b/>
          <w:bCs/>
          <w:color w:val="auto"/>
          <w:spacing w:val="0"/>
          <w:position w:val="0"/>
          <w:sz w:val="24"/>
          <w:szCs w:val="24"/>
        </w:rPr>
      </w:pPr>
    </w:p>
    <w:p w14:paraId="76842452">
      <w:pPr>
        <w:spacing w:line="480" w:lineRule="exact"/>
        <w:rPr>
          <w:rFonts w:hint="default" w:ascii="Times New Roman" w:hAnsi="Times New Roman" w:eastAsia="宋体" w:cs="Times New Roman"/>
          <w:b/>
          <w:bCs/>
          <w:color w:val="auto"/>
          <w:spacing w:val="0"/>
          <w:position w:val="0"/>
          <w:sz w:val="24"/>
          <w:szCs w:val="24"/>
        </w:rPr>
      </w:pPr>
    </w:p>
    <w:p w14:paraId="214F6B00">
      <w:pPr>
        <w:spacing w:line="480" w:lineRule="exact"/>
        <w:rPr>
          <w:rFonts w:hint="default" w:ascii="Times New Roman" w:hAnsi="Times New Roman" w:eastAsia="宋体" w:cs="Times New Roman"/>
          <w:b/>
          <w:bCs/>
          <w:color w:val="auto"/>
          <w:spacing w:val="0"/>
          <w:position w:val="0"/>
          <w:sz w:val="24"/>
          <w:szCs w:val="24"/>
        </w:rPr>
      </w:pPr>
    </w:p>
    <w:p w14:paraId="26C3EBBF">
      <w:pPr>
        <w:spacing w:line="480" w:lineRule="exact"/>
        <w:rPr>
          <w:rFonts w:hint="default" w:ascii="Times New Roman" w:hAnsi="Times New Roman" w:eastAsia="宋体" w:cs="Times New Roman"/>
          <w:b/>
          <w:bCs/>
          <w:color w:val="auto"/>
          <w:spacing w:val="0"/>
          <w:position w:val="0"/>
          <w:sz w:val="24"/>
          <w:szCs w:val="24"/>
        </w:rPr>
      </w:pPr>
    </w:p>
    <w:p w14:paraId="1E3C3E86">
      <w:pPr>
        <w:spacing w:line="480" w:lineRule="exact"/>
        <w:rPr>
          <w:rFonts w:hint="default" w:ascii="Times New Roman" w:hAnsi="Times New Roman" w:eastAsia="宋体" w:cs="Times New Roman"/>
          <w:b/>
          <w:bCs/>
          <w:color w:val="auto"/>
          <w:spacing w:val="0"/>
          <w:position w:val="0"/>
          <w:sz w:val="24"/>
          <w:szCs w:val="24"/>
        </w:rPr>
      </w:pPr>
    </w:p>
    <w:p w14:paraId="5B4CE850">
      <w:pPr>
        <w:spacing w:line="480" w:lineRule="exact"/>
        <w:rPr>
          <w:rFonts w:hint="default" w:ascii="Times New Roman" w:hAnsi="Times New Roman" w:eastAsia="宋体" w:cs="Times New Roman"/>
          <w:b/>
          <w:bCs/>
          <w:color w:val="auto"/>
          <w:spacing w:val="0"/>
          <w:position w:val="0"/>
          <w:sz w:val="24"/>
          <w:szCs w:val="24"/>
        </w:rPr>
      </w:pPr>
    </w:p>
    <w:p w14:paraId="528B2E4C">
      <w:pPr>
        <w:spacing w:line="480" w:lineRule="exact"/>
        <w:rPr>
          <w:rFonts w:hint="default" w:ascii="Times New Roman" w:hAnsi="Times New Roman" w:eastAsia="宋体" w:cs="Times New Roman"/>
          <w:b/>
          <w:bCs/>
          <w:color w:val="auto"/>
          <w:spacing w:val="0"/>
          <w:position w:val="0"/>
          <w:sz w:val="24"/>
          <w:szCs w:val="24"/>
        </w:rPr>
      </w:pPr>
    </w:p>
    <w:p w14:paraId="6FC5D307">
      <w:pPr>
        <w:spacing w:line="480" w:lineRule="exact"/>
        <w:rPr>
          <w:rFonts w:hint="default" w:ascii="Times New Roman" w:hAnsi="Times New Roman" w:eastAsia="宋体" w:cs="Times New Roman"/>
          <w:b/>
          <w:bCs/>
          <w:color w:val="auto"/>
          <w:spacing w:val="0"/>
          <w:position w:val="0"/>
          <w:sz w:val="24"/>
          <w:szCs w:val="24"/>
        </w:rPr>
      </w:pPr>
    </w:p>
    <w:p w14:paraId="5CEAEB91">
      <w:pPr>
        <w:spacing w:line="480" w:lineRule="exact"/>
        <w:rPr>
          <w:rFonts w:hint="default" w:ascii="Times New Roman" w:hAnsi="Times New Roman" w:eastAsia="宋体" w:cs="Times New Roman"/>
          <w:b/>
          <w:bCs/>
          <w:color w:val="auto"/>
          <w:spacing w:val="0"/>
          <w:position w:val="0"/>
          <w:sz w:val="24"/>
          <w:szCs w:val="24"/>
        </w:rPr>
      </w:pPr>
    </w:p>
    <w:p w14:paraId="1F061C40">
      <w:pPr>
        <w:spacing w:line="480" w:lineRule="exact"/>
        <w:rPr>
          <w:rFonts w:hint="default" w:ascii="Times New Roman" w:hAnsi="Times New Roman" w:eastAsia="宋体" w:cs="Times New Roman"/>
          <w:b/>
          <w:bCs/>
          <w:color w:val="auto"/>
          <w:spacing w:val="0"/>
          <w:position w:val="0"/>
          <w:sz w:val="24"/>
          <w:szCs w:val="24"/>
        </w:rPr>
      </w:pPr>
    </w:p>
    <w:p w14:paraId="2AA64D4E">
      <w:pPr>
        <w:pStyle w:val="3"/>
        <w:bidi w:val="0"/>
        <w:rPr>
          <w:rFonts w:hint="default"/>
          <w:lang w:val="en-US" w:eastAsia="zh-CN"/>
        </w:rPr>
        <w:sectPr>
          <w:footerReference r:id="rId4" w:type="default"/>
          <w:pgSz w:w="11906" w:h="16838"/>
          <w:pgMar w:top="1440" w:right="1080" w:bottom="1440" w:left="1080" w:header="851" w:footer="1077" w:gutter="0"/>
          <w:pgBorders>
            <w:top w:val="none" w:sz="0" w:space="0"/>
            <w:left w:val="none" w:sz="0" w:space="0"/>
            <w:bottom w:val="none" w:sz="0" w:space="0"/>
            <w:right w:val="none" w:sz="0" w:space="0"/>
          </w:pgBorders>
          <w:pgNumType w:fmt="decimal" w:start="1"/>
          <w:cols w:space="720" w:num="1"/>
          <w:docGrid w:linePitch="312" w:charSpace="0"/>
        </w:sectPr>
      </w:pPr>
      <w:bookmarkStart w:id="1" w:name="_Toc31043"/>
    </w:p>
    <w:p w14:paraId="11F69FFB">
      <w:pPr>
        <w:pStyle w:val="3"/>
        <w:bidi w:val="0"/>
        <w:rPr>
          <w:rFonts w:hint="default"/>
          <w:lang w:val="en-US" w:eastAsia="zh-CN"/>
        </w:rPr>
      </w:pPr>
      <w:r>
        <w:rPr>
          <w:rFonts w:hint="default"/>
          <w:lang w:val="en-US" w:eastAsia="zh-CN"/>
        </w:rPr>
        <w:t>一、建设项目基本情况</w:t>
      </w:r>
      <w:bookmarkEnd w:id="1"/>
    </w:p>
    <w:tbl>
      <w:tblPr>
        <w:tblStyle w:val="26"/>
        <w:tblW w:w="985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212"/>
        <w:gridCol w:w="2388"/>
        <w:gridCol w:w="1780"/>
        <w:gridCol w:w="4471"/>
      </w:tblGrid>
      <w:tr w14:paraId="6421DE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12" w:type="dxa"/>
            <w:tcMar>
              <w:top w:w="16" w:type="dxa"/>
              <w:left w:w="16" w:type="dxa"/>
              <w:right w:w="16" w:type="dxa"/>
            </w:tcMar>
            <w:vAlign w:val="center"/>
          </w:tcPr>
          <w:p w14:paraId="3D640ECA">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建设项目名称</w:t>
            </w:r>
          </w:p>
        </w:tc>
        <w:tc>
          <w:tcPr>
            <w:tcW w:w="8639" w:type="dxa"/>
            <w:gridSpan w:val="3"/>
            <w:shd w:val="clear" w:color="auto" w:fill="auto"/>
            <w:vAlign w:val="center"/>
          </w:tcPr>
          <w:p w14:paraId="42983479">
            <w:pPr>
              <w:adjustRightInd w:val="0"/>
              <w:snapToGrid w:val="0"/>
              <w:jc w:val="center"/>
              <w:rPr>
                <w:rFonts w:hint="eastAsia"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position w:val="0"/>
                <w:sz w:val="24"/>
                <w:lang w:eastAsia="zh-CN"/>
              </w:rPr>
              <w:t>年处理3万吨废旧光伏组件循环再利用项目</w:t>
            </w:r>
          </w:p>
        </w:tc>
      </w:tr>
      <w:tr w14:paraId="155947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12" w:type="dxa"/>
            <w:tcMar>
              <w:top w:w="16" w:type="dxa"/>
              <w:left w:w="16" w:type="dxa"/>
              <w:right w:w="16" w:type="dxa"/>
            </w:tcMar>
            <w:vAlign w:val="center"/>
          </w:tcPr>
          <w:p w14:paraId="026848BA">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项目代码</w:t>
            </w:r>
          </w:p>
        </w:tc>
        <w:tc>
          <w:tcPr>
            <w:tcW w:w="8639" w:type="dxa"/>
            <w:gridSpan w:val="3"/>
            <w:shd w:val="clear" w:color="auto" w:fill="auto"/>
            <w:vAlign w:val="center"/>
          </w:tcPr>
          <w:p w14:paraId="75BAABAF">
            <w:pPr>
              <w:adjustRightInd w:val="0"/>
              <w:snapToGrid w:val="0"/>
              <w:jc w:val="center"/>
              <w:rPr>
                <w:rFonts w:hint="eastAsia"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position w:val="0"/>
                <w:sz w:val="24"/>
                <w:lang w:eastAsia="zh-CN"/>
              </w:rPr>
              <w:t>2507-341763-04-01-265570</w:t>
            </w:r>
          </w:p>
        </w:tc>
      </w:tr>
      <w:tr w14:paraId="038973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12" w:type="dxa"/>
            <w:tcMar>
              <w:top w:w="16" w:type="dxa"/>
              <w:left w:w="16" w:type="dxa"/>
              <w:right w:w="16" w:type="dxa"/>
            </w:tcMar>
            <w:vAlign w:val="center"/>
          </w:tcPr>
          <w:p w14:paraId="1D1A90B7">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建设单位联系人</w:t>
            </w:r>
          </w:p>
        </w:tc>
        <w:tc>
          <w:tcPr>
            <w:tcW w:w="2388" w:type="dxa"/>
            <w:shd w:val="clear" w:color="auto" w:fill="auto"/>
            <w:vAlign w:val="center"/>
          </w:tcPr>
          <w:p w14:paraId="1F2E8191">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position w:val="0"/>
                <w:sz w:val="24"/>
                <w:lang w:val="en-US" w:eastAsia="zh-CN"/>
              </w:rPr>
              <w:t>李彬</w:t>
            </w:r>
          </w:p>
        </w:tc>
        <w:tc>
          <w:tcPr>
            <w:tcW w:w="1780" w:type="dxa"/>
            <w:shd w:val="clear" w:color="auto" w:fill="auto"/>
            <w:vAlign w:val="center"/>
          </w:tcPr>
          <w:p w14:paraId="562D5D48">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default" w:ascii="Times New Roman" w:hAnsi="Times New Roman" w:cs="Times New Roman"/>
                <w:b/>
                <w:bCs/>
                <w:color w:val="auto"/>
                <w:spacing w:val="0"/>
                <w:position w:val="0"/>
                <w:sz w:val="24"/>
              </w:rPr>
              <w:t>联系方式</w:t>
            </w:r>
          </w:p>
        </w:tc>
        <w:tc>
          <w:tcPr>
            <w:tcW w:w="4471" w:type="dxa"/>
            <w:shd w:val="clear" w:color="auto" w:fill="auto"/>
            <w:vAlign w:val="center"/>
          </w:tcPr>
          <w:p w14:paraId="2560898B">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13879396329</w:t>
            </w:r>
          </w:p>
        </w:tc>
      </w:tr>
      <w:tr w14:paraId="54A86B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12" w:type="dxa"/>
            <w:tcMar>
              <w:top w:w="16" w:type="dxa"/>
              <w:left w:w="16" w:type="dxa"/>
              <w:right w:w="16" w:type="dxa"/>
            </w:tcMar>
            <w:vAlign w:val="center"/>
          </w:tcPr>
          <w:p w14:paraId="4B0EFC6E">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建设地点</w:t>
            </w:r>
          </w:p>
        </w:tc>
        <w:tc>
          <w:tcPr>
            <w:tcW w:w="8639" w:type="dxa"/>
            <w:gridSpan w:val="3"/>
            <w:shd w:val="clear" w:color="auto" w:fill="auto"/>
            <w:vAlign w:val="center"/>
          </w:tcPr>
          <w:p w14:paraId="18F6F1D6">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olor w:val="auto"/>
                <w:spacing w:val="0"/>
                <w:position w:val="0"/>
                <w:sz w:val="24"/>
                <w:lang w:val="en-US" w:eastAsia="zh-CN"/>
              </w:rPr>
              <w:t>安徽省池州市皖江江南新兴产业集中区万凯产业园7#厂房</w:t>
            </w:r>
          </w:p>
        </w:tc>
      </w:tr>
      <w:tr w14:paraId="39502B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12" w:type="dxa"/>
            <w:tcMar>
              <w:top w:w="16" w:type="dxa"/>
              <w:left w:w="16" w:type="dxa"/>
              <w:right w:w="16" w:type="dxa"/>
            </w:tcMar>
            <w:vAlign w:val="center"/>
          </w:tcPr>
          <w:p w14:paraId="5C2FB46E">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地理坐标</w:t>
            </w:r>
          </w:p>
        </w:tc>
        <w:tc>
          <w:tcPr>
            <w:tcW w:w="8639" w:type="dxa"/>
            <w:gridSpan w:val="3"/>
            <w:shd w:val="clear" w:color="auto" w:fill="auto"/>
            <w:vAlign w:val="center"/>
          </w:tcPr>
          <w:p w14:paraId="2D29D7FF">
            <w:pPr>
              <w:jc w:val="center"/>
              <w:rPr>
                <w:rFonts w:hint="default" w:ascii="Times New Roman" w:hAnsi="Times New Roman" w:eastAsia="宋体" w:cs="Times New Roman"/>
                <w:color w:val="auto"/>
                <w:spacing w:val="0"/>
                <w:kern w:val="2"/>
                <w:position w:val="0"/>
                <w:sz w:val="24"/>
                <w:szCs w:val="24"/>
                <w:lang w:val="en-US" w:eastAsia="zh-CN" w:bidi="ar-SA"/>
              </w:rPr>
            </w:pPr>
            <w:r>
              <w:rPr>
                <w:rFonts w:hint="default" w:ascii="Times New Roman" w:hAnsi="Times New Roman" w:cs="Times New Roman"/>
                <w:color w:val="auto"/>
                <w:spacing w:val="0"/>
                <w:position w:val="0"/>
                <w:sz w:val="24"/>
                <w:lang w:val="en-US" w:eastAsia="zh-CN"/>
              </w:rPr>
              <w:t>117</w:t>
            </w:r>
            <w:r>
              <w:rPr>
                <w:rFonts w:hint="default" w:ascii="Times New Roman" w:hAnsi="Times New Roman" w:cs="Times New Roman"/>
                <w:color w:val="auto"/>
                <w:spacing w:val="0"/>
                <w:position w:val="0"/>
                <w:sz w:val="24"/>
              </w:rPr>
              <w:t>度</w:t>
            </w:r>
            <w:r>
              <w:rPr>
                <w:rFonts w:hint="eastAsia" w:cs="Times New Roman"/>
                <w:color w:val="auto"/>
                <w:spacing w:val="0"/>
                <w:position w:val="0"/>
                <w:sz w:val="24"/>
                <w:lang w:val="en-US" w:eastAsia="zh-CN"/>
              </w:rPr>
              <w:t>38</w:t>
            </w:r>
            <w:r>
              <w:rPr>
                <w:rFonts w:hint="default" w:ascii="Times New Roman" w:hAnsi="Times New Roman" w:cs="Times New Roman"/>
                <w:color w:val="auto"/>
                <w:spacing w:val="0"/>
                <w:position w:val="0"/>
                <w:sz w:val="24"/>
              </w:rPr>
              <w:t>分</w:t>
            </w:r>
            <w:r>
              <w:rPr>
                <w:rFonts w:hint="eastAsia" w:cs="Times New Roman"/>
                <w:color w:val="auto"/>
                <w:spacing w:val="0"/>
                <w:position w:val="0"/>
                <w:sz w:val="24"/>
                <w:lang w:val="en-US" w:eastAsia="zh-CN"/>
              </w:rPr>
              <w:t>19.309</w:t>
            </w:r>
            <w:r>
              <w:rPr>
                <w:rFonts w:hint="default" w:ascii="Times New Roman" w:hAnsi="Times New Roman" w:cs="Times New Roman"/>
                <w:color w:val="auto"/>
                <w:spacing w:val="0"/>
                <w:position w:val="0"/>
                <w:sz w:val="24"/>
              </w:rPr>
              <w:t>秒，3</w:t>
            </w:r>
            <w:r>
              <w:rPr>
                <w:rFonts w:hint="default" w:ascii="Times New Roman" w:hAnsi="Times New Roman" w:cs="Times New Roman"/>
                <w:color w:val="auto"/>
                <w:spacing w:val="0"/>
                <w:position w:val="0"/>
                <w:sz w:val="24"/>
                <w:lang w:val="en-US" w:eastAsia="zh-CN"/>
              </w:rPr>
              <w:t>0</w:t>
            </w:r>
            <w:r>
              <w:rPr>
                <w:rFonts w:hint="default" w:ascii="Times New Roman" w:hAnsi="Times New Roman" w:cs="Times New Roman"/>
                <w:color w:val="auto"/>
                <w:spacing w:val="0"/>
                <w:position w:val="0"/>
                <w:sz w:val="24"/>
              </w:rPr>
              <w:t>度</w:t>
            </w:r>
            <w:r>
              <w:rPr>
                <w:rFonts w:hint="eastAsia" w:cs="Times New Roman"/>
                <w:color w:val="auto"/>
                <w:spacing w:val="0"/>
                <w:position w:val="0"/>
                <w:sz w:val="24"/>
                <w:lang w:val="en-US" w:eastAsia="zh-CN"/>
              </w:rPr>
              <w:t>44</w:t>
            </w:r>
            <w:r>
              <w:rPr>
                <w:rFonts w:hint="default" w:ascii="Times New Roman" w:hAnsi="Times New Roman" w:cs="Times New Roman"/>
                <w:color w:val="auto"/>
                <w:spacing w:val="0"/>
                <w:position w:val="0"/>
                <w:sz w:val="24"/>
              </w:rPr>
              <w:t>分</w:t>
            </w:r>
            <w:r>
              <w:rPr>
                <w:rFonts w:hint="eastAsia" w:cs="Times New Roman"/>
                <w:color w:val="auto"/>
                <w:spacing w:val="0"/>
                <w:position w:val="0"/>
                <w:sz w:val="24"/>
                <w:lang w:val="en-US" w:eastAsia="zh-CN"/>
              </w:rPr>
              <w:t>25.188</w:t>
            </w:r>
            <w:r>
              <w:rPr>
                <w:rFonts w:hint="default" w:ascii="Times New Roman" w:hAnsi="Times New Roman" w:cs="Times New Roman"/>
                <w:color w:val="auto"/>
                <w:spacing w:val="0"/>
                <w:position w:val="0"/>
                <w:sz w:val="24"/>
              </w:rPr>
              <w:t>秒</w:t>
            </w:r>
          </w:p>
        </w:tc>
      </w:tr>
      <w:tr w14:paraId="6F61A9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212" w:type="dxa"/>
            <w:tcMar>
              <w:top w:w="16" w:type="dxa"/>
              <w:left w:w="16" w:type="dxa"/>
              <w:right w:w="16" w:type="dxa"/>
            </w:tcMar>
            <w:vAlign w:val="center"/>
          </w:tcPr>
          <w:p w14:paraId="538F79C4">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国民经济行业类别</w:t>
            </w:r>
          </w:p>
        </w:tc>
        <w:tc>
          <w:tcPr>
            <w:tcW w:w="2388" w:type="dxa"/>
            <w:shd w:val="clear" w:color="auto" w:fill="auto"/>
            <w:vAlign w:val="center"/>
          </w:tcPr>
          <w:p w14:paraId="65E3CD13">
            <w:pPr>
              <w:adjustRightInd w:val="0"/>
              <w:snapToGrid w:val="0"/>
              <w:jc w:val="center"/>
              <w:rPr>
                <w:rFonts w:hint="default" w:ascii="Times New Roman" w:hAnsi="Times New Roman" w:eastAsia="宋体" w:cs="Times New Roman"/>
                <w:color w:val="auto"/>
                <w:spacing w:val="0"/>
                <w:kern w:val="2"/>
                <w:position w:val="0"/>
                <w:sz w:val="21"/>
                <w:szCs w:val="24"/>
                <w:lang w:val="en-US" w:eastAsia="zh-CN" w:bidi="ar-SA"/>
              </w:rPr>
            </w:pPr>
            <w:r>
              <w:rPr>
                <w:rFonts w:hint="default" w:ascii="Times New Roman" w:hAnsi="Times New Roman" w:eastAsia="宋体" w:cs="Times New Roman"/>
                <w:b w:val="0"/>
                <w:bCs w:val="0"/>
                <w:color w:val="000000"/>
                <w:sz w:val="24"/>
                <w:lang w:val="en-US" w:eastAsia="zh-CN"/>
              </w:rPr>
              <w:t>C</w:t>
            </w:r>
            <w:r>
              <w:rPr>
                <w:rFonts w:hint="eastAsia" w:cs="Times New Roman"/>
                <w:b w:val="0"/>
                <w:bCs w:val="0"/>
                <w:color w:val="000000"/>
                <w:sz w:val="24"/>
                <w:lang w:val="en-US" w:eastAsia="zh-CN"/>
              </w:rPr>
              <w:t>4420非金属废料和碎屑加工处理</w:t>
            </w:r>
          </w:p>
        </w:tc>
        <w:tc>
          <w:tcPr>
            <w:tcW w:w="1780" w:type="dxa"/>
            <w:shd w:val="clear" w:color="auto" w:fill="auto"/>
            <w:vAlign w:val="center"/>
          </w:tcPr>
          <w:p w14:paraId="21083B83">
            <w:pPr>
              <w:adjustRightInd w:val="0"/>
              <w:snapToGrid w:val="0"/>
              <w:jc w:val="center"/>
              <w:rPr>
                <w:rFonts w:hint="default" w:ascii="Times New Roman" w:hAnsi="Times New Roman" w:eastAsia="宋体" w:cs="Times New Roman"/>
                <w:b/>
                <w:bCs/>
                <w:color w:val="auto"/>
                <w:spacing w:val="0"/>
                <w:kern w:val="2"/>
                <w:position w:val="0"/>
                <w:sz w:val="24"/>
                <w:szCs w:val="24"/>
                <w:lang w:val="en-US" w:eastAsia="zh-CN" w:bidi="ar-SA"/>
              </w:rPr>
            </w:pPr>
            <w:r>
              <w:rPr>
                <w:rFonts w:hint="default" w:ascii="Times New Roman" w:hAnsi="Times New Roman" w:cs="Times New Roman"/>
                <w:b/>
                <w:bCs/>
                <w:color w:val="auto"/>
                <w:spacing w:val="0"/>
                <w:position w:val="0"/>
                <w:sz w:val="24"/>
              </w:rPr>
              <w:t>建设项目行业类别</w:t>
            </w:r>
          </w:p>
        </w:tc>
        <w:tc>
          <w:tcPr>
            <w:tcW w:w="4471" w:type="dxa"/>
            <w:shd w:val="clear" w:color="auto" w:fill="auto"/>
            <w:vAlign w:val="center"/>
          </w:tcPr>
          <w:p w14:paraId="4F9056E0">
            <w:pPr>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olor w:val="auto"/>
                <w:sz w:val="24"/>
                <w:szCs w:val="24"/>
                <w:lang w:val="en-US" w:eastAsia="zh-CN"/>
              </w:rPr>
              <w:t>“三十九、废弃资源综合利用业”中的“非金属废料和碎屑加工处理422”</w:t>
            </w:r>
          </w:p>
        </w:tc>
      </w:tr>
      <w:tr w14:paraId="03A925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212" w:type="dxa"/>
            <w:shd w:val="clear" w:color="auto" w:fill="auto"/>
            <w:tcMar>
              <w:top w:w="16" w:type="dxa"/>
              <w:left w:w="16" w:type="dxa"/>
              <w:right w:w="16" w:type="dxa"/>
            </w:tcMar>
            <w:vAlign w:val="center"/>
          </w:tcPr>
          <w:p w14:paraId="10AB3466">
            <w:pPr>
              <w:adjustRightInd w:val="0"/>
              <w:spacing w:line="360" w:lineRule="exact"/>
              <w:jc w:val="center"/>
              <w:rPr>
                <w:rFonts w:hint="default" w:ascii="Times New Roman" w:hAnsi="Times New Roman" w:eastAsia="宋体" w:cs="Times New Roman"/>
                <w:b/>
                <w:color w:val="auto"/>
                <w:spacing w:val="0"/>
                <w:kern w:val="2"/>
                <w:position w:val="0"/>
                <w:sz w:val="24"/>
                <w:szCs w:val="24"/>
                <w:lang w:val="en-US" w:eastAsia="zh-CN" w:bidi="ar-SA"/>
              </w:rPr>
            </w:pPr>
            <w:r>
              <w:rPr>
                <w:rFonts w:hint="default" w:ascii="Times New Roman" w:hAnsi="Times New Roman" w:cs="Times New Roman"/>
                <w:b/>
                <w:color w:val="auto"/>
                <w:spacing w:val="0"/>
                <w:position w:val="0"/>
                <w:sz w:val="24"/>
              </w:rPr>
              <w:t>建设性质</w:t>
            </w:r>
          </w:p>
        </w:tc>
        <w:tc>
          <w:tcPr>
            <w:tcW w:w="2388" w:type="dxa"/>
            <w:shd w:val="clear" w:color="auto" w:fill="auto"/>
            <w:vAlign w:val="center"/>
          </w:tcPr>
          <w:p w14:paraId="170C8A7A">
            <w:pPr>
              <w:adjustRightInd w:val="0"/>
              <w:spacing w:line="360" w:lineRule="exact"/>
              <w:ind w:left="105" w:leftChars="50" w:right="105" w:rightChars="50"/>
              <w:rPr>
                <w:rFonts w:hint="default" w:ascii="Times New Roman" w:hAnsi="Times New Roman" w:cs="Times New Roman"/>
                <w:color w:val="auto"/>
                <w:spacing w:val="0"/>
                <w:position w:val="0"/>
                <w:sz w:val="24"/>
              </w:rPr>
            </w:pPr>
            <w:r>
              <w:rPr>
                <w:rFonts w:hint="eastAsia"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新建</w:t>
            </w:r>
            <w:r>
              <w:rPr>
                <w:rFonts w:hint="eastAsia" w:cs="Times New Roman"/>
                <w:color w:val="auto"/>
                <w:spacing w:val="0"/>
                <w:position w:val="0"/>
                <w:sz w:val="24"/>
                <w:lang w:eastAsia="zh-CN"/>
              </w:rPr>
              <w:t>（</w:t>
            </w:r>
            <w:r>
              <w:rPr>
                <w:rFonts w:hint="default" w:ascii="Times New Roman" w:hAnsi="Times New Roman" w:cs="Times New Roman"/>
                <w:color w:val="auto"/>
                <w:spacing w:val="0"/>
                <w:position w:val="0"/>
                <w:sz w:val="24"/>
              </w:rPr>
              <w:t>迁建）</w:t>
            </w:r>
          </w:p>
          <w:p w14:paraId="7A3056B0">
            <w:pPr>
              <w:adjustRightInd w:val="0"/>
              <w:spacing w:line="360" w:lineRule="exact"/>
              <w:ind w:left="105" w:leftChars="50" w:right="105" w:rightChars="50"/>
              <w:rPr>
                <w:rFonts w:hint="default" w:ascii="Times New Roman" w:hAnsi="Times New Roman" w:cs="Times New Roman"/>
                <w:color w:val="auto"/>
                <w:spacing w:val="0"/>
                <w:position w:val="0"/>
                <w:sz w:val="24"/>
              </w:rPr>
            </w:pPr>
            <w:r>
              <w:rPr>
                <w:rFonts w:hint="eastAsia"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改建</w:t>
            </w:r>
          </w:p>
          <w:p w14:paraId="531E8EC7">
            <w:pPr>
              <w:adjustRightInd w:val="0"/>
              <w:spacing w:line="360" w:lineRule="exact"/>
              <w:ind w:left="105" w:leftChars="50" w:right="105" w:rightChars="50"/>
              <w:rPr>
                <w:rFonts w:hint="default" w:ascii="Times New Roman" w:hAnsi="Times New Roman" w:cs="Times New Roman"/>
                <w:color w:val="auto"/>
                <w:spacing w:val="0"/>
                <w:position w:val="0"/>
                <w:sz w:val="24"/>
              </w:rPr>
            </w:pPr>
            <w:r>
              <w:rPr>
                <w:rFonts w:hint="eastAsia"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扩建</w:t>
            </w:r>
          </w:p>
          <w:p w14:paraId="78750373">
            <w:pPr>
              <w:adjustRightInd w:val="0"/>
              <w:spacing w:line="360" w:lineRule="exact"/>
              <w:ind w:left="105" w:leftChars="50" w:right="105" w:rightChars="50"/>
              <w:rPr>
                <w:rFonts w:hint="default" w:ascii="Times New Roman" w:hAnsi="Times New Roman" w:eastAsia="宋体" w:cs="Times New Roman"/>
                <w:color w:val="auto"/>
                <w:spacing w:val="0"/>
                <w:kern w:val="2"/>
                <w:position w:val="0"/>
                <w:sz w:val="24"/>
                <w:szCs w:val="24"/>
                <w:lang w:val="en-US" w:eastAsia="zh-CN" w:bidi="ar-SA"/>
              </w:rPr>
            </w:pPr>
            <w:r>
              <w:rPr>
                <w:rFonts w:hint="eastAsia"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技术改造</w:t>
            </w:r>
          </w:p>
        </w:tc>
        <w:tc>
          <w:tcPr>
            <w:tcW w:w="1780" w:type="dxa"/>
            <w:shd w:val="clear" w:color="auto" w:fill="auto"/>
            <w:vAlign w:val="center"/>
          </w:tcPr>
          <w:p w14:paraId="7E39FC62">
            <w:pPr>
              <w:adjustRightInd w:val="0"/>
              <w:spacing w:line="360" w:lineRule="exact"/>
              <w:jc w:val="center"/>
              <w:rPr>
                <w:rFonts w:hint="default" w:ascii="Times New Roman" w:hAnsi="Times New Roman" w:eastAsia="宋体" w:cs="Times New Roman"/>
                <w:b/>
                <w:color w:val="auto"/>
                <w:spacing w:val="0"/>
                <w:kern w:val="2"/>
                <w:position w:val="0"/>
                <w:sz w:val="24"/>
                <w:szCs w:val="24"/>
                <w:lang w:val="en-US" w:eastAsia="zh-CN" w:bidi="ar-SA"/>
              </w:rPr>
            </w:pPr>
            <w:r>
              <w:rPr>
                <w:rFonts w:hint="default" w:ascii="Times New Roman" w:hAnsi="Times New Roman" w:cs="Times New Roman"/>
                <w:b/>
                <w:color w:val="auto"/>
                <w:spacing w:val="0"/>
                <w:position w:val="0"/>
                <w:sz w:val="24"/>
              </w:rPr>
              <w:t>建设项目申报情形</w:t>
            </w:r>
          </w:p>
        </w:tc>
        <w:tc>
          <w:tcPr>
            <w:tcW w:w="4471" w:type="dxa"/>
            <w:shd w:val="clear" w:color="auto" w:fill="auto"/>
            <w:vAlign w:val="center"/>
          </w:tcPr>
          <w:p w14:paraId="4199E866">
            <w:pPr>
              <w:adjustRightInd w:val="0"/>
              <w:spacing w:line="360" w:lineRule="exact"/>
              <w:ind w:left="105" w:leftChars="50" w:right="105" w:rightChars="50"/>
              <w:rPr>
                <w:rFonts w:hint="default" w:ascii="Times New Roman" w:hAnsi="Times New Roman" w:cs="Times New Roman"/>
                <w:color w:val="auto"/>
                <w:spacing w:val="0"/>
                <w:position w:val="0"/>
                <w:sz w:val="24"/>
              </w:rPr>
            </w:pPr>
            <w:r>
              <w:rPr>
                <w:rFonts w:hint="default"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首次申报项目</w:t>
            </w:r>
          </w:p>
          <w:p w14:paraId="2C8FAC2B">
            <w:pPr>
              <w:adjustRightInd w:val="0"/>
              <w:spacing w:line="360" w:lineRule="exact"/>
              <w:ind w:left="105" w:leftChars="50" w:right="105" w:rightChars="50"/>
              <w:rPr>
                <w:rFonts w:hint="default" w:ascii="Times New Roman" w:hAnsi="Times New Roman" w:cs="Times New Roman"/>
                <w:color w:val="auto"/>
                <w:spacing w:val="0"/>
                <w:position w:val="0"/>
                <w:sz w:val="24"/>
              </w:rPr>
            </w:pPr>
            <w:r>
              <w:rPr>
                <w:rFonts w:hint="eastAsia"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不予批准后再次申报项目</w:t>
            </w:r>
          </w:p>
          <w:p w14:paraId="59EAF674">
            <w:pPr>
              <w:adjustRightInd w:val="0"/>
              <w:spacing w:line="360" w:lineRule="exact"/>
              <w:ind w:left="105" w:leftChars="50" w:right="105" w:rightChars="50"/>
              <w:rPr>
                <w:rFonts w:hint="default" w:ascii="Times New Roman" w:hAnsi="Times New Roman" w:cs="Times New Roman"/>
                <w:color w:val="auto"/>
                <w:spacing w:val="0"/>
                <w:position w:val="0"/>
                <w:sz w:val="24"/>
              </w:rPr>
            </w:pPr>
            <w:r>
              <w:rPr>
                <w:rFonts w:hint="eastAsia"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 xml:space="preserve">超五年重新审核项目 </w:t>
            </w:r>
          </w:p>
          <w:p w14:paraId="38D1E018">
            <w:pPr>
              <w:adjustRightInd w:val="0"/>
              <w:spacing w:line="360" w:lineRule="exact"/>
              <w:ind w:left="105" w:leftChars="50" w:right="105" w:rightChars="50"/>
              <w:rPr>
                <w:rFonts w:hint="default" w:ascii="Times New Roman" w:hAnsi="Times New Roman" w:eastAsia="宋体" w:cs="Times New Roman"/>
                <w:color w:val="auto"/>
                <w:spacing w:val="0"/>
                <w:kern w:val="2"/>
                <w:position w:val="0"/>
                <w:sz w:val="24"/>
                <w:szCs w:val="24"/>
                <w:lang w:val="en-US" w:eastAsia="zh-CN" w:bidi="ar-SA"/>
              </w:rPr>
            </w:pPr>
            <w:r>
              <w:rPr>
                <w:rFonts w:hint="eastAsia"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重大变动重新报批项目</w:t>
            </w:r>
          </w:p>
        </w:tc>
      </w:tr>
      <w:tr w14:paraId="26B35F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212" w:type="dxa"/>
            <w:tcMar>
              <w:top w:w="16" w:type="dxa"/>
              <w:left w:w="16" w:type="dxa"/>
              <w:right w:w="16" w:type="dxa"/>
            </w:tcMar>
            <w:vAlign w:val="center"/>
          </w:tcPr>
          <w:p w14:paraId="669AD952">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项目审批</w:t>
            </w:r>
            <w:r>
              <w:rPr>
                <w:rFonts w:hint="eastAsia" w:cs="Times New Roman"/>
                <w:b/>
                <w:bCs/>
                <w:color w:val="auto"/>
                <w:spacing w:val="0"/>
                <w:position w:val="0"/>
                <w:sz w:val="24"/>
                <w:lang w:eastAsia="zh-CN"/>
              </w:rPr>
              <w:t>（</w:t>
            </w:r>
            <w:r>
              <w:rPr>
                <w:rFonts w:hint="default" w:ascii="Times New Roman" w:hAnsi="Times New Roman" w:cs="Times New Roman"/>
                <w:b/>
                <w:bCs/>
                <w:color w:val="auto"/>
                <w:spacing w:val="0"/>
                <w:position w:val="0"/>
                <w:sz w:val="24"/>
              </w:rPr>
              <w:t>核准/备案）部门</w:t>
            </w:r>
          </w:p>
        </w:tc>
        <w:tc>
          <w:tcPr>
            <w:tcW w:w="2388" w:type="dxa"/>
            <w:shd w:val="clear" w:color="auto" w:fill="auto"/>
            <w:vAlign w:val="center"/>
          </w:tcPr>
          <w:p w14:paraId="5D901639">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position w:val="0"/>
                <w:sz w:val="24"/>
                <w:lang w:val="en-US" w:eastAsia="zh-CN"/>
              </w:rPr>
              <w:t>皖江江南新兴产业集中区管委会产业发展部</w:t>
            </w:r>
          </w:p>
        </w:tc>
        <w:tc>
          <w:tcPr>
            <w:tcW w:w="1780" w:type="dxa"/>
            <w:shd w:val="clear" w:color="auto" w:fill="auto"/>
            <w:vAlign w:val="center"/>
          </w:tcPr>
          <w:p w14:paraId="2A5D78F6">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项目审批</w:t>
            </w:r>
            <w:r>
              <w:rPr>
                <w:rFonts w:hint="eastAsia" w:cs="Times New Roman"/>
                <w:b/>
                <w:bCs/>
                <w:color w:val="auto"/>
                <w:spacing w:val="0"/>
                <w:position w:val="0"/>
                <w:sz w:val="24"/>
                <w:lang w:eastAsia="zh-CN"/>
              </w:rPr>
              <w:t>（</w:t>
            </w:r>
            <w:r>
              <w:rPr>
                <w:rFonts w:hint="default" w:ascii="Times New Roman" w:hAnsi="Times New Roman" w:cs="Times New Roman"/>
                <w:b/>
                <w:bCs/>
                <w:color w:val="auto"/>
                <w:spacing w:val="0"/>
                <w:position w:val="0"/>
                <w:sz w:val="24"/>
              </w:rPr>
              <w:t>核准/</w:t>
            </w:r>
          </w:p>
          <w:p w14:paraId="4D50D961">
            <w:pPr>
              <w:adjustRightInd w:val="0"/>
              <w:snapToGrid w:val="0"/>
              <w:jc w:val="center"/>
              <w:rPr>
                <w:rFonts w:hint="default" w:ascii="Times New Roman" w:hAnsi="Times New Roman" w:eastAsia="宋体" w:cs="Times New Roman"/>
                <w:b/>
                <w:bCs/>
                <w:color w:val="auto"/>
                <w:spacing w:val="0"/>
                <w:kern w:val="2"/>
                <w:position w:val="0"/>
                <w:sz w:val="24"/>
                <w:szCs w:val="24"/>
                <w:lang w:val="en-US" w:eastAsia="zh-CN" w:bidi="ar-SA"/>
              </w:rPr>
            </w:pPr>
            <w:r>
              <w:rPr>
                <w:rFonts w:hint="default" w:ascii="Times New Roman" w:hAnsi="Times New Roman" w:cs="Times New Roman"/>
                <w:b/>
                <w:bCs/>
                <w:color w:val="auto"/>
                <w:spacing w:val="0"/>
                <w:position w:val="0"/>
                <w:sz w:val="24"/>
              </w:rPr>
              <w:t>备案）文号</w:t>
            </w:r>
            <w:r>
              <w:rPr>
                <w:rFonts w:hint="eastAsia" w:cs="Times New Roman"/>
                <w:b/>
                <w:bCs/>
                <w:color w:val="auto"/>
                <w:spacing w:val="0"/>
                <w:position w:val="0"/>
                <w:sz w:val="24"/>
                <w:lang w:eastAsia="zh-CN"/>
              </w:rPr>
              <w:t>（</w:t>
            </w:r>
            <w:r>
              <w:rPr>
                <w:rFonts w:hint="default" w:ascii="Times New Roman" w:hAnsi="Times New Roman" w:cs="Times New Roman"/>
                <w:b/>
                <w:bCs/>
                <w:color w:val="auto"/>
                <w:spacing w:val="0"/>
                <w:position w:val="0"/>
                <w:sz w:val="24"/>
              </w:rPr>
              <w:t>选填）</w:t>
            </w:r>
          </w:p>
        </w:tc>
        <w:tc>
          <w:tcPr>
            <w:tcW w:w="4471" w:type="dxa"/>
            <w:shd w:val="clear" w:color="auto" w:fill="auto"/>
            <w:vAlign w:val="center"/>
          </w:tcPr>
          <w:p w14:paraId="33AD9ED7">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position w:val="0"/>
                <w:sz w:val="24"/>
                <w:lang w:val="en-US" w:eastAsia="zh-CN"/>
              </w:rPr>
              <w:t>江南管产</w:t>
            </w:r>
            <w:r>
              <w:rPr>
                <w:rFonts w:hint="default" w:ascii="Times New Roman" w:hAnsi="Times New Roman" w:eastAsia="宋体" w:cs="Times New Roman"/>
                <w:color w:val="auto"/>
                <w:spacing w:val="0"/>
                <w:position w:val="0"/>
                <w:sz w:val="24"/>
              </w:rPr>
              <w:t>〔</w:t>
            </w:r>
            <w:r>
              <w:rPr>
                <w:rFonts w:hint="default" w:ascii="Times New Roman" w:hAnsi="Times New Roman" w:eastAsia="宋体" w:cs="Times New Roman"/>
                <w:color w:val="auto"/>
                <w:spacing w:val="0"/>
                <w:position w:val="0"/>
                <w:sz w:val="24"/>
                <w:lang w:val="en-US" w:eastAsia="zh-CN"/>
              </w:rPr>
              <w:t>202</w:t>
            </w:r>
            <w:r>
              <w:rPr>
                <w:rFonts w:hint="eastAsia" w:cs="Times New Roman"/>
                <w:color w:val="auto"/>
                <w:spacing w:val="0"/>
                <w:position w:val="0"/>
                <w:sz w:val="24"/>
                <w:lang w:val="en-US" w:eastAsia="zh-CN"/>
              </w:rPr>
              <w:t>5</w:t>
            </w:r>
            <w:r>
              <w:rPr>
                <w:rFonts w:hint="default" w:ascii="Times New Roman" w:hAnsi="Times New Roman" w:eastAsia="仿宋" w:cs="Times New Roman"/>
                <w:color w:val="auto"/>
                <w:spacing w:val="0"/>
                <w:position w:val="0"/>
                <w:sz w:val="24"/>
              </w:rPr>
              <w:t>〕</w:t>
            </w:r>
            <w:r>
              <w:rPr>
                <w:rFonts w:hint="eastAsia" w:eastAsia="仿宋" w:cs="Times New Roman"/>
                <w:color w:val="auto"/>
                <w:spacing w:val="0"/>
                <w:position w:val="0"/>
                <w:sz w:val="24"/>
                <w:lang w:val="en-US" w:eastAsia="zh-CN"/>
              </w:rPr>
              <w:t>144</w:t>
            </w:r>
            <w:r>
              <w:rPr>
                <w:rFonts w:hint="default" w:ascii="Times New Roman" w:hAnsi="Times New Roman" w:cs="Times New Roman"/>
                <w:color w:val="auto"/>
                <w:spacing w:val="0"/>
                <w:position w:val="0"/>
                <w:sz w:val="24"/>
              </w:rPr>
              <w:t>号</w:t>
            </w:r>
          </w:p>
        </w:tc>
      </w:tr>
      <w:tr w14:paraId="2DD9D3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12" w:type="dxa"/>
            <w:tcMar>
              <w:top w:w="16" w:type="dxa"/>
              <w:left w:w="16" w:type="dxa"/>
              <w:right w:w="16" w:type="dxa"/>
            </w:tcMar>
            <w:vAlign w:val="center"/>
          </w:tcPr>
          <w:p w14:paraId="4A729A19">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总投资</w:t>
            </w:r>
            <w:r>
              <w:rPr>
                <w:rFonts w:hint="eastAsia" w:cs="Times New Roman"/>
                <w:b/>
                <w:bCs/>
                <w:color w:val="auto"/>
                <w:spacing w:val="0"/>
                <w:position w:val="0"/>
                <w:sz w:val="24"/>
                <w:lang w:eastAsia="zh-CN"/>
              </w:rPr>
              <w:t>（</w:t>
            </w:r>
            <w:r>
              <w:rPr>
                <w:rFonts w:hint="default" w:ascii="Times New Roman" w:hAnsi="Times New Roman" w:cs="Times New Roman"/>
                <w:b/>
                <w:bCs/>
                <w:color w:val="auto"/>
                <w:spacing w:val="0"/>
                <w:position w:val="0"/>
                <w:sz w:val="24"/>
              </w:rPr>
              <w:t>万元）</w:t>
            </w:r>
          </w:p>
        </w:tc>
        <w:tc>
          <w:tcPr>
            <w:tcW w:w="2388" w:type="dxa"/>
            <w:shd w:val="clear" w:color="auto" w:fill="auto"/>
            <w:vAlign w:val="center"/>
          </w:tcPr>
          <w:p w14:paraId="298E9CFB">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position w:val="0"/>
                <w:sz w:val="24"/>
                <w:lang w:val="en-US" w:eastAsia="zh-CN"/>
              </w:rPr>
              <w:t>12000</w:t>
            </w:r>
          </w:p>
        </w:tc>
        <w:tc>
          <w:tcPr>
            <w:tcW w:w="1780" w:type="dxa"/>
            <w:shd w:val="clear" w:color="auto" w:fill="auto"/>
            <w:tcMar>
              <w:top w:w="16" w:type="dxa"/>
              <w:left w:w="16" w:type="dxa"/>
              <w:right w:w="16" w:type="dxa"/>
            </w:tcMar>
            <w:vAlign w:val="center"/>
          </w:tcPr>
          <w:p w14:paraId="5F29123D">
            <w:pPr>
              <w:adjustRightInd w:val="0"/>
              <w:snapToGrid w:val="0"/>
              <w:jc w:val="center"/>
              <w:rPr>
                <w:rFonts w:hint="default" w:ascii="Times New Roman" w:hAnsi="Times New Roman" w:eastAsia="宋体" w:cs="Times New Roman"/>
                <w:b/>
                <w:bCs/>
                <w:color w:val="auto"/>
                <w:spacing w:val="0"/>
                <w:kern w:val="2"/>
                <w:position w:val="0"/>
                <w:sz w:val="24"/>
                <w:szCs w:val="24"/>
                <w:lang w:val="en-US" w:eastAsia="zh-CN" w:bidi="ar-SA"/>
              </w:rPr>
            </w:pPr>
            <w:r>
              <w:rPr>
                <w:rFonts w:hint="default" w:ascii="Times New Roman" w:hAnsi="Times New Roman" w:cs="Times New Roman"/>
                <w:b/>
                <w:bCs/>
                <w:color w:val="auto"/>
                <w:spacing w:val="0"/>
                <w:position w:val="0"/>
                <w:sz w:val="24"/>
              </w:rPr>
              <w:t>环保投资</w:t>
            </w:r>
            <w:r>
              <w:rPr>
                <w:rFonts w:hint="eastAsia" w:cs="Times New Roman"/>
                <w:b/>
                <w:bCs/>
                <w:color w:val="auto"/>
                <w:spacing w:val="0"/>
                <w:position w:val="0"/>
                <w:sz w:val="24"/>
                <w:lang w:eastAsia="zh-CN"/>
              </w:rPr>
              <w:t>（</w:t>
            </w:r>
            <w:r>
              <w:rPr>
                <w:rFonts w:hint="default" w:ascii="Times New Roman" w:hAnsi="Times New Roman" w:cs="Times New Roman"/>
                <w:b/>
                <w:bCs/>
                <w:color w:val="auto"/>
                <w:spacing w:val="0"/>
                <w:position w:val="0"/>
                <w:sz w:val="24"/>
              </w:rPr>
              <w:t>万元）</w:t>
            </w:r>
          </w:p>
        </w:tc>
        <w:tc>
          <w:tcPr>
            <w:tcW w:w="4471" w:type="dxa"/>
            <w:shd w:val="clear" w:color="auto" w:fill="auto"/>
            <w:vAlign w:val="center"/>
          </w:tcPr>
          <w:p w14:paraId="45AD8BD2">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position w:val="0"/>
                <w:sz w:val="24"/>
                <w:lang w:val="en-US" w:eastAsia="zh-CN"/>
              </w:rPr>
              <w:t>188</w:t>
            </w:r>
          </w:p>
        </w:tc>
      </w:tr>
      <w:tr w14:paraId="256798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12" w:type="dxa"/>
            <w:tcMar>
              <w:top w:w="16" w:type="dxa"/>
              <w:left w:w="16" w:type="dxa"/>
              <w:right w:w="16" w:type="dxa"/>
            </w:tcMar>
            <w:vAlign w:val="center"/>
          </w:tcPr>
          <w:p w14:paraId="18836D4D">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环保投资占比</w:t>
            </w:r>
            <w:r>
              <w:rPr>
                <w:rFonts w:hint="eastAsia" w:cs="Times New Roman"/>
                <w:b/>
                <w:bCs/>
                <w:color w:val="auto"/>
                <w:spacing w:val="0"/>
                <w:position w:val="0"/>
                <w:sz w:val="24"/>
                <w:lang w:eastAsia="zh-CN"/>
              </w:rPr>
              <w:t>（</w:t>
            </w:r>
            <w:r>
              <w:rPr>
                <w:rFonts w:hint="default" w:ascii="Times New Roman" w:hAnsi="Times New Roman" w:cs="Times New Roman"/>
                <w:b/>
                <w:bCs/>
                <w:color w:val="auto"/>
                <w:spacing w:val="0"/>
                <w:position w:val="0"/>
                <w:sz w:val="24"/>
              </w:rPr>
              <w:t>%）</w:t>
            </w:r>
          </w:p>
        </w:tc>
        <w:tc>
          <w:tcPr>
            <w:tcW w:w="2388" w:type="dxa"/>
            <w:shd w:val="clear" w:color="auto" w:fill="auto"/>
            <w:vAlign w:val="center"/>
          </w:tcPr>
          <w:p w14:paraId="0504DDF2">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position w:val="0"/>
                <w:sz w:val="24"/>
                <w:lang w:val="en-US" w:eastAsia="zh-CN"/>
              </w:rPr>
              <w:t>1.57</w:t>
            </w:r>
          </w:p>
        </w:tc>
        <w:tc>
          <w:tcPr>
            <w:tcW w:w="1780" w:type="dxa"/>
            <w:shd w:val="clear" w:color="auto" w:fill="auto"/>
            <w:tcMar>
              <w:top w:w="16" w:type="dxa"/>
              <w:left w:w="16" w:type="dxa"/>
              <w:right w:w="16" w:type="dxa"/>
            </w:tcMar>
            <w:vAlign w:val="center"/>
          </w:tcPr>
          <w:p w14:paraId="26C33E85">
            <w:pPr>
              <w:adjustRightInd w:val="0"/>
              <w:snapToGrid w:val="0"/>
              <w:jc w:val="center"/>
              <w:rPr>
                <w:rFonts w:hint="default" w:ascii="Times New Roman" w:hAnsi="Times New Roman" w:eastAsia="宋体" w:cs="Times New Roman"/>
                <w:b/>
                <w:bCs/>
                <w:color w:val="auto"/>
                <w:spacing w:val="0"/>
                <w:kern w:val="2"/>
                <w:position w:val="0"/>
                <w:sz w:val="24"/>
                <w:szCs w:val="24"/>
                <w:lang w:val="en-US" w:eastAsia="zh-CN" w:bidi="ar-SA"/>
              </w:rPr>
            </w:pPr>
            <w:r>
              <w:rPr>
                <w:rFonts w:hint="default" w:ascii="Times New Roman" w:hAnsi="Times New Roman" w:cs="Times New Roman"/>
                <w:b/>
                <w:bCs/>
                <w:color w:val="auto"/>
                <w:spacing w:val="0"/>
                <w:position w:val="0"/>
                <w:sz w:val="24"/>
              </w:rPr>
              <w:t>施工工期</w:t>
            </w:r>
          </w:p>
        </w:tc>
        <w:tc>
          <w:tcPr>
            <w:tcW w:w="4471" w:type="dxa"/>
            <w:shd w:val="clear" w:color="auto" w:fill="auto"/>
            <w:vAlign w:val="center"/>
          </w:tcPr>
          <w:p w14:paraId="2B42313C">
            <w:pPr>
              <w:adjustRightInd w:val="0"/>
              <w:snapToGrid w:val="0"/>
              <w:jc w:val="center"/>
              <w:rPr>
                <w:rFonts w:hint="default" w:ascii="Times New Roman" w:hAnsi="Times New Roman" w:eastAsia="宋体" w:cs="Times New Roman"/>
                <w:color w:val="auto"/>
                <w:spacing w:val="0"/>
                <w:kern w:val="2"/>
                <w:position w:val="0"/>
                <w:sz w:val="24"/>
                <w:szCs w:val="24"/>
                <w:lang w:val="en-US" w:eastAsia="zh-CN" w:bidi="ar-SA"/>
              </w:rPr>
            </w:pPr>
            <w:r>
              <w:rPr>
                <w:rFonts w:hint="eastAsia" w:cs="Times New Roman"/>
                <w:color w:val="auto"/>
                <w:spacing w:val="0"/>
                <w:position w:val="0"/>
                <w:sz w:val="24"/>
                <w:lang w:val="en-US" w:eastAsia="zh-CN"/>
              </w:rPr>
              <w:t>6</w:t>
            </w:r>
            <w:r>
              <w:rPr>
                <w:rFonts w:hint="default" w:ascii="Times New Roman" w:hAnsi="Times New Roman" w:cs="Times New Roman"/>
                <w:color w:val="auto"/>
                <w:spacing w:val="0"/>
                <w:position w:val="0"/>
                <w:sz w:val="24"/>
              </w:rPr>
              <w:t>个月</w:t>
            </w:r>
          </w:p>
        </w:tc>
      </w:tr>
      <w:tr w14:paraId="5C852D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12" w:type="dxa"/>
            <w:tcMar>
              <w:top w:w="16" w:type="dxa"/>
              <w:left w:w="16" w:type="dxa"/>
              <w:right w:w="16" w:type="dxa"/>
            </w:tcMar>
            <w:vAlign w:val="center"/>
          </w:tcPr>
          <w:p w14:paraId="61852A0D">
            <w:pPr>
              <w:adjustRightInd w:val="0"/>
              <w:spacing w:line="360" w:lineRule="exact"/>
              <w:jc w:val="center"/>
              <w:rPr>
                <w:rFonts w:hint="default" w:ascii="Times New Roman" w:hAnsi="Times New Roman" w:cs="Times New Roman"/>
                <w:b/>
                <w:color w:val="auto"/>
                <w:spacing w:val="0"/>
                <w:position w:val="0"/>
                <w:sz w:val="24"/>
              </w:rPr>
            </w:pPr>
            <w:r>
              <w:rPr>
                <w:rFonts w:hint="default" w:ascii="Times New Roman" w:hAnsi="Times New Roman" w:cs="Times New Roman"/>
                <w:b/>
                <w:color w:val="auto"/>
                <w:spacing w:val="0"/>
                <w:position w:val="0"/>
                <w:sz w:val="24"/>
              </w:rPr>
              <w:t>是否开工</w:t>
            </w:r>
          </w:p>
          <w:p w14:paraId="2913585D">
            <w:pPr>
              <w:adjustRightInd w:val="0"/>
              <w:spacing w:line="360" w:lineRule="exact"/>
              <w:jc w:val="center"/>
              <w:rPr>
                <w:rFonts w:hint="default" w:ascii="Times New Roman" w:hAnsi="Times New Roman" w:cs="Times New Roman"/>
                <w:b/>
                <w:bCs/>
                <w:color w:val="auto"/>
                <w:spacing w:val="0"/>
                <w:position w:val="0"/>
                <w:sz w:val="24"/>
              </w:rPr>
            </w:pPr>
            <w:r>
              <w:rPr>
                <w:rFonts w:hint="default" w:ascii="Times New Roman" w:hAnsi="Times New Roman" w:cs="Times New Roman"/>
                <w:b/>
                <w:color w:val="auto"/>
                <w:spacing w:val="0"/>
                <w:position w:val="0"/>
                <w:sz w:val="24"/>
              </w:rPr>
              <w:t>建设</w:t>
            </w:r>
          </w:p>
        </w:tc>
        <w:tc>
          <w:tcPr>
            <w:tcW w:w="2388" w:type="dxa"/>
            <w:vAlign w:val="center"/>
          </w:tcPr>
          <w:p w14:paraId="4C2C5E14">
            <w:pPr>
              <w:adjustRightInd w:val="0"/>
              <w:spacing w:line="360" w:lineRule="exact"/>
              <w:rPr>
                <w:rFonts w:hint="default" w:ascii="Times New Roman" w:hAnsi="Times New Roman" w:cs="Times New Roman"/>
                <w:color w:val="auto"/>
                <w:spacing w:val="0"/>
                <w:position w:val="0"/>
                <w:sz w:val="24"/>
              </w:rPr>
            </w:pPr>
            <w:r>
              <w:rPr>
                <w:rFonts w:hint="default"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否</w:t>
            </w:r>
          </w:p>
          <w:p w14:paraId="614E60C3">
            <w:pPr>
              <w:adjustRightInd w:val="0"/>
              <w:spacing w:line="360" w:lineRule="exact"/>
              <w:rPr>
                <w:rFonts w:hint="default" w:ascii="Times New Roman" w:hAnsi="Times New Roman" w:cs="Times New Roman"/>
                <w:color w:val="auto"/>
                <w:spacing w:val="0"/>
                <w:position w:val="0"/>
                <w:sz w:val="24"/>
              </w:rPr>
            </w:pPr>
            <w:r>
              <w:rPr>
                <w:rFonts w:hint="eastAsia"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olor w:val="auto"/>
                <w:spacing w:val="0"/>
                <w:position w:val="0"/>
                <w:sz w:val="24"/>
              </w:rPr>
              <w:t xml:space="preserve">是 </w:t>
            </w:r>
          </w:p>
        </w:tc>
        <w:tc>
          <w:tcPr>
            <w:tcW w:w="1780" w:type="dxa"/>
            <w:tcMar>
              <w:top w:w="16" w:type="dxa"/>
              <w:left w:w="16" w:type="dxa"/>
              <w:right w:w="16" w:type="dxa"/>
            </w:tcMar>
            <w:vAlign w:val="center"/>
          </w:tcPr>
          <w:p w14:paraId="3822CE27">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用地</w:t>
            </w:r>
            <w:r>
              <w:rPr>
                <w:rFonts w:hint="eastAsia" w:cs="Times New Roman"/>
                <w:b/>
                <w:bCs/>
                <w:color w:val="auto"/>
                <w:spacing w:val="0"/>
                <w:position w:val="0"/>
                <w:sz w:val="24"/>
                <w:lang w:eastAsia="zh-CN"/>
              </w:rPr>
              <w:t>（</w:t>
            </w:r>
            <w:r>
              <w:rPr>
                <w:rFonts w:hint="default" w:ascii="Times New Roman" w:hAnsi="Times New Roman" w:cs="Times New Roman"/>
                <w:b/>
                <w:bCs/>
                <w:color w:val="auto"/>
                <w:spacing w:val="0"/>
                <w:position w:val="0"/>
                <w:sz w:val="24"/>
              </w:rPr>
              <w:t>用海）</w:t>
            </w:r>
          </w:p>
          <w:p w14:paraId="2A4B6E88">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面积</w:t>
            </w:r>
            <w:r>
              <w:rPr>
                <w:rFonts w:hint="eastAsia" w:cs="Times New Roman"/>
                <w:b/>
                <w:bCs/>
                <w:color w:val="auto"/>
                <w:spacing w:val="0"/>
                <w:position w:val="0"/>
                <w:sz w:val="24"/>
                <w:lang w:eastAsia="zh-CN"/>
              </w:rPr>
              <w:t>（</w:t>
            </w:r>
            <w:r>
              <w:rPr>
                <w:rFonts w:hint="default" w:ascii="Times New Roman" w:hAnsi="Times New Roman" w:cs="Times New Roman"/>
                <w:b/>
                <w:bCs/>
                <w:color w:val="auto"/>
                <w:spacing w:val="0"/>
                <w:position w:val="0"/>
                <w:sz w:val="24"/>
              </w:rPr>
              <w:t>m</w:t>
            </w:r>
            <w:r>
              <w:rPr>
                <w:rFonts w:hint="default" w:ascii="Times New Roman" w:hAnsi="Times New Roman" w:cs="Times New Roman"/>
                <w:b/>
                <w:bCs/>
                <w:color w:val="auto"/>
                <w:spacing w:val="0"/>
                <w:position w:val="0"/>
                <w:sz w:val="24"/>
                <w:vertAlign w:val="superscript"/>
              </w:rPr>
              <w:t>2</w:t>
            </w:r>
            <w:r>
              <w:rPr>
                <w:rFonts w:hint="default" w:ascii="Times New Roman" w:hAnsi="Times New Roman" w:cs="Times New Roman"/>
                <w:b/>
                <w:bCs/>
                <w:color w:val="auto"/>
                <w:spacing w:val="0"/>
                <w:position w:val="0"/>
                <w:sz w:val="24"/>
              </w:rPr>
              <w:t>）</w:t>
            </w:r>
          </w:p>
        </w:tc>
        <w:tc>
          <w:tcPr>
            <w:tcW w:w="4471" w:type="dxa"/>
            <w:vAlign w:val="center"/>
          </w:tcPr>
          <w:p w14:paraId="2ADC325F">
            <w:pPr>
              <w:adjustRightInd w:val="0"/>
              <w:snapToGrid w:val="0"/>
              <w:jc w:val="center"/>
              <w:rPr>
                <w:rFonts w:hint="default" w:ascii="Times New Roman" w:hAnsi="Times New Roman" w:eastAsia="宋体" w:cs="Times New Roman"/>
                <w:color w:val="auto"/>
                <w:spacing w:val="0"/>
                <w:position w:val="0"/>
                <w:sz w:val="24"/>
                <w:lang w:val="en-US" w:eastAsia="zh-CN"/>
              </w:rPr>
            </w:pPr>
            <w:r>
              <w:rPr>
                <w:rFonts w:hint="eastAsia" w:cs="Times New Roman"/>
                <w:color w:val="auto"/>
                <w:spacing w:val="0"/>
                <w:position w:val="0"/>
                <w:sz w:val="24"/>
                <w:lang w:val="en-US" w:eastAsia="zh-CN"/>
              </w:rPr>
              <w:t>4700</w:t>
            </w:r>
          </w:p>
        </w:tc>
      </w:tr>
      <w:tr w14:paraId="556C11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12" w:type="dxa"/>
            <w:tcMar>
              <w:top w:w="16" w:type="dxa"/>
              <w:left w:w="16" w:type="dxa"/>
              <w:right w:w="16" w:type="dxa"/>
            </w:tcMar>
            <w:vAlign w:val="center"/>
          </w:tcPr>
          <w:p w14:paraId="0568B3E3">
            <w:pPr>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专项评价设置情况</w:t>
            </w:r>
          </w:p>
        </w:tc>
        <w:tc>
          <w:tcPr>
            <w:tcW w:w="8639" w:type="dxa"/>
            <w:gridSpan w:val="3"/>
            <w:vAlign w:val="center"/>
          </w:tcPr>
          <w:p w14:paraId="14C1DCB3">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jc w:val="both"/>
              <w:textAlignment w:val="auto"/>
              <w:rPr>
                <w:rFonts w:hint="default" w:ascii="Times New Roman" w:hAnsi="Times New Roman" w:cs="Times New Roman"/>
                <w:color w:val="auto"/>
                <w:spacing w:val="0"/>
                <w:position w:val="0"/>
                <w:sz w:val="24"/>
              </w:rPr>
            </w:pPr>
            <w:r>
              <w:rPr>
                <w:rFonts w:hint="eastAsia" w:cs="Times New Roman"/>
                <w:color w:val="auto"/>
                <w:spacing w:val="0"/>
                <w:position w:val="0"/>
                <w:sz w:val="24"/>
                <w:lang w:val="en-US" w:eastAsia="zh-CN"/>
              </w:rPr>
              <w:t>无</w:t>
            </w:r>
            <w:r>
              <w:rPr>
                <w:rFonts w:hint="default" w:ascii="Times New Roman" w:hAnsi="Times New Roman" w:eastAsia="宋体" w:cs="Times New Roman"/>
                <w:color w:val="auto"/>
                <w:spacing w:val="0"/>
                <w:position w:val="0"/>
                <w:sz w:val="24"/>
                <w:lang w:val="en-US" w:eastAsia="zh-CN"/>
              </w:rPr>
              <w:t>。</w:t>
            </w:r>
          </w:p>
        </w:tc>
      </w:tr>
      <w:tr w14:paraId="5F3084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212" w:type="dxa"/>
            <w:vAlign w:val="center"/>
          </w:tcPr>
          <w:p w14:paraId="75329BDE">
            <w:pPr>
              <w:autoSpaceDE w:val="0"/>
              <w:autoSpaceDN w:val="0"/>
              <w:adjustRightInd w:val="0"/>
              <w:snapToGrid w:val="0"/>
              <w:jc w:val="center"/>
              <w:rPr>
                <w:rFonts w:hint="default" w:ascii="Times New Roman" w:hAnsi="Times New Roman" w:cs="Times New Roman"/>
                <w:b/>
                <w:bCs/>
                <w:color w:val="auto"/>
                <w:spacing w:val="0"/>
                <w:kern w:val="0"/>
                <w:position w:val="0"/>
                <w:sz w:val="24"/>
              </w:rPr>
            </w:pPr>
            <w:r>
              <w:rPr>
                <w:rFonts w:hint="default" w:ascii="Times New Roman" w:hAnsi="Times New Roman" w:cs="Times New Roman"/>
                <w:b/>
                <w:bCs/>
                <w:color w:val="auto"/>
                <w:spacing w:val="0"/>
                <w:position w:val="0"/>
                <w:sz w:val="24"/>
              </w:rPr>
              <w:t>规划情况</w:t>
            </w:r>
          </w:p>
        </w:tc>
        <w:tc>
          <w:tcPr>
            <w:tcW w:w="8639" w:type="dxa"/>
            <w:gridSpan w:val="3"/>
            <w:shd w:val="clear" w:color="auto" w:fill="auto"/>
            <w:vAlign w:val="center"/>
          </w:tcPr>
          <w:p w14:paraId="0D7DFEB8">
            <w:pPr>
              <w:keepNext w:val="0"/>
              <w:keepLines w:val="0"/>
              <w:pageBreakBefore w:val="0"/>
              <w:kinsoku/>
              <w:wordWrap/>
              <w:overflowPunct/>
              <w:topLinePunct w:val="0"/>
              <w:bidi w:val="0"/>
              <w:spacing w:line="480" w:lineRule="exact"/>
              <w:ind w:firstLine="480" w:firstLineChars="200"/>
              <w:jc w:val="both"/>
              <w:textAlignment w:val="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 xml:space="preserve">规划名称：《安徽省江南产业集中区总体规划》 </w:t>
            </w:r>
          </w:p>
          <w:p w14:paraId="562062B3">
            <w:pPr>
              <w:keepNext w:val="0"/>
              <w:keepLines w:val="0"/>
              <w:pageBreakBefore w:val="0"/>
              <w:kinsoku/>
              <w:wordWrap/>
              <w:overflowPunct/>
              <w:topLinePunct w:val="0"/>
              <w:bidi w:val="0"/>
              <w:spacing w:line="480" w:lineRule="exact"/>
              <w:ind w:firstLine="480" w:firstLineChars="200"/>
              <w:jc w:val="both"/>
              <w:textAlignment w:val="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 xml:space="preserve">审查机关：安徽省人民政府 </w:t>
            </w:r>
          </w:p>
          <w:p w14:paraId="18BE3963">
            <w:pPr>
              <w:keepNext w:val="0"/>
              <w:keepLines w:val="0"/>
              <w:pageBreakBefore w:val="0"/>
              <w:kinsoku/>
              <w:wordWrap/>
              <w:overflowPunct/>
              <w:topLinePunct w:val="0"/>
              <w:bidi w:val="0"/>
              <w:spacing w:line="480" w:lineRule="exact"/>
              <w:ind w:firstLine="480" w:firstLineChars="200"/>
              <w:jc w:val="both"/>
              <w:textAlignment w:val="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审批文件：安徽省人民政府关于同意安徽省江南产业集中区总体规划的批复</w:t>
            </w:r>
          </w:p>
          <w:p w14:paraId="61274739">
            <w:pPr>
              <w:keepNext w:val="0"/>
              <w:keepLines w:val="0"/>
              <w:pageBreakBefore w:val="0"/>
              <w:kinsoku/>
              <w:wordWrap/>
              <w:overflowPunct/>
              <w:topLinePunct w:val="0"/>
              <w:bidi w:val="0"/>
              <w:spacing w:line="480" w:lineRule="exact"/>
              <w:ind w:firstLine="480" w:firstLineChars="200"/>
              <w:jc w:val="both"/>
              <w:textAlignment w:val="auto"/>
              <w:rPr>
                <w:rFonts w:hint="default" w:ascii="Times New Roman" w:hAnsi="Times New Roman" w:cs="Times New Roman"/>
                <w:color w:val="auto"/>
                <w:kern w:val="0"/>
                <w:sz w:val="24"/>
                <w:szCs w:val="24"/>
                <w:lang w:val="en-US" w:eastAsia="zh-CN"/>
              </w:rPr>
            </w:pPr>
            <w:r>
              <w:rPr>
                <w:rFonts w:hint="default" w:ascii="Times New Roman" w:hAnsi="Times New Roman" w:cs="Times New Roman"/>
                <w:color w:val="auto"/>
                <w:kern w:val="0"/>
                <w:sz w:val="24"/>
                <w:szCs w:val="24"/>
              </w:rPr>
              <w:t>审查文号：皖政秘</w:t>
            </w:r>
            <w:r>
              <w:rPr>
                <w:rFonts w:hint="eastAsia" w:ascii="Times New Roman" w:hAnsi="Times New Roman" w:cs="Times New Roman"/>
                <w:color w:val="auto"/>
                <w:kern w:val="0"/>
                <w:sz w:val="24"/>
                <w:szCs w:val="24"/>
                <w:lang w:eastAsia="zh-CN"/>
              </w:rPr>
              <w:t>〔</w:t>
            </w:r>
            <w:r>
              <w:rPr>
                <w:rFonts w:hint="default" w:ascii="Times New Roman" w:hAnsi="Times New Roman" w:cs="Times New Roman"/>
                <w:color w:val="auto"/>
                <w:kern w:val="0"/>
                <w:sz w:val="24"/>
                <w:szCs w:val="24"/>
              </w:rPr>
              <w:t>2016</w:t>
            </w:r>
            <w:r>
              <w:rPr>
                <w:rFonts w:hint="eastAsia" w:ascii="Times New Roman" w:hAnsi="Times New Roman" w:cs="Times New Roman"/>
                <w:color w:val="auto"/>
                <w:kern w:val="0"/>
                <w:sz w:val="24"/>
                <w:szCs w:val="24"/>
                <w:lang w:eastAsia="zh-CN"/>
              </w:rPr>
              <w:t>〕</w:t>
            </w:r>
            <w:r>
              <w:rPr>
                <w:rFonts w:hint="default" w:ascii="Times New Roman" w:hAnsi="Times New Roman" w:cs="Times New Roman"/>
                <w:color w:val="auto"/>
                <w:kern w:val="0"/>
                <w:sz w:val="24"/>
                <w:szCs w:val="24"/>
              </w:rPr>
              <w:t>138号</w:t>
            </w:r>
          </w:p>
        </w:tc>
      </w:tr>
      <w:tr w14:paraId="62114E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12" w:type="dxa"/>
            <w:vAlign w:val="center"/>
          </w:tcPr>
          <w:p w14:paraId="3249B1A0">
            <w:pPr>
              <w:autoSpaceDE w:val="0"/>
              <w:autoSpaceDN w:val="0"/>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规划环境影响评价情况</w:t>
            </w:r>
          </w:p>
        </w:tc>
        <w:tc>
          <w:tcPr>
            <w:tcW w:w="8639" w:type="dxa"/>
            <w:gridSpan w:val="3"/>
            <w:shd w:val="clear" w:color="auto" w:fill="auto"/>
            <w:vAlign w:val="center"/>
          </w:tcPr>
          <w:p w14:paraId="6024B98F">
            <w:pPr>
              <w:keepNext w:val="0"/>
              <w:keepLines w:val="0"/>
              <w:pageBreakBefore w:val="0"/>
              <w:kinsoku/>
              <w:wordWrap/>
              <w:overflowPunct/>
              <w:topLinePunct w:val="0"/>
              <w:bidi w:val="0"/>
              <w:spacing w:line="480" w:lineRule="exact"/>
              <w:jc w:val="both"/>
              <w:textAlignment w:val="auto"/>
              <w:rPr>
                <w:rFonts w:hint="eastAsia" w:ascii="Times New Roman" w:hAnsi="Times New Roman" w:cs="Times New Roman"/>
                <w:color w:val="auto"/>
                <w:kern w:val="0"/>
                <w:sz w:val="24"/>
                <w:szCs w:val="24"/>
              </w:rPr>
            </w:pPr>
            <w:r>
              <w:rPr>
                <w:rFonts w:hint="eastAsia" w:ascii="Times New Roman" w:hAnsi="Times New Roman" w:cs="Times New Roman"/>
                <w:color w:val="auto"/>
                <w:kern w:val="0"/>
                <w:sz w:val="24"/>
                <w:szCs w:val="24"/>
              </w:rPr>
              <w:t>1、总体规划</w:t>
            </w:r>
          </w:p>
          <w:p w14:paraId="47758270">
            <w:pPr>
              <w:keepNext w:val="0"/>
              <w:keepLines w:val="0"/>
              <w:pageBreakBefore w:val="0"/>
              <w:kinsoku/>
              <w:wordWrap/>
              <w:overflowPunct/>
              <w:topLinePunct w:val="0"/>
              <w:bidi w:val="0"/>
              <w:spacing w:line="480" w:lineRule="exact"/>
              <w:ind w:firstLine="480" w:firstLineChars="200"/>
              <w:jc w:val="both"/>
              <w:textAlignment w:val="auto"/>
              <w:rPr>
                <w:rFonts w:hint="eastAsia" w:ascii="Times New Roman" w:hAnsi="Times New Roman" w:cs="Times New Roman"/>
                <w:color w:val="auto"/>
                <w:kern w:val="0"/>
                <w:sz w:val="24"/>
                <w:szCs w:val="24"/>
              </w:rPr>
            </w:pPr>
            <w:r>
              <w:rPr>
                <w:rFonts w:hint="eastAsia" w:ascii="Times New Roman" w:hAnsi="Times New Roman" w:cs="Times New Roman"/>
                <w:color w:val="auto"/>
                <w:kern w:val="0"/>
                <w:sz w:val="24"/>
                <w:szCs w:val="24"/>
              </w:rPr>
              <w:t>环评名称：《安徽省江南产业集中区总体规划环境影响报告书》</w:t>
            </w:r>
          </w:p>
          <w:p w14:paraId="5C177075">
            <w:pPr>
              <w:keepNext w:val="0"/>
              <w:keepLines w:val="0"/>
              <w:pageBreakBefore w:val="0"/>
              <w:kinsoku/>
              <w:wordWrap/>
              <w:overflowPunct/>
              <w:topLinePunct w:val="0"/>
              <w:bidi w:val="0"/>
              <w:spacing w:line="480" w:lineRule="exact"/>
              <w:ind w:firstLine="480" w:firstLineChars="200"/>
              <w:jc w:val="both"/>
              <w:textAlignment w:val="auto"/>
              <w:rPr>
                <w:rFonts w:hint="eastAsia" w:ascii="Times New Roman" w:hAnsi="Times New Roman" w:cs="Times New Roman"/>
                <w:color w:val="auto"/>
                <w:kern w:val="0"/>
                <w:sz w:val="24"/>
                <w:szCs w:val="24"/>
              </w:rPr>
            </w:pPr>
            <w:r>
              <w:rPr>
                <w:rFonts w:hint="eastAsia" w:ascii="Times New Roman" w:hAnsi="Times New Roman" w:cs="Times New Roman"/>
                <w:color w:val="auto"/>
                <w:kern w:val="0"/>
                <w:sz w:val="24"/>
                <w:szCs w:val="24"/>
              </w:rPr>
              <w:t>审查机关：原安徽省环境保护厅</w:t>
            </w:r>
          </w:p>
          <w:p w14:paraId="30C3B979">
            <w:pPr>
              <w:keepNext w:val="0"/>
              <w:keepLines w:val="0"/>
              <w:pageBreakBefore w:val="0"/>
              <w:kinsoku/>
              <w:wordWrap/>
              <w:overflowPunct/>
              <w:topLinePunct w:val="0"/>
              <w:bidi w:val="0"/>
              <w:spacing w:line="480" w:lineRule="exact"/>
              <w:ind w:firstLine="480" w:firstLineChars="200"/>
              <w:jc w:val="both"/>
              <w:textAlignment w:val="auto"/>
              <w:rPr>
                <w:rFonts w:hint="eastAsia" w:ascii="Times New Roman" w:hAnsi="Times New Roman" w:cs="Times New Roman"/>
                <w:color w:val="auto"/>
                <w:kern w:val="0"/>
                <w:sz w:val="24"/>
                <w:szCs w:val="24"/>
              </w:rPr>
            </w:pPr>
            <w:r>
              <w:rPr>
                <w:rFonts w:hint="eastAsia" w:ascii="Times New Roman" w:hAnsi="Times New Roman" w:cs="Times New Roman"/>
                <w:color w:val="auto"/>
                <w:kern w:val="0"/>
                <w:sz w:val="24"/>
                <w:szCs w:val="24"/>
              </w:rPr>
              <w:t>审批文件名称及文号：《关于安徽省江南产业集中区总体规划环境影响报告书审查意见的函》，皖环函〔2018〕374号</w:t>
            </w:r>
          </w:p>
          <w:p w14:paraId="6B774935">
            <w:pPr>
              <w:keepNext w:val="0"/>
              <w:keepLines w:val="0"/>
              <w:pageBreakBefore w:val="0"/>
              <w:kinsoku/>
              <w:wordWrap/>
              <w:overflowPunct/>
              <w:topLinePunct w:val="0"/>
              <w:bidi w:val="0"/>
              <w:spacing w:line="480" w:lineRule="exact"/>
              <w:jc w:val="both"/>
              <w:textAlignment w:val="auto"/>
              <w:rPr>
                <w:rFonts w:hint="eastAsia" w:ascii="Times New Roman" w:hAnsi="Times New Roman" w:cs="Times New Roman"/>
                <w:color w:val="auto"/>
                <w:kern w:val="0"/>
                <w:sz w:val="24"/>
                <w:szCs w:val="24"/>
              </w:rPr>
            </w:pPr>
            <w:r>
              <w:rPr>
                <w:rFonts w:hint="eastAsia" w:ascii="Times New Roman" w:hAnsi="Times New Roman" w:cs="Times New Roman"/>
                <w:color w:val="auto"/>
                <w:kern w:val="0"/>
                <w:sz w:val="24"/>
                <w:szCs w:val="24"/>
              </w:rPr>
              <w:t>2、产业发展规划</w:t>
            </w:r>
          </w:p>
          <w:p w14:paraId="3B7BAFF1">
            <w:pPr>
              <w:keepNext w:val="0"/>
              <w:keepLines w:val="0"/>
              <w:pageBreakBefore w:val="0"/>
              <w:kinsoku/>
              <w:wordWrap/>
              <w:overflowPunct/>
              <w:topLinePunct w:val="0"/>
              <w:bidi w:val="0"/>
              <w:spacing w:line="480" w:lineRule="exact"/>
              <w:ind w:firstLine="480" w:firstLineChars="200"/>
              <w:jc w:val="both"/>
              <w:textAlignment w:val="auto"/>
              <w:rPr>
                <w:rFonts w:hint="eastAsia" w:ascii="Times New Roman" w:hAnsi="Times New Roman" w:cs="Times New Roman"/>
                <w:color w:val="auto"/>
                <w:kern w:val="0"/>
                <w:sz w:val="24"/>
                <w:szCs w:val="24"/>
              </w:rPr>
            </w:pPr>
            <w:r>
              <w:rPr>
                <w:rFonts w:hint="eastAsia" w:ascii="Times New Roman" w:hAnsi="Times New Roman" w:cs="Times New Roman"/>
                <w:color w:val="auto"/>
                <w:kern w:val="0"/>
                <w:sz w:val="24"/>
                <w:szCs w:val="24"/>
              </w:rPr>
              <w:t>环评名称：《安徽省江南产业集中区产业发展规划</w:t>
            </w:r>
            <w:r>
              <w:rPr>
                <w:rFonts w:hint="eastAsia" w:cs="Times New Roman"/>
                <w:color w:val="auto"/>
                <w:kern w:val="0"/>
                <w:sz w:val="24"/>
                <w:szCs w:val="24"/>
                <w:lang w:eastAsia="zh-CN"/>
              </w:rPr>
              <w:t>（</w:t>
            </w:r>
            <w:r>
              <w:rPr>
                <w:rFonts w:hint="eastAsia" w:ascii="Times New Roman" w:hAnsi="Times New Roman" w:cs="Times New Roman"/>
                <w:color w:val="auto"/>
                <w:kern w:val="0"/>
                <w:sz w:val="24"/>
                <w:szCs w:val="24"/>
              </w:rPr>
              <w:t>2019-2030 年）环境影响报告书》</w:t>
            </w:r>
          </w:p>
          <w:p w14:paraId="790AD3EB">
            <w:pPr>
              <w:keepNext w:val="0"/>
              <w:keepLines w:val="0"/>
              <w:pageBreakBefore w:val="0"/>
              <w:kinsoku/>
              <w:wordWrap/>
              <w:overflowPunct/>
              <w:topLinePunct w:val="0"/>
              <w:bidi w:val="0"/>
              <w:spacing w:line="480" w:lineRule="exact"/>
              <w:ind w:firstLine="480" w:firstLineChars="200"/>
              <w:jc w:val="both"/>
              <w:textAlignment w:val="auto"/>
              <w:rPr>
                <w:rFonts w:hint="eastAsia" w:ascii="Times New Roman" w:hAnsi="Times New Roman" w:cs="Times New Roman"/>
                <w:color w:val="auto"/>
                <w:kern w:val="0"/>
                <w:sz w:val="24"/>
                <w:szCs w:val="24"/>
              </w:rPr>
            </w:pPr>
            <w:r>
              <w:rPr>
                <w:rFonts w:hint="eastAsia" w:ascii="Times New Roman" w:hAnsi="Times New Roman" w:cs="Times New Roman"/>
                <w:color w:val="auto"/>
                <w:kern w:val="0"/>
                <w:sz w:val="24"/>
                <w:szCs w:val="24"/>
              </w:rPr>
              <w:t>审查机关：安徽省生态环境厅</w:t>
            </w:r>
          </w:p>
          <w:p w14:paraId="787221DB">
            <w:pPr>
              <w:keepNext w:val="0"/>
              <w:keepLines w:val="0"/>
              <w:pageBreakBefore w:val="0"/>
              <w:kinsoku/>
              <w:wordWrap/>
              <w:overflowPunct/>
              <w:topLinePunct w:val="0"/>
              <w:bidi w:val="0"/>
              <w:spacing w:line="480" w:lineRule="exact"/>
              <w:ind w:firstLine="480" w:firstLineChars="200"/>
              <w:jc w:val="both"/>
              <w:textAlignment w:val="auto"/>
              <w:rPr>
                <w:rFonts w:hint="default" w:ascii="Times New Roman" w:hAnsi="Times New Roman" w:cs="Times New Roman"/>
                <w:color w:val="auto"/>
                <w:kern w:val="0"/>
                <w:sz w:val="24"/>
                <w:szCs w:val="24"/>
                <w:lang w:val="en-US" w:eastAsia="zh-CN"/>
              </w:rPr>
            </w:pPr>
            <w:r>
              <w:rPr>
                <w:rFonts w:hint="eastAsia" w:ascii="Times New Roman" w:hAnsi="Times New Roman" w:cs="Times New Roman"/>
                <w:color w:val="auto"/>
                <w:kern w:val="0"/>
                <w:sz w:val="24"/>
                <w:szCs w:val="24"/>
              </w:rPr>
              <w:t>审批文件名称及文号：关于印发《安徽省江南产业集中区产业发展规划</w:t>
            </w:r>
            <w:r>
              <w:rPr>
                <w:rFonts w:hint="eastAsia" w:cs="Times New Roman"/>
                <w:color w:val="auto"/>
                <w:kern w:val="0"/>
                <w:sz w:val="24"/>
                <w:szCs w:val="24"/>
                <w:lang w:eastAsia="zh-CN"/>
              </w:rPr>
              <w:t>（</w:t>
            </w:r>
            <w:r>
              <w:rPr>
                <w:rFonts w:hint="eastAsia" w:ascii="Times New Roman" w:hAnsi="Times New Roman" w:cs="Times New Roman"/>
                <w:color w:val="auto"/>
                <w:kern w:val="0"/>
                <w:sz w:val="24"/>
                <w:szCs w:val="24"/>
              </w:rPr>
              <w:t>2019-2030 年）环境影响报告书审查意见》的函，皖环函〔2020〕107号</w:t>
            </w:r>
          </w:p>
        </w:tc>
      </w:tr>
      <w:tr w14:paraId="7B4A27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12" w:type="dxa"/>
            <w:vAlign w:val="center"/>
          </w:tcPr>
          <w:p w14:paraId="4CEB5D93">
            <w:pPr>
              <w:autoSpaceDE w:val="0"/>
              <w:autoSpaceDN w:val="0"/>
              <w:adjustRightInd w:val="0"/>
              <w:snapToGrid w:val="0"/>
              <w:jc w:val="center"/>
              <w:rPr>
                <w:rFonts w:hint="default" w:ascii="Times New Roman" w:hAnsi="Times New Roman" w:cs="Times New Roman"/>
                <w:b/>
                <w:bCs/>
                <w:color w:val="auto"/>
                <w:spacing w:val="0"/>
                <w:position w:val="0"/>
                <w:sz w:val="24"/>
              </w:rPr>
            </w:pPr>
            <w:r>
              <w:rPr>
                <w:rFonts w:hint="default" w:ascii="Times New Roman" w:hAnsi="Times New Roman" w:cs="Times New Roman"/>
                <w:b/>
                <w:bCs/>
                <w:color w:val="auto"/>
                <w:spacing w:val="0"/>
                <w:position w:val="0"/>
                <w:sz w:val="24"/>
              </w:rPr>
              <w:t>规划及规划环境影响评价符合性分析</w:t>
            </w:r>
          </w:p>
        </w:tc>
        <w:tc>
          <w:tcPr>
            <w:tcW w:w="8639" w:type="dxa"/>
            <w:gridSpan w:val="3"/>
            <w:shd w:val="clear" w:color="auto" w:fill="auto"/>
            <w:vAlign w:val="top"/>
          </w:tcPr>
          <w:p w14:paraId="68014948">
            <w:pPr>
              <w:pStyle w:val="49"/>
              <w:keepNext w:val="0"/>
              <w:keepLines w:val="0"/>
              <w:pageBreakBefore w:val="0"/>
              <w:widowControl w:val="0"/>
              <w:kinsoku/>
              <w:wordWrap/>
              <w:overflowPunct/>
              <w:topLinePunct w:val="0"/>
              <w:autoSpaceDE/>
              <w:autoSpaceDN/>
              <w:bidi w:val="0"/>
              <w:snapToGrid w:val="0"/>
              <w:spacing w:line="480" w:lineRule="exact"/>
              <w:ind w:right="0"/>
              <w:jc w:val="both"/>
              <w:textAlignment w:val="auto"/>
              <w:rPr>
                <w:rFonts w:hint="eastAsia" w:ascii="Times New Roman" w:hAnsi="Times New Roman" w:eastAsia="宋体" w:cs="Times New Roman"/>
                <w:b/>
                <w:bCs/>
                <w:color w:val="auto"/>
                <w:spacing w:val="0"/>
                <w:position w:val="0"/>
                <w:sz w:val="24"/>
                <w:lang w:val="en-US" w:eastAsia="zh-CN"/>
              </w:rPr>
            </w:pPr>
            <w:r>
              <w:rPr>
                <w:rFonts w:hint="eastAsia" w:ascii="Times New Roman" w:hAnsi="Times New Roman" w:eastAsia="宋体" w:cs="Times New Roman"/>
                <w:b/>
                <w:bCs/>
                <w:color w:val="auto"/>
                <w:spacing w:val="0"/>
                <w:position w:val="0"/>
                <w:sz w:val="24"/>
                <w:lang w:val="en-US" w:eastAsia="zh-CN"/>
              </w:rPr>
              <w:t>1、与《安徽省江南产业集中区总体规划》</w:t>
            </w:r>
            <w:r>
              <w:rPr>
                <w:rFonts w:hint="eastAsia" w:ascii="Times New Roman" w:hAnsi="Times New Roman" w:cs="Times New Roman"/>
                <w:b/>
                <w:bCs/>
                <w:color w:val="auto"/>
                <w:spacing w:val="0"/>
                <w:position w:val="0"/>
                <w:sz w:val="24"/>
                <w:lang w:val="en-US" w:eastAsia="zh-CN"/>
              </w:rPr>
              <w:t>符合性</w:t>
            </w:r>
            <w:r>
              <w:rPr>
                <w:rFonts w:hint="eastAsia" w:ascii="Times New Roman" w:hAnsi="Times New Roman" w:eastAsia="宋体" w:cs="Times New Roman"/>
                <w:b/>
                <w:bCs/>
                <w:color w:val="auto"/>
                <w:spacing w:val="0"/>
                <w:position w:val="0"/>
                <w:sz w:val="24"/>
                <w:lang w:val="en-US" w:eastAsia="zh-CN"/>
              </w:rPr>
              <w:t>分析</w:t>
            </w:r>
          </w:p>
          <w:p w14:paraId="45D1B0D3">
            <w:pPr>
              <w:pStyle w:val="49"/>
              <w:keepNext w:val="0"/>
              <w:keepLines w:val="0"/>
              <w:pageBreakBefore w:val="0"/>
              <w:widowControl w:val="0"/>
              <w:kinsoku/>
              <w:wordWrap/>
              <w:overflowPunct/>
              <w:topLinePunct w:val="0"/>
              <w:autoSpaceDE/>
              <w:autoSpaceDN/>
              <w:bidi w:val="0"/>
              <w:snapToGrid w:val="0"/>
              <w:spacing w:line="480" w:lineRule="exact"/>
              <w:ind w:left="0" w:right="0" w:firstLine="482" w:firstLineChars="200"/>
              <w:jc w:val="both"/>
              <w:textAlignment w:val="auto"/>
              <w:rPr>
                <w:rFonts w:hint="eastAsia" w:ascii="Times New Roman" w:hAnsi="Times New Roman" w:eastAsia="宋体" w:cs="Times New Roman"/>
                <w:color w:val="auto"/>
                <w:spacing w:val="0"/>
                <w:position w:val="0"/>
                <w:sz w:val="24"/>
                <w:lang w:val="en-US" w:eastAsia="zh-CN"/>
              </w:rPr>
            </w:pPr>
            <w:r>
              <w:rPr>
                <w:rFonts w:hint="eastAsia" w:ascii="Times New Roman" w:hAnsi="Times New Roman" w:eastAsia="宋体" w:cs="Times New Roman"/>
                <w:b/>
                <w:bCs/>
                <w:color w:val="auto"/>
                <w:spacing w:val="0"/>
                <w:position w:val="0"/>
                <w:sz w:val="24"/>
                <w:lang w:val="en-US" w:eastAsia="zh-CN"/>
              </w:rPr>
              <w:t>规划范围：</w:t>
            </w:r>
            <w:r>
              <w:rPr>
                <w:rFonts w:hint="eastAsia" w:ascii="Times New Roman" w:hAnsi="Times New Roman" w:eastAsia="宋体" w:cs="Times New Roman"/>
                <w:color w:val="auto"/>
                <w:spacing w:val="0"/>
                <w:position w:val="0"/>
                <w:sz w:val="24"/>
                <w:lang w:val="en-US" w:eastAsia="zh-CN"/>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w:t>
            </w:r>
          </w:p>
          <w:p w14:paraId="3114D305">
            <w:pPr>
              <w:pStyle w:val="49"/>
              <w:keepNext w:val="0"/>
              <w:keepLines w:val="0"/>
              <w:pageBreakBefore w:val="0"/>
              <w:widowControl w:val="0"/>
              <w:kinsoku/>
              <w:wordWrap/>
              <w:overflowPunct/>
              <w:topLinePunct w:val="0"/>
              <w:autoSpaceDE/>
              <w:autoSpaceDN/>
              <w:bidi w:val="0"/>
              <w:snapToGrid w:val="0"/>
              <w:spacing w:line="480" w:lineRule="exact"/>
              <w:ind w:left="0" w:right="0" w:firstLine="482" w:firstLineChars="200"/>
              <w:jc w:val="both"/>
              <w:textAlignment w:val="auto"/>
              <w:rPr>
                <w:rFonts w:hint="eastAsia" w:ascii="Times New Roman" w:hAnsi="Times New Roman" w:eastAsia="宋体" w:cs="Times New Roman"/>
                <w:color w:val="auto"/>
                <w:spacing w:val="0"/>
                <w:position w:val="0"/>
                <w:sz w:val="24"/>
                <w:lang w:val="en-US" w:eastAsia="zh-CN"/>
              </w:rPr>
            </w:pPr>
            <w:r>
              <w:rPr>
                <w:rFonts w:hint="eastAsia" w:ascii="Times New Roman" w:hAnsi="Times New Roman" w:eastAsia="宋体" w:cs="Times New Roman"/>
                <w:b/>
                <w:bCs/>
                <w:color w:val="auto"/>
                <w:spacing w:val="0"/>
                <w:position w:val="0"/>
                <w:sz w:val="24"/>
                <w:lang w:val="en-US" w:eastAsia="zh-CN"/>
              </w:rPr>
              <w:t>产业发展规划：</w:t>
            </w:r>
            <w:r>
              <w:rPr>
                <w:rFonts w:hint="eastAsia" w:ascii="Times New Roman" w:hAnsi="Times New Roman" w:eastAsia="宋体" w:cs="Times New Roman"/>
                <w:color w:val="auto"/>
                <w:spacing w:val="0"/>
                <w:position w:val="0"/>
                <w:sz w:val="24"/>
                <w:lang w:val="en-US" w:eastAsia="zh-CN"/>
              </w:rPr>
              <w:t>集中区重点发展三大战略性新兴产业、现代服务业。积极培育三大战略性新兴产业</w:t>
            </w:r>
            <w:r>
              <w:rPr>
                <w:rFonts w:hint="default" w:ascii="Times New Roman" w:hAnsi="Times New Roman" w:eastAsia="宋体" w:cs="Times New Roman"/>
                <w:color w:val="auto"/>
                <w:spacing w:val="0"/>
                <w:position w:val="0"/>
                <w:sz w:val="24"/>
                <w:lang w:val="en-US" w:eastAsia="zh-CN"/>
              </w:rPr>
              <w:t>——</w:t>
            </w:r>
            <w:r>
              <w:rPr>
                <w:rFonts w:hint="eastAsia" w:ascii="Times New Roman" w:hAnsi="Times New Roman" w:eastAsia="宋体" w:cs="Times New Roman"/>
                <w:color w:val="auto"/>
                <w:spacing w:val="0"/>
                <w:position w:val="0"/>
                <w:sz w:val="24"/>
                <w:lang w:val="en-US" w:eastAsia="zh-CN"/>
              </w:rPr>
              <w:t>包括电子信息产业、高端装备制造业和新材料产业</w:t>
            </w:r>
            <w:r>
              <w:rPr>
                <w:rFonts w:hint="eastAsia" w:ascii="Times New Roman" w:hAnsi="Times New Roman" w:cs="Times New Roman"/>
                <w:color w:val="auto"/>
                <w:spacing w:val="0"/>
                <w:position w:val="0"/>
                <w:sz w:val="24"/>
                <w:lang w:val="en-US" w:eastAsia="zh-CN"/>
              </w:rPr>
              <w:t>；</w:t>
            </w:r>
            <w:r>
              <w:rPr>
                <w:rFonts w:hint="eastAsia" w:ascii="Times New Roman" w:hAnsi="Times New Roman" w:eastAsia="宋体" w:cs="Times New Roman"/>
                <w:color w:val="auto"/>
                <w:spacing w:val="0"/>
                <w:position w:val="0"/>
                <w:sz w:val="24"/>
                <w:lang w:val="en-US" w:eastAsia="zh-CN"/>
              </w:rPr>
              <w:t>加快发展现代服务业</w:t>
            </w:r>
            <w:r>
              <w:rPr>
                <w:rFonts w:hint="default" w:ascii="Times New Roman" w:hAnsi="Times New Roman" w:eastAsia="宋体" w:cs="Times New Roman"/>
                <w:color w:val="auto"/>
                <w:spacing w:val="0"/>
                <w:position w:val="0"/>
                <w:sz w:val="24"/>
                <w:lang w:val="en-US" w:eastAsia="zh-CN"/>
              </w:rPr>
              <w:t>——</w:t>
            </w:r>
            <w:r>
              <w:rPr>
                <w:rFonts w:hint="eastAsia" w:ascii="Times New Roman" w:hAnsi="Times New Roman" w:eastAsia="宋体" w:cs="Times New Roman"/>
                <w:color w:val="auto"/>
                <w:spacing w:val="0"/>
                <w:position w:val="0"/>
                <w:sz w:val="24"/>
                <w:lang w:val="en-US" w:eastAsia="zh-CN"/>
              </w:rPr>
              <w:t>包括现代物流、研发创意、商务服务、信息服务、通用航空、大健康服务等。</w:t>
            </w:r>
          </w:p>
          <w:p w14:paraId="7B02B133">
            <w:pPr>
              <w:pStyle w:val="49"/>
              <w:keepNext w:val="0"/>
              <w:keepLines w:val="0"/>
              <w:pageBreakBefore w:val="0"/>
              <w:widowControl w:val="0"/>
              <w:kinsoku/>
              <w:wordWrap/>
              <w:overflowPunct/>
              <w:topLinePunct w:val="0"/>
              <w:autoSpaceDE/>
              <w:autoSpaceDN/>
              <w:bidi w:val="0"/>
              <w:snapToGrid w:val="0"/>
              <w:spacing w:line="480" w:lineRule="exact"/>
              <w:ind w:left="0" w:leftChars="0" w:right="0" w:rightChars="0" w:firstLine="482" w:firstLineChars="200"/>
              <w:jc w:val="both"/>
              <w:textAlignment w:val="auto"/>
              <w:rPr>
                <w:rFonts w:hint="default" w:ascii="Times New Roman" w:hAnsi="Times New Roman" w:eastAsia="宋体" w:cs="Times New Roman"/>
                <w:color w:val="auto"/>
                <w:spacing w:val="0"/>
                <w:position w:val="0"/>
                <w:sz w:val="24"/>
                <w:lang w:val="en-US" w:eastAsia="zh-CN"/>
              </w:rPr>
            </w:pPr>
            <w:r>
              <w:rPr>
                <w:rFonts w:hint="eastAsia" w:ascii="Times New Roman" w:hAnsi="Times New Roman" w:eastAsia="宋体" w:cs="Times New Roman"/>
                <w:b/>
                <w:bCs/>
                <w:color w:val="auto"/>
                <w:spacing w:val="0"/>
                <w:position w:val="0"/>
                <w:sz w:val="24"/>
                <w:lang w:val="en-US" w:eastAsia="zh-CN"/>
              </w:rPr>
              <w:t>符合性：</w:t>
            </w:r>
            <w:r>
              <w:rPr>
                <w:rFonts w:hint="eastAsia" w:ascii="Times New Roman" w:hAnsi="Times New Roman" w:cs="Times New Roman"/>
                <w:b w:val="0"/>
                <w:bCs w:val="0"/>
                <w:color w:val="auto"/>
                <w:spacing w:val="0"/>
                <w:position w:val="0"/>
                <w:sz w:val="24"/>
                <w:lang w:val="en-US" w:eastAsia="zh-CN"/>
              </w:rPr>
              <w:t>项目选址位于集中区规划的万凯产业园，</w:t>
            </w:r>
            <w:r>
              <w:rPr>
                <w:rFonts w:hint="eastAsia" w:eastAsia="宋体" w:cs="Times New Roman"/>
                <w:color w:val="auto"/>
                <w:spacing w:val="0"/>
                <w:position w:val="0"/>
                <w:sz w:val="24"/>
                <w:szCs w:val="24"/>
                <w:lang w:val="en-US" w:eastAsia="zh-CN"/>
              </w:rPr>
              <w:t>根据《安徽省江南产业集中区总体规划</w:t>
            </w:r>
            <w:r>
              <w:rPr>
                <w:rFonts w:hint="default" w:ascii="Times New Roman" w:hAnsi="Times New Roman" w:eastAsia="宋体" w:cs="Times New Roman"/>
                <w:color w:val="auto"/>
                <w:spacing w:val="0"/>
                <w:position w:val="0"/>
                <w:sz w:val="24"/>
                <w:szCs w:val="24"/>
                <w:lang w:val="en-US" w:eastAsia="zh-CN"/>
              </w:rPr>
              <w:t>》</w:t>
            </w:r>
            <w:r>
              <w:rPr>
                <w:rFonts w:hint="eastAsia" w:ascii="Times New Roman" w:hAnsi="Times New Roman" w:cs="Times New Roman"/>
                <w:color w:val="auto"/>
                <w:spacing w:val="0"/>
                <w:position w:val="0"/>
                <w:sz w:val="24"/>
                <w:szCs w:val="24"/>
                <w:lang w:val="en-US" w:eastAsia="zh-CN"/>
              </w:rPr>
              <w:t>（</w:t>
            </w:r>
            <w:r>
              <w:rPr>
                <w:rFonts w:hint="default" w:ascii="Times New Roman" w:hAnsi="Times New Roman" w:eastAsia="宋体" w:cs="Times New Roman"/>
                <w:color w:val="auto"/>
                <w:spacing w:val="0"/>
                <w:position w:val="0"/>
                <w:sz w:val="24"/>
                <w:szCs w:val="24"/>
                <w:lang w:val="en-US" w:eastAsia="zh-CN"/>
              </w:rPr>
              <w:t>2010-2030年</w:t>
            </w:r>
            <w:r>
              <w:rPr>
                <w:rFonts w:hint="eastAsia" w:ascii="Times New Roman" w:hAnsi="Times New Roman" w:eastAsia="宋体" w:cs="Times New Roman"/>
                <w:color w:val="auto"/>
                <w:spacing w:val="0"/>
                <w:position w:val="0"/>
                <w:sz w:val="24"/>
                <w:szCs w:val="24"/>
                <w:lang w:val="en-US" w:eastAsia="zh-CN"/>
              </w:rPr>
              <w:t>）</w:t>
            </w:r>
            <w:r>
              <w:rPr>
                <w:rFonts w:hint="default" w:ascii="Times New Roman" w:hAnsi="Times New Roman" w:eastAsia="宋体" w:cs="Times New Roman"/>
                <w:color w:val="auto"/>
                <w:spacing w:val="0"/>
                <w:position w:val="0"/>
                <w:sz w:val="24"/>
                <w:szCs w:val="24"/>
                <w:lang w:val="en-US" w:eastAsia="zh-CN"/>
              </w:rPr>
              <w:t>中规划用地布局图</w:t>
            </w:r>
            <w:r>
              <w:rPr>
                <w:rFonts w:hint="eastAsia" w:ascii="Times New Roman" w:hAnsi="Times New Roman" w:cs="Times New Roman"/>
                <w:color w:val="auto"/>
                <w:spacing w:val="0"/>
                <w:position w:val="0"/>
                <w:sz w:val="24"/>
                <w:szCs w:val="24"/>
                <w:lang w:val="en-US" w:eastAsia="zh-CN"/>
              </w:rPr>
              <w:t>（附图8）</w:t>
            </w:r>
            <w:r>
              <w:rPr>
                <w:rFonts w:hint="default" w:ascii="Times New Roman" w:hAnsi="Times New Roman" w:eastAsia="宋体" w:cs="Times New Roman"/>
                <w:color w:val="auto"/>
                <w:spacing w:val="0"/>
                <w:position w:val="0"/>
                <w:sz w:val="24"/>
                <w:szCs w:val="24"/>
                <w:lang w:val="en-US" w:eastAsia="zh-CN"/>
              </w:rPr>
              <w:t>，项目</w:t>
            </w:r>
            <w:r>
              <w:rPr>
                <w:rFonts w:hint="eastAsia" w:ascii="Times New Roman" w:hAnsi="Times New Roman" w:cs="Times New Roman"/>
                <w:color w:val="auto"/>
                <w:spacing w:val="0"/>
                <w:position w:val="0"/>
                <w:sz w:val="24"/>
                <w:szCs w:val="24"/>
                <w:lang w:val="en-US" w:eastAsia="zh-CN"/>
              </w:rPr>
              <w:t>用地</w:t>
            </w:r>
            <w:r>
              <w:rPr>
                <w:rFonts w:hint="default" w:ascii="Times New Roman" w:hAnsi="Times New Roman" w:eastAsia="宋体" w:cs="Times New Roman"/>
                <w:color w:val="auto"/>
                <w:spacing w:val="0"/>
                <w:position w:val="0"/>
                <w:sz w:val="24"/>
                <w:szCs w:val="24"/>
                <w:lang w:val="en-US" w:eastAsia="zh-CN"/>
              </w:rPr>
              <w:t>属于工业用地</w:t>
            </w:r>
            <w:r>
              <w:rPr>
                <w:rFonts w:hint="default" w:ascii="Times New Roman" w:hAnsi="Times New Roman" w:eastAsia="宋体" w:cs="Times New Roman"/>
                <w:color w:val="auto"/>
                <w:spacing w:val="0"/>
                <w:position w:val="0"/>
                <w:sz w:val="24"/>
                <w:lang w:val="en-US" w:eastAsia="zh-CN"/>
              </w:rPr>
              <w:t>，具体见</w:t>
            </w:r>
            <w:r>
              <w:rPr>
                <w:rFonts w:hint="eastAsia" w:ascii="Times New Roman" w:hAnsi="Times New Roman" w:eastAsia="宋体" w:cs="Times New Roman"/>
                <w:color w:val="auto"/>
                <w:spacing w:val="0"/>
                <w:position w:val="0"/>
                <w:sz w:val="24"/>
                <w:lang w:val="en-US" w:eastAsia="zh-CN"/>
              </w:rPr>
              <w:t>附图</w:t>
            </w:r>
            <w:r>
              <w:rPr>
                <w:rFonts w:hint="eastAsia" w:ascii="Times New Roman" w:hAnsi="Times New Roman" w:cs="Times New Roman"/>
                <w:color w:val="auto"/>
                <w:spacing w:val="0"/>
                <w:position w:val="0"/>
                <w:sz w:val="24"/>
                <w:lang w:val="en-US" w:eastAsia="zh-CN"/>
              </w:rPr>
              <w:t>10</w:t>
            </w:r>
            <w:r>
              <w:rPr>
                <w:rFonts w:hint="default" w:ascii="Times New Roman" w:hAnsi="Times New Roman" w:eastAsia="宋体" w:cs="Times New Roman"/>
                <w:color w:val="auto"/>
                <w:spacing w:val="0"/>
                <w:position w:val="0"/>
                <w:sz w:val="24"/>
                <w:lang w:val="en-US" w:eastAsia="zh-CN"/>
              </w:rPr>
              <w:t>。故本项目与《安徽省江南产业集中区总体规划》</w:t>
            </w:r>
            <w:r>
              <w:rPr>
                <w:rFonts w:hint="eastAsia" w:ascii="Times New Roman" w:hAnsi="Times New Roman" w:cs="Times New Roman"/>
                <w:color w:val="auto"/>
                <w:spacing w:val="0"/>
                <w:position w:val="0"/>
                <w:sz w:val="24"/>
                <w:lang w:val="en-US" w:eastAsia="zh-CN"/>
              </w:rPr>
              <w:t>（</w:t>
            </w:r>
            <w:r>
              <w:rPr>
                <w:rFonts w:hint="default" w:ascii="Times New Roman" w:hAnsi="Times New Roman" w:eastAsia="宋体" w:cs="Times New Roman"/>
                <w:color w:val="auto"/>
                <w:spacing w:val="0"/>
                <w:position w:val="0"/>
                <w:sz w:val="24"/>
                <w:lang w:val="en-US" w:eastAsia="zh-CN"/>
              </w:rPr>
              <w:t>2010-2030年）相符</w:t>
            </w:r>
            <w:r>
              <w:rPr>
                <w:rFonts w:hint="eastAsia" w:ascii="Times New Roman" w:hAnsi="Times New Roman" w:eastAsia="宋体" w:cs="Times New Roman"/>
                <w:color w:val="auto"/>
                <w:spacing w:val="0"/>
                <w:position w:val="0"/>
                <w:sz w:val="24"/>
                <w:lang w:val="en-US" w:eastAsia="zh-CN"/>
              </w:rPr>
              <w:t>。</w:t>
            </w:r>
          </w:p>
          <w:p w14:paraId="694F2B44">
            <w:pPr>
              <w:pStyle w:val="11"/>
              <w:spacing w:line="460" w:lineRule="exact"/>
              <w:jc w:val="both"/>
              <w:rPr>
                <w:rFonts w:hint="eastAsia" w:ascii="Times New Roman" w:hAnsi="宋体" w:eastAsia="宋体" w:cs="Times New Roman"/>
                <w:b/>
                <w:bCs w:val="0"/>
                <w:color w:val="auto"/>
                <w:spacing w:val="0"/>
                <w:position w:val="0"/>
                <w:lang w:val="en-US" w:eastAsia="zh-CN"/>
              </w:rPr>
            </w:pPr>
            <w:r>
              <w:rPr>
                <w:rFonts w:hint="eastAsia" w:hAnsi="宋体"/>
                <w:b/>
                <w:bCs w:val="0"/>
                <w:color w:val="auto"/>
                <w:spacing w:val="0"/>
                <w:position w:val="0"/>
                <w:lang w:val="en-US" w:eastAsia="zh-CN"/>
              </w:rPr>
              <w:t>2、与</w:t>
            </w:r>
            <w:r>
              <w:rPr>
                <w:rFonts w:hint="eastAsia" w:ascii="Times New Roman" w:hAnsi="宋体" w:eastAsia="宋体" w:cs="Times New Roman"/>
                <w:b/>
                <w:bCs w:val="0"/>
                <w:color w:val="auto"/>
                <w:spacing w:val="0"/>
                <w:position w:val="0"/>
                <w:lang w:val="en-US" w:eastAsia="zh-CN"/>
              </w:rPr>
              <w:t>《安徽省江南产业集中区产业发展规划</w:t>
            </w:r>
            <w:r>
              <w:rPr>
                <w:rFonts w:hint="eastAsia" w:hAnsi="宋体" w:cs="Times New Roman"/>
                <w:b/>
                <w:bCs w:val="0"/>
                <w:color w:val="auto"/>
                <w:spacing w:val="0"/>
                <w:position w:val="0"/>
                <w:lang w:val="en-US" w:eastAsia="zh-CN"/>
              </w:rPr>
              <w:t>（</w:t>
            </w:r>
            <w:r>
              <w:rPr>
                <w:rFonts w:hint="eastAsia" w:ascii="Times New Roman" w:hAnsi="宋体" w:eastAsia="宋体" w:cs="Times New Roman"/>
                <w:b/>
                <w:bCs w:val="0"/>
                <w:color w:val="auto"/>
                <w:spacing w:val="0"/>
                <w:position w:val="0"/>
                <w:lang w:val="en-US" w:eastAsia="zh-CN"/>
              </w:rPr>
              <w:t>2019-2030）》及审查意见</w:t>
            </w:r>
            <w:r>
              <w:rPr>
                <w:rFonts w:hint="eastAsia" w:hAnsi="宋体" w:cs="Times New Roman"/>
                <w:b/>
                <w:bCs w:val="0"/>
                <w:color w:val="auto"/>
                <w:spacing w:val="0"/>
                <w:position w:val="0"/>
                <w:lang w:val="en-US" w:eastAsia="zh-CN"/>
              </w:rPr>
              <w:t>符合性</w:t>
            </w:r>
            <w:r>
              <w:rPr>
                <w:rFonts w:hint="eastAsia" w:ascii="Times New Roman" w:hAnsi="宋体" w:eastAsia="宋体" w:cs="Times New Roman"/>
                <w:b/>
                <w:bCs w:val="0"/>
                <w:color w:val="auto"/>
                <w:spacing w:val="0"/>
                <w:position w:val="0"/>
                <w:lang w:val="en-US" w:eastAsia="zh-CN"/>
              </w:rPr>
              <w:t>分析</w:t>
            </w:r>
          </w:p>
          <w:p w14:paraId="7519C19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宋体" w:eastAsia="宋体" w:cs="Times New Roman"/>
                <w:b w:val="0"/>
                <w:bCs/>
                <w:color w:val="auto"/>
                <w:spacing w:val="0"/>
                <w:kern w:val="0"/>
                <w:position w:val="0"/>
                <w:sz w:val="24"/>
                <w:szCs w:val="20"/>
                <w:lang w:val="en-US" w:eastAsia="zh-CN" w:bidi="ar-SA"/>
              </w:rPr>
            </w:pPr>
            <w:r>
              <w:rPr>
                <w:rFonts w:hint="eastAsia" w:hAnsi="宋体" w:cs="Times New Roman"/>
                <w:b w:val="0"/>
                <w:bCs/>
                <w:color w:val="auto"/>
                <w:spacing w:val="0"/>
                <w:kern w:val="0"/>
                <w:position w:val="0"/>
                <w:sz w:val="24"/>
                <w:szCs w:val="20"/>
                <w:lang w:val="en-US" w:eastAsia="zh-CN" w:bidi="ar-SA"/>
              </w:rPr>
              <w:t>（</w:t>
            </w:r>
            <w:r>
              <w:rPr>
                <w:rFonts w:hint="eastAsia" w:ascii="Times New Roman" w:hAnsi="宋体" w:eastAsia="宋体" w:cs="Times New Roman"/>
                <w:b w:val="0"/>
                <w:bCs/>
                <w:color w:val="auto"/>
                <w:spacing w:val="0"/>
                <w:kern w:val="0"/>
                <w:position w:val="0"/>
                <w:sz w:val="24"/>
                <w:szCs w:val="20"/>
                <w:lang w:val="en-US" w:eastAsia="zh-CN" w:bidi="ar-SA"/>
              </w:rPr>
              <w:t>1）规划范围</w:t>
            </w:r>
          </w:p>
          <w:p w14:paraId="221A6E2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宋体" w:eastAsia="宋体" w:cs="Times New Roman"/>
                <w:b w:val="0"/>
                <w:bCs/>
                <w:color w:val="auto"/>
                <w:spacing w:val="0"/>
                <w:kern w:val="0"/>
                <w:position w:val="0"/>
                <w:sz w:val="24"/>
                <w:szCs w:val="20"/>
                <w:lang w:val="en-US" w:eastAsia="zh-CN" w:bidi="ar-SA"/>
              </w:rPr>
            </w:pPr>
            <w:r>
              <w:rPr>
                <w:rFonts w:hint="eastAsia" w:ascii="Times New Roman" w:hAnsi="宋体" w:eastAsia="宋体" w:cs="Times New Roman"/>
                <w:b w:val="0"/>
                <w:bCs/>
                <w:color w:val="auto"/>
                <w:spacing w:val="0"/>
                <w:kern w:val="0"/>
                <w:position w:val="0"/>
                <w:sz w:val="24"/>
                <w:szCs w:val="20"/>
                <w:lang w:val="en-US" w:eastAsia="zh-CN" w:bidi="ar-SA"/>
              </w:rPr>
              <w:t>安徽省江南产业集中区</w:t>
            </w:r>
            <w:r>
              <w:rPr>
                <w:rFonts w:hint="eastAsia" w:hAnsi="宋体" w:cs="Times New Roman"/>
                <w:b w:val="0"/>
                <w:bCs/>
                <w:color w:val="auto"/>
                <w:spacing w:val="0"/>
                <w:kern w:val="0"/>
                <w:position w:val="0"/>
                <w:sz w:val="24"/>
                <w:szCs w:val="20"/>
                <w:lang w:val="en-US" w:eastAsia="zh-CN" w:bidi="ar-SA"/>
              </w:rPr>
              <w:t>（</w:t>
            </w:r>
            <w:r>
              <w:rPr>
                <w:rFonts w:hint="eastAsia" w:ascii="Times New Roman" w:hAnsi="宋体" w:eastAsia="宋体" w:cs="Times New Roman"/>
                <w:b w:val="0"/>
                <w:bCs/>
                <w:color w:val="auto"/>
                <w:spacing w:val="0"/>
                <w:kern w:val="0"/>
                <w:position w:val="0"/>
                <w:sz w:val="24"/>
                <w:szCs w:val="20"/>
                <w:lang w:val="en-US" w:eastAsia="zh-CN" w:bidi="ar-SA"/>
              </w:rPr>
              <w:t>现皖江江南新兴产业集中区）总体规划：北至长江，南至沿江高速、铜九铁路，西至牧之路，东至青通河，包括梅龙街道以及马衙街道、墩上街道部分地区，由产业集中区</w:t>
            </w:r>
            <w:r>
              <w:rPr>
                <w:rFonts w:hint="eastAsia" w:hAnsi="宋体" w:cs="Times New Roman"/>
                <w:b w:val="0"/>
                <w:bCs/>
                <w:color w:val="auto"/>
                <w:spacing w:val="0"/>
                <w:kern w:val="0"/>
                <w:position w:val="0"/>
                <w:sz w:val="24"/>
                <w:szCs w:val="20"/>
                <w:lang w:val="en-US" w:eastAsia="zh-CN" w:bidi="ar-SA"/>
              </w:rPr>
              <w:t>（</w:t>
            </w:r>
            <w:r>
              <w:rPr>
                <w:rFonts w:hint="eastAsia" w:ascii="Times New Roman" w:hAnsi="宋体" w:eastAsia="宋体" w:cs="Times New Roman"/>
                <w:b w:val="0"/>
                <w:bCs/>
                <w:color w:val="auto"/>
                <w:spacing w:val="0"/>
                <w:kern w:val="0"/>
                <w:position w:val="0"/>
                <w:sz w:val="24"/>
                <w:szCs w:val="20"/>
                <w:lang w:val="en-US" w:eastAsia="zh-CN" w:bidi="ar-SA"/>
              </w:rPr>
              <w:t>建设用地规模为36.50平方公里）和城市协调发展区</w:t>
            </w:r>
            <w:r>
              <w:rPr>
                <w:rFonts w:hint="eastAsia" w:hAnsi="宋体" w:cs="Times New Roman"/>
                <w:b w:val="0"/>
                <w:bCs/>
                <w:color w:val="auto"/>
                <w:spacing w:val="0"/>
                <w:kern w:val="0"/>
                <w:position w:val="0"/>
                <w:sz w:val="24"/>
                <w:szCs w:val="20"/>
                <w:lang w:val="en-US" w:eastAsia="zh-CN" w:bidi="ar-SA"/>
              </w:rPr>
              <w:t>（</w:t>
            </w:r>
            <w:r>
              <w:rPr>
                <w:rFonts w:hint="eastAsia" w:ascii="Times New Roman" w:hAnsi="宋体" w:eastAsia="宋体" w:cs="Times New Roman"/>
                <w:b w:val="0"/>
                <w:bCs/>
                <w:color w:val="auto"/>
                <w:spacing w:val="0"/>
                <w:kern w:val="0"/>
                <w:position w:val="0"/>
                <w:sz w:val="24"/>
                <w:szCs w:val="20"/>
                <w:lang w:val="en-US" w:eastAsia="zh-CN" w:bidi="ar-SA"/>
              </w:rPr>
              <w:t>建设用地规模为20.00平方公里）两部分组成。</w:t>
            </w:r>
          </w:p>
          <w:p w14:paraId="321B842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宋体" w:eastAsia="宋体" w:cs="Times New Roman"/>
                <w:b w:val="0"/>
                <w:bCs/>
                <w:color w:val="auto"/>
                <w:spacing w:val="0"/>
                <w:kern w:val="0"/>
                <w:position w:val="0"/>
                <w:sz w:val="24"/>
                <w:szCs w:val="20"/>
                <w:lang w:val="en-US" w:eastAsia="zh-CN" w:bidi="ar-SA"/>
              </w:rPr>
            </w:pPr>
            <w:r>
              <w:rPr>
                <w:rFonts w:hint="eastAsia" w:ascii="Times New Roman" w:hAnsi="宋体" w:eastAsia="宋体" w:cs="Times New Roman"/>
                <w:b w:val="0"/>
                <w:bCs/>
                <w:color w:val="auto"/>
                <w:spacing w:val="0"/>
                <w:kern w:val="0"/>
                <w:position w:val="0"/>
                <w:sz w:val="24"/>
                <w:szCs w:val="20"/>
                <w:lang w:val="en-US" w:eastAsia="zh-CN" w:bidi="ar-SA"/>
              </w:rPr>
              <w:t>安徽省江南产业集中区</w:t>
            </w:r>
            <w:r>
              <w:rPr>
                <w:rFonts w:hint="eastAsia" w:hAnsi="宋体" w:cs="Times New Roman"/>
                <w:b w:val="0"/>
                <w:bCs/>
                <w:color w:val="auto"/>
                <w:spacing w:val="0"/>
                <w:kern w:val="0"/>
                <w:position w:val="0"/>
                <w:sz w:val="24"/>
                <w:szCs w:val="20"/>
                <w:lang w:val="en-US" w:eastAsia="zh-CN" w:bidi="ar-SA"/>
              </w:rPr>
              <w:t>（</w:t>
            </w:r>
            <w:r>
              <w:rPr>
                <w:rFonts w:hint="eastAsia" w:ascii="Times New Roman" w:hAnsi="宋体" w:eastAsia="宋体" w:cs="Times New Roman"/>
                <w:b w:val="0"/>
                <w:bCs/>
                <w:color w:val="auto"/>
                <w:spacing w:val="0"/>
                <w:kern w:val="0"/>
                <w:position w:val="0"/>
                <w:sz w:val="24"/>
                <w:szCs w:val="20"/>
                <w:lang w:val="en-US" w:eastAsia="zh-CN" w:bidi="ar-SA"/>
              </w:rPr>
              <w:t>现皖江江南新兴产业集中区）产业发展规划：主要针对安徽省江南产业集中区</w:t>
            </w:r>
            <w:r>
              <w:rPr>
                <w:rFonts w:hint="eastAsia" w:hAnsi="宋体" w:cs="Times New Roman"/>
                <w:b w:val="0"/>
                <w:bCs/>
                <w:color w:val="auto"/>
                <w:spacing w:val="0"/>
                <w:kern w:val="0"/>
                <w:position w:val="0"/>
                <w:sz w:val="24"/>
                <w:szCs w:val="20"/>
                <w:lang w:val="en-US" w:eastAsia="zh-CN" w:bidi="ar-SA"/>
              </w:rPr>
              <w:t>（</w:t>
            </w:r>
            <w:r>
              <w:rPr>
                <w:rFonts w:hint="eastAsia" w:ascii="Times New Roman" w:hAnsi="宋体" w:eastAsia="宋体" w:cs="Times New Roman"/>
                <w:b w:val="0"/>
                <w:bCs/>
                <w:color w:val="auto"/>
                <w:spacing w:val="0"/>
                <w:kern w:val="0"/>
                <w:position w:val="0"/>
                <w:sz w:val="24"/>
                <w:szCs w:val="20"/>
                <w:lang w:val="en-US" w:eastAsia="zh-CN" w:bidi="ar-SA"/>
              </w:rPr>
              <w:t>建设用地规模为36.50平方公里）地块。</w:t>
            </w:r>
          </w:p>
          <w:p w14:paraId="0084B67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宋体" w:eastAsia="宋体" w:cs="Times New Roman"/>
                <w:b w:val="0"/>
                <w:bCs/>
                <w:color w:val="auto"/>
                <w:spacing w:val="0"/>
                <w:kern w:val="0"/>
                <w:position w:val="0"/>
                <w:sz w:val="24"/>
                <w:szCs w:val="20"/>
                <w:lang w:val="en-US" w:eastAsia="zh-CN" w:bidi="ar-SA"/>
              </w:rPr>
            </w:pPr>
            <w:r>
              <w:rPr>
                <w:rFonts w:hint="eastAsia" w:hAnsi="宋体" w:cs="Times New Roman"/>
                <w:b w:val="0"/>
                <w:bCs/>
                <w:color w:val="auto"/>
                <w:spacing w:val="0"/>
                <w:kern w:val="0"/>
                <w:position w:val="0"/>
                <w:sz w:val="24"/>
                <w:szCs w:val="20"/>
                <w:lang w:val="en-US" w:eastAsia="zh-CN" w:bidi="ar-SA"/>
              </w:rPr>
              <w:t>（</w:t>
            </w:r>
            <w:r>
              <w:rPr>
                <w:rFonts w:hint="eastAsia" w:ascii="Times New Roman" w:hAnsi="宋体" w:eastAsia="宋体" w:cs="Times New Roman"/>
                <w:b w:val="0"/>
                <w:bCs/>
                <w:color w:val="auto"/>
                <w:spacing w:val="0"/>
                <w:kern w:val="0"/>
                <w:position w:val="0"/>
                <w:sz w:val="24"/>
                <w:szCs w:val="20"/>
                <w:lang w:val="en-US" w:eastAsia="zh-CN" w:bidi="ar-SA"/>
              </w:rPr>
              <w:t>2）产业规划</w:t>
            </w:r>
          </w:p>
          <w:p w14:paraId="65F05C3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宋体" w:eastAsia="宋体" w:cs="Times New Roman"/>
                <w:b w:val="0"/>
                <w:bCs/>
                <w:color w:val="auto"/>
                <w:spacing w:val="0"/>
                <w:kern w:val="0"/>
                <w:position w:val="0"/>
                <w:sz w:val="24"/>
                <w:szCs w:val="20"/>
                <w:lang w:val="en-US" w:eastAsia="zh-CN" w:bidi="ar-SA"/>
              </w:rPr>
            </w:pPr>
            <w:r>
              <w:rPr>
                <w:rFonts w:hint="eastAsia" w:ascii="Times New Roman" w:hAnsi="宋体" w:eastAsia="宋体" w:cs="Times New Roman"/>
                <w:b w:val="0"/>
                <w:bCs/>
                <w:color w:val="auto"/>
                <w:spacing w:val="0"/>
                <w:kern w:val="0"/>
                <w:position w:val="0"/>
                <w:sz w:val="24"/>
                <w:szCs w:val="20"/>
                <w:lang w:val="en-US" w:eastAsia="zh-CN" w:bidi="ar-SA"/>
              </w:rPr>
              <w:t>以机械电子产业、新型材料产业和大健康产业为三大主导产业。实现机械电子产业多元化发展、实现新型材</w:t>
            </w:r>
            <w:r>
              <w:rPr>
                <w:rFonts w:hint="eastAsia" w:hAnsi="宋体" w:cs="Times New Roman"/>
                <w:b w:val="0"/>
                <w:bCs/>
                <w:color w:val="auto"/>
                <w:spacing w:val="0"/>
                <w:kern w:val="0"/>
                <w:position w:val="0"/>
                <w:sz w:val="24"/>
                <w:szCs w:val="20"/>
                <w:lang w:val="en-US" w:eastAsia="zh-CN" w:bidi="ar-SA"/>
              </w:rPr>
              <w:t>料产</w:t>
            </w:r>
            <w:r>
              <w:rPr>
                <w:rFonts w:hint="eastAsia" w:ascii="Times New Roman" w:hAnsi="宋体" w:eastAsia="宋体" w:cs="Times New Roman"/>
                <w:b w:val="0"/>
                <w:bCs/>
                <w:color w:val="auto"/>
                <w:spacing w:val="0"/>
                <w:kern w:val="0"/>
                <w:position w:val="0"/>
                <w:sz w:val="24"/>
                <w:szCs w:val="20"/>
                <w:lang w:val="en-US" w:eastAsia="zh-CN" w:bidi="ar-SA"/>
              </w:rPr>
              <w:t>业绿色高质量发展、实现大健康产业稳步发展，整合江南产业集中区辅助企业资源，延伸产业链，围绕提高新型材料、机械电子本地化辅助率，不断提升汽车零部件的生产和辅助能力，形成了绿色建材、新型包装材料、电子和电工机械专用设备制造、食品加工、饲料加工、农副产品加工和塑料制品加工等二十多个辅助产业。</w:t>
            </w:r>
          </w:p>
          <w:p w14:paraId="7E9CF3D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宋体" w:eastAsia="宋体" w:cs="Times New Roman"/>
                <w:b w:val="0"/>
                <w:bCs/>
                <w:color w:val="auto"/>
                <w:spacing w:val="0"/>
                <w:kern w:val="0"/>
                <w:position w:val="0"/>
                <w:sz w:val="24"/>
                <w:szCs w:val="20"/>
                <w:lang w:val="en-US" w:eastAsia="zh-CN" w:bidi="ar-SA"/>
              </w:rPr>
            </w:pPr>
            <w:r>
              <w:rPr>
                <w:rFonts w:hint="eastAsia" w:hAnsi="宋体" w:cs="Times New Roman"/>
                <w:b w:val="0"/>
                <w:bCs/>
                <w:color w:val="auto"/>
                <w:spacing w:val="0"/>
                <w:kern w:val="0"/>
                <w:position w:val="0"/>
                <w:sz w:val="24"/>
                <w:szCs w:val="20"/>
                <w:lang w:val="en-US" w:eastAsia="zh-CN" w:bidi="ar-SA"/>
              </w:rPr>
              <w:t>（</w:t>
            </w:r>
            <w:r>
              <w:rPr>
                <w:rFonts w:hint="eastAsia" w:ascii="Times New Roman" w:hAnsi="宋体" w:eastAsia="宋体" w:cs="Times New Roman"/>
                <w:b w:val="0"/>
                <w:bCs/>
                <w:color w:val="auto"/>
                <w:spacing w:val="0"/>
                <w:kern w:val="0"/>
                <w:position w:val="0"/>
                <w:sz w:val="24"/>
                <w:szCs w:val="20"/>
                <w:lang w:val="en-US" w:eastAsia="zh-CN" w:bidi="ar-SA"/>
              </w:rPr>
              <w:t>3）产业布局</w:t>
            </w:r>
          </w:p>
          <w:p w14:paraId="661D6D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宋体" w:eastAsia="宋体" w:cs="Times New Roman"/>
                <w:b w:val="0"/>
                <w:bCs/>
                <w:color w:val="auto"/>
                <w:spacing w:val="0"/>
                <w:kern w:val="0"/>
                <w:position w:val="0"/>
                <w:sz w:val="24"/>
                <w:szCs w:val="20"/>
                <w:lang w:val="en-US" w:eastAsia="zh-CN" w:bidi="ar-SA"/>
              </w:rPr>
            </w:pPr>
            <w:r>
              <w:rPr>
                <w:rFonts w:hint="eastAsia" w:ascii="Times New Roman" w:hAnsi="宋体" w:eastAsia="宋体" w:cs="Times New Roman"/>
                <w:b w:val="0"/>
                <w:bCs/>
                <w:color w:val="auto"/>
                <w:spacing w:val="0"/>
                <w:kern w:val="0"/>
                <w:position w:val="0"/>
                <w:sz w:val="24"/>
                <w:szCs w:val="20"/>
                <w:lang w:val="en-US" w:eastAsia="zh-CN" w:bidi="ar-SA"/>
              </w:rPr>
              <w:t>本次规划产业布局在集中区“一主、两副、两组团”的规划空间结构的基础上，依托三大主导产业的发展，集中区划分出三大产业片区，各片区集中力量，大力推动主导产业的发展，充分发挥主导产业的扩散效应，带动辅助产业及整个集中区的发展，形成“两核、三片、多区”的产业布局。</w:t>
            </w:r>
          </w:p>
          <w:p w14:paraId="2A91F9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宋体" w:eastAsia="宋体" w:cs="Times New Roman"/>
                <w:b w:val="0"/>
                <w:bCs/>
                <w:color w:val="auto"/>
                <w:spacing w:val="0"/>
                <w:kern w:val="0"/>
                <w:position w:val="0"/>
                <w:sz w:val="24"/>
                <w:szCs w:val="20"/>
                <w:lang w:val="en-US" w:eastAsia="zh-CN" w:bidi="ar-SA"/>
              </w:rPr>
            </w:pPr>
            <w:r>
              <w:rPr>
                <w:rFonts w:hint="eastAsia" w:ascii="Times New Roman" w:hAnsi="宋体" w:eastAsia="宋体" w:cs="Times New Roman"/>
                <w:b w:val="0"/>
                <w:bCs/>
                <w:color w:val="auto"/>
                <w:spacing w:val="0"/>
                <w:kern w:val="0"/>
                <w:position w:val="0"/>
                <w:sz w:val="24"/>
                <w:szCs w:val="20"/>
                <w:lang w:val="en-US" w:eastAsia="zh-CN" w:bidi="ar-SA"/>
              </w:rPr>
              <w:t>符合性分析：本项目位于</w:t>
            </w:r>
            <w:r>
              <w:rPr>
                <w:rFonts w:hint="eastAsia"/>
                <w:color w:val="auto"/>
                <w:spacing w:val="0"/>
                <w:position w:val="0"/>
                <w:sz w:val="24"/>
                <w:lang w:val="en-US" w:eastAsia="zh-CN"/>
              </w:rPr>
              <w:t>皖江江南新兴产业集中区中健康服饰产业片区</w:t>
            </w:r>
            <w:r>
              <w:rPr>
                <w:rFonts w:hint="eastAsia" w:ascii="Times New Roman" w:hAnsi="宋体" w:eastAsia="宋体" w:cs="Times New Roman"/>
                <w:b w:val="0"/>
                <w:bCs/>
                <w:color w:val="auto"/>
                <w:spacing w:val="0"/>
                <w:kern w:val="0"/>
                <w:position w:val="0"/>
                <w:sz w:val="24"/>
                <w:szCs w:val="20"/>
                <w:lang w:val="en-US" w:eastAsia="zh-CN" w:bidi="ar-SA"/>
              </w:rPr>
              <w:t>，</w:t>
            </w:r>
            <w:r>
              <w:rPr>
                <w:rFonts w:hint="eastAsia" w:ascii="Times New Roman" w:hAnsi="宋体" w:cs="Times New Roman"/>
                <w:b w:val="0"/>
                <w:bCs/>
                <w:color w:val="auto"/>
                <w:spacing w:val="0"/>
                <w:kern w:val="0"/>
                <w:position w:val="0"/>
                <w:sz w:val="24"/>
                <w:szCs w:val="20"/>
                <w:lang w:val="en-US" w:eastAsia="zh-CN" w:bidi="ar-SA"/>
              </w:rPr>
              <w:t>主要对</w:t>
            </w:r>
            <w:r>
              <w:rPr>
                <w:rFonts w:hint="eastAsia" w:cs="Times New Roman"/>
                <w:color w:val="auto"/>
                <w:spacing w:val="0"/>
                <w:position w:val="0"/>
                <w:sz w:val="24"/>
                <w:lang w:eastAsia="zh-CN"/>
              </w:rPr>
              <w:t>废旧光伏组</w:t>
            </w:r>
            <w:r>
              <w:rPr>
                <w:rFonts w:hint="eastAsia" w:ascii="Times New Roman" w:hAnsi="宋体" w:eastAsia="宋体" w:cs="Times New Roman"/>
                <w:b w:val="0"/>
                <w:bCs/>
                <w:color w:val="auto"/>
                <w:spacing w:val="0"/>
                <w:kern w:val="0"/>
                <w:position w:val="0"/>
                <w:sz w:val="24"/>
                <w:szCs w:val="20"/>
                <w:lang w:val="en-US" w:eastAsia="zh-CN" w:bidi="ar-SA"/>
              </w:rPr>
              <w:t>件进行综合利用，不属于</w:t>
            </w:r>
            <w:r>
              <w:rPr>
                <w:rFonts w:hint="eastAsia"/>
                <w:color w:val="auto"/>
                <w:spacing w:val="0"/>
                <w:position w:val="0"/>
                <w:sz w:val="24"/>
                <w:lang w:val="en-US" w:eastAsia="zh-CN"/>
              </w:rPr>
              <w:t>健康服饰产业片区</w:t>
            </w:r>
            <w:r>
              <w:rPr>
                <w:rFonts w:hint="eastAsia" w:hAnsi="宋体" w:cs="Times New Roman"/>
                <w:b w:val="0"/>
                <w:bCs/>
                <w:color w:val="auto"/>
                <w:spacing w:val="0"/>
                <w:kern w:val="0"/>
                <w:position w:val="0"/>
                <w:sz w:val="24"/>
                <w:szCs w:val="20"/>
                <w:lang w:val="en-US" w:eastAsia="zh-CN" w:bidi="ar-SA"/>
              </w:rPr>
              <w:t>禁止入园</w:t>
            </w:r>
            <w:r>
              <w:rPr>
                <w:rFonts w:hint="eastAsia" w:ascii="Times New Roman" w:hAnsi="宋体" w:eastAsia="宋体" w:cs="Times New Roman"/>
                <w:b w:val="0"/>
                <w:bCs/>
                <w:color w:val="auto"/>
                <w:spacing w:val="0"/>
                <w:kern w:val="0"/>
                <w:position w:val="0"/>
                <w:sz w:val="24"/>
                <w:szCs w:val="20"/>
                <w:lang w:val="en-US" w:eastAsia="zh-CN" w:bidi="ar-SA"/>
              </w:rPr>
              <w:t>范畴。</w:t>
            </w:r>
          </w:p>
          <w:p w14:paraId="4E48C57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宋体" w:eastAsia="宋体" w:cs="Times New Roman"/>
                <w:b w:val="0"/>
                <w:bCs/>
                <w:color w:val="auto"/>
                <w:spacing w:val="0"/>
                <w:kern w:val="0"/>
                <w:position w:val="0"/>
                <w:sz w:val="24"/>
                <w:szCs w:val="20"/>
                <w:lang w:val="en-US" w:eastAsia="zh-CN" w:bidi="ar-SA"/>
              </w:rPr>
            </w:pPr>
            <w:r>
              <w:rPr>
                <w:rFonts w:hint="eastAsia" w:ascii="Times New Roman" w:hAnsi="宋体" w:eastAsia="宋体" w:cs="Times New Roman"/>
                <w:b w:val="0"/>
                <w:bCs/>
                <w:color w:val="auto"/>
                <w:spacing w:val="0"/>
                <w:kern w:val="0"/>
                <w:position w:val="0"/>
                <w:sz w:val="24"/>
                <w:szCs w:val="20"/>
                <w:lang w:val="en-US" w:eastAsia="zh-CN" w:bidi="ar-SA"/>
              </w:rPr>
              <w:t>2020年3月9日，安徽省生态环境厅对《安徽省江南产业集中区产业发展规划</w:t>
            </w:r>
            <w:r>
              <w:rPr>
                <w:rFonts w:hint="eastAsia" w:hAnsi="宋体" w:cs="Times New Roman"/>
                <w:b w:val="0"/>
                <w:bCs/>
                <w:color w:val="auto"/>
                <w:spacing w:val="0"/>
                <w:kern w:val="0"/>
                <w:position w:val="0"/>
                <w:sz w:val="24"/>
                <w:szCs w:val="20"/>
                <w:lang w:val="en-US" w:eastAsia="zh-CN" w:bidi="ar-SA"/>
              </w:rPr>
              <w:t>（</w:t>
            </w:r>
            <w:r>
              <w:rPr>
                <w:rFonts w:hint="eastAsia" w:ascii="Times New Roman" w:hAnsi="宋体" w:eastAsia="宋体" w:cs="Times New Roman"/>
                <w:b w:val="0"/>
                <w:bCs/>
                <w:color w:val="auto"/>
                <w:spacing w:val="0"/>
                <w:kern w:val="0"/>
                <w:position w:val="0"/>
                <w:sz w:val="24"/>
                <w:szCs w:val="20"/>
                <w:lang w:val="en-US" w:eastAsia="zh-CN" w:bidi="ar-SA"/>
              </w:rPr>
              <w:t>2019-2030年）环境影响报告书》出具审查意见。本项目与江南产业集中区产业发展规划环评审查意见的符合性如下表所示。</w:t>
            </w:r>
          </w:p>
          <w:p w14:paraId="737D4A62">
            <w:pPr>
              <w:pStyle w:val="6"/>
              <w:keepNext/>
              <w:keepLines/>
              <w:pageBreakBefore w:val="0"/>
              <w:widowControl w:val="0"/>
              <w:kinsoku/>
              <w:wordWrap/>
              <w:overflowPunct/>
              <w:topLinePunct w:val="0"/>
              <w:autoSpaceDE/>
              <w:autoSpaceDN/>
              <w:bidi w:val="0"/>
              <w:adjustRightInd/>
              <w:snapToGrid/>
              <w:spacing w:before="0" w:after="0" w:line="480" w:lineRule="atLeast"/>
              <w:ind w:firstLine="422" w:firstLineChars="2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1"/>
                <w:szCs w:val="21"/>
                <w:lang w:val="en-US" w:eastAsia="zh-CN"/>
              </w:rPr>
              <w:t>表1-</w:t>
            </w:r>
            <w:r>
              <w:rPr>
                <w:rFonts w:hint="eastAsia" w:ascii="Times New Roman" w:hAnsi="Times New Roman" w:eastAsia="宋体" w:cs="Times New Roman"/>
                <w:color w:val="auto"/>
                <w:sz w:val="21"/>
                <w:szCs w:val="21"/>
                <w:lang w:val="en-US" w:eastAsia="zh-CN"/>
              </w:rPr>
              <w:t>2  与产业发展规划环境影响报告书及规划审查意见符合性分析一览表</w:t>
            </w:r>
          </w:p>
          <w:tbl>
            <w:tblPr>
              <w:tblStyle w:val="27"/>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554"/>
              <w:gridCol w:w="4434"/>
              <w:gridCol w:w="1948"/>
              <w:gridCol w:w="834"/>
            </w:tblGrid>
            <w:tr w14:paraId="6462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1142" w:type="dxa"/>
                  <w:gridSpan w:val="2"/>
                  <w:noWrap w:val="0"/>
                  <w:vAlign w:val="center"/>
                </w:tcPr>
                <w:p w14:paraId="2EEDE9F1">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color w:val="auto"/>
                      <w:sz w:val="18"/>
                      <w:szCs w:val="18"/>
                      <w:vertAlign w:val="baseline"/>
                      <w:lang w:val="en-US" w:eastAsia="zh-CN"/>
                    </w:rPr>
                  </w:pPr>
                  <w:r>
                    <w:rPr>
                      <w:rFonts w:hint="eastAsia" w:ascii="Times New Roman" w:hAnsi="Times New Roman" w:eastAsia="宋体" w:cs="Times New Roman"/>
                      <w:color w:val="auto"/>
                      <w:sz w:val="18"/>
                      <w:szCs w:val="18"/>
                      <w:vertAlign w:val="baseline"/>
                      <w:lang w:val="en-US" w:eastAsia="zh-CN"/>
                    </w:rPr>
                    <w:t>分析内容</w:t>
                  </w:r>
                </w:p>
              </w:tc>
              <w:tc>
                <w:tcPr>
                  <w:tcW w:w="4434" w:type="dxa"/>
                  <w:noWrap w:val="0"/>
                  <w:vAlign w:val="center"/>
                </w:tcPr>
                <w:p w14:paraId="28445728">
                  <w:pPr>
                    <w:pStyle w:val="6"/>
                    <w:keepNext/>
                    <w:keepLines/>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color w:val="auto"/>
                      <w:sz w:val="18"/>
                      <w:szCs w:val="18"/>
                      <w:vertAlign w:val="baseline"/>
                      <w:lang w:val="en-US" w:eastAsia="zh-CN"/>
                    </w:rPr>
                  </w:pPr>
                  <w:r>
                    <w:rPr>
                      <w:rFonts w:hint="eastAsia" w:ascii="Times New Roman" w:hAnsi="Times New Roman" w:eastAsia="宋体" w:cs="Times New Roman"/>
                      <w:color w:val="auto"/>
                      <w:sz w:val="18"/>
                      <w:szCs w:val="18"/>
                      <w:vertAlign w:val="baseline"/>
                      <w:lang w:val="en-US" w:eastAsia="zh-CN"/>
                    </w:rPr>
                    <w:t>规划内容</w:t>
                  </w:r>
                </w:p>
              </w:tc>
              <w:tc>
                <w:tcPr>
                  <w:tcW w:w="1948" w:type="dxa"/>
                  <w:noWrap w:val="0"/>
                  <w:vAlign w:val="center"/>
                </w:tcPr>
                <w:p w14:paraId="4799A8F0">
                  <w:pPr>
                    <w:pStyle w:val="6"/>
                    <w:keepNext/>
                    <w:keepLines/>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color w:val="auto"/>
                      <w:sz w:val="18"/>
                      <w:szCs w:val="18"/>
                      <w:vertAlign w:val="baseline"/>
                      <w:lang w:val="en-US" w:eastAsia="zh-CN"/>
                    </w:rPr>
                  </w:pPr>
                  <w:r>
                    <w:rPr>
                      <w:rFonts w:hint="eastAsia" w:ascii="Times New Roman" w:hAnsi="Times New Roman" w:eastAsia="宋体" w:cs="Times New Roman"/>
                      <w:color w:val="auto"/>
                      <w:sz w:val="18"/>
                      <w:szCs w:val="18"/>
                      <w:vertAlign w:val="baseline"/>
                      <w:lang w:val="en-US" w:eastAsia="zh-CN"/>
                    </w:rPr>
                    <w:t>本项目</w:t>
                  </w:r>
                </w:p>
              </w:tc>
              <w:tc>
                <w:tcPr>
                  <w:tcW w:w="834" w:type="dxa"/>
                  <w:noWrap w:val="0"/>
                  <w:vAlign w:val="center"/>
                </w:tcPr>
                <w:p w14:paraId="319A53F9">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color w:val="auto"/>
                      <w:sz w:val="18"/>
                      <w:szCs w:val="18"/>
                      <w:vertAlign w:val="baseline"/>
                      <w:lang w:val="en-US" w:eastAsia="zh-CN"/>
                    </w:rPr>
                  </w:pPr>
                  <w:r>
                    <w:rPr>
                      <w:rFonts w:hint="eastAsia" w:ascii="Times New Roman" w:hAnsi="Times New Roman" w:eastAsia="宋体" w:cs="Times New Roman"/>
                      <w:color w:val="auto"/>
                      <w:sz w:val="18"/>
                      <w:szCs w:val="18"/>
                      <w:vertAlign w:val="baseline"/>
                      <w:lang w:val="en-US" w:eastAsia="zh-CN"/>
                    </w:rPr>
                    <w:t>符合性</w:t>
                  </w:r>
                </w:p>
              </w:tc>
            </w:tr>
            <w:tr w14:paraId="5E8B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588" w:type="dxa"/>
                  <w:vMerge w:val="restart"/>
                  <w:noWrap w:val="0"/>
                  <w:vAlign w:val="center"/>
                </w:tcPr>
                <w:p w14:paraId="1F927B6D">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《安徽省江南产业集中区产业发展规划</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2019~2030）环境影响报告书》</w:t>
                  </w:r>
                </w:p>
              </w:tc>
              <w:tc>
                <w:tcPr>
                  <w:tcW w:w="554" w:type="dxa"/>
                  <w:noWrap w:val="0"/>
                  <w:vAlign w:val="center"/>
                </w:tcPr>
                <w:p w14:paraId="610475CC">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规划范围</w:t>
                  </w:r>
                </w:p>
              </w:tc>
              <w:tc>
                <w:tcPr>
                  <w:tcW w:w="4434" w:type="dxa"/>
                  <w:noWrap w:val="0"/>
                  <w:vAlign w:val="center"/>
                </w:tcPr>
                <w:p w14:paraId="72423F46">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规划范围以原总体规划划定的产业集中区为主，不含城市协调发展区，四至范围为东至泰山路，南至九华湖，西至昆仑山路，北至滨江大道，规划用地规模为36.50平方公里。</w:t>
                  </w:r>
                </w:p>
              </w:tc>
              <w:tc>
                <w:tcPr>
                  <w:tcW w:w="1948" w:type="dxa"/>
                  <w:vMerge w:val="restart"/>
                  <w:noWrap w:val="0"/>
                  <w:vAlign w:val="center"/>
                </w:tcPr>
                <w:p w14:paraId="6E259370">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项目位于皖江江南新兴产业集中区万凯产业园。</w:t>
                  </w:r>
                </w:p>
              </w:tc>
              <w:tc>
                <w:tcPr>
                  <w:tcW w:w="834" w:type="dxa"/>
                  <w:noWrap w:val="0"/>
                  <w:vAlign w:val="center"/>
                </w:tcPr>
                <w:p w14:paraId="7326BB2C">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r w14:paraId="5CA27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588" w:type="dxa"/>
                  <w:vMerge w:val="continue"/>
                  <w:noWrap w:val="0"/>
                  <w:vAlign w:val="center"/>
                </w:tcPr>
                <w:p w14:paraId="426040A7">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554" w:type="dxa"/>
                  <w:noWrap w:val="0"/>
                  <w:vAlign w:val="center"/>
                </w:tcPr>
                <w:p w14:paraId="704D0717">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产业定位</w:t>
                  </w:r>
                </w:p>
              </w:tc>
              <w:tc>
                <w:tcPr>
                  <w:tcW w:w="4434" w:type="dxa"/>
                  <w:noWrap w:val="0"/>
                  <w:vAlign w:val="center"/>
                </w:tcPr>
                <w:p w14:paraId="7F4D697E">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规划主导产业为机械电子、新型材料和大健康三大主导产业。</w:t>
                  </w:r>
                  <w:r>
                    <w:rPr>
                      <w:rFonts w:hint="eastAsia" w:ascii="Times New Roman" w:hAnsi="Times New Roman" w:eastAsia="宋体" w:cs="Times New Roman"/>
                      <w:b w:val="0"/>
                      <w:bCs w:val="0"/>
                      <w:color w:val="auto"/>
                      <w:sz w:val="18"/>
                      <w:szCs w:val="18"/>
                      <w:vertAlign w:val="baseline"/>
                      <w:lang w:val="en-US" w:eastAsia="zh-CN"/>
                    </w:rPr>
                    <w:t>江南大道以北的沿江用地，重点发展以机械电子为主的高技术产业。</w:t>
                  </w:r>
                </w:p>
              </w:tc>
              <w:tc>
                <w:tcPr>
                  <w:tcW w:w="1948" w:type="dxa"/>
                  <w:vMerge w:val="continue"/>
                  <w:noWrap w:val="0"/>
                  <w:vAlign w:val="center"/>
                </w:tcPr>
                <w:p w14:paraId="3F2885A8">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p>
              </w:tc>
              <w:tc>
                <w:tcPr>
                  <w:tcW w:w="834" w:type="dxa"/>
                  <w:noWrap w:val="0"/>
                  <w:vAlign w:val="center"/>
                </w:tcPr>
                <w:p w14:paraId="5F1A05B9">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r w14:paraId="55750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588" w:type="dxa"/>
                  <w:vMerge w:val="continue"/>
                  <w:noWrap w:val="0"/>
                  <w:vAlign w:val="center"/>
                </w:tcPr>
                <w:p w14:paraId="0355888B">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554" w:type="dxa"/>
                  <w:noWrap w:val="0"/>
                  <w:vAlign w:val="center"/>
                </w:tcPr>
                <w:p w14:paraId="7F899CF1">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给水工程</w:t>
                  </w:r>
                </w:p>
              </w:tc>
              <w:tc>
                <w:tcPr>
                  <w:tcW w:w="4434" w:type="dxa"/>
                  <w:noWrap w:val="0"/>
                  <w:vAlign w:val="center"/>
                </w:tcPr>
                <w:p w14:paraId="5A069194">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集中区内规划自来水厂现状未建，集中区用水来自池州市江口水厂，水源为长江，该水厂位于池州经济开发区滨江大道以南、牧之路以东，规划用地面积100亩，包括取水工程和净水厂工程。现状已建一期工程日供水能力为7.5万吨/日，远期建设规模为15万吨/日，另外预留规模为30万吨/日的用地。现状供水管网管径为DN300~DN1400，主干管沿龙腾大道、凤鸣大道等布置，次干管分布于区内皖江路、洛河路等现状道路，管径以DN300为主。</w:t>
                  </w:r>
                </w:p>
              </w:tc>
              <w:tc>
                <w:tcPr>
                  <w:tcW w:w="1948" w:type="dxa"/>
                  <w:noWrap w:val="0"/>
                  <w:vAlign w:val="center"/>
                </w:tcPr>
                <w:p w14:paraId="33731E8E">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项目生活用水及生产用水主要由池州市江口水厂进行供给，供水水源有保障。</w:t>
                  </w:r>
                </w:p>
              </w:tc>
              <w:tc>
                <w:tcPr>
                  <w:tcW w:w="834" w:type="dxa"/>
                  <w:noWrap w:val="0"/>
                  <w:vAlign w:val="center"/>
                </w:tcPr>
                <w:p w14:paraId="25EAA8A2">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r w14:paraId="3949D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1" w:hRule="atLeast"/>
                <w:jc w:val="center"/>
              </w:trPr>
              <w:tc>
                <w:tcPr>
                  <w:tcW w:w="588" w:type="dxa"/>
                  <w:vMerge w:val="continue"/>
                  <w:noWrap w:val="0"/>
                  <w:vAlign w:val="center"/>
                </w:tcPr>
                <w:p w14:paraId="4F4D9E04">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554" w:type="dxa"/>
                  <w:noWrap w:val="0"/>
                  <w:vAlign w:val="center"/>
                </w:tcPr>
                <w:p w14:paraId="1E0A69D5">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排水工程</w:t>
                  </w:r>
                </w:p>
              </w:tc>
              <w:tc>
                <w:tcPr>
                  <w:tcW w:w="4434" w:type="dxa"/>
                  <w:noWrap w:val="0"/>
                  <w:vAlign w:val="center"/>
                </w:tcPr>
                <w:p w14:paraId="2F2031EB">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根据集中区总体规划，</w:t>
                  </w:r>
                  <w:r>
                    <w:rPr>
                      <w:rFonts w:hint="eastAsia" w:ascii="Times New Roman" w:hAnsi="Times New Roman" w:eastAsia="宋体" w:cs="Times New Roman"/>
                      <w:b w:val="0"/>
                      <w:bCs w:val="0"/>
                      <w:color w:val="auto"/>
                      <w:sz w:val="18"/>
                      <w:szCs w:val="18"/>
                      <w:vertAlign w:val="baseline"/>
                      <w:lang w:val="en-US" w:eastAsia="zh-CN"/>
                    </w:rPr>
                    <w:t>皖江江南新兴产业集中区第一污水处理厂</w:t>
                  </w:r>
                  <w:r>
                    <w:rPr>
                      <w:rFonts w:hint="default" w:ascii="Times New Roman" w:hAnsi="Times New Roman" w:eastAsia="宋体" w:cs="Times New Roman"/>
                      <w:b w:val="0"/>
                      <w:bCs w:val="0"/>
                      <w:color w:val="auto"/>
                      <w:sz w:val="18"/>
                      <w:szCs w:val="18"/>
                      <w:vertAlign w:val="baseline"/>
                      <w:lang w:val="en-US" w:eastAsia="zh-CN"/>
                    </w:rPr>
                    <w:t>规划总建设规模为20.0万m</w:t>
                  </w:r>
                  <w:r>
                    <w:rPr>
                      <w:rFonts w:hint="default" w:ascii="Times New Roman" w:hAnsi="Times New Roman" w:eastAsia="宋体" w:cs="Times New Roman"/>
                      <w:b w:val="0"/>
                      <w:bCs w:val="0"/>
                      <w:color w:val="auto"/>
                      <w:sz w:val="18"/>
                      <w:szCs w:val="18"/>
                      <w:vertAlign w:val="superscript"/>
                      <w:lang w:val="en-US" w:eastAsia="zh-CN"/>
                    </w:rPr>
                    <w:t>3</w:t>
                  </w:r>
                  <w:r>
                    <w:rPr>
                      <w:rFonts w:hint="default" w:ascii="Times New Roman" w:hAnsi="Times New Roman" w:eastAsia="宋体" w:cs="Times New Roman"/>
                      <w:b w:val="0"/>
                      <w:bCs w:val="0"/>
                      <w:color w:val="auto"/>
                      <w:sz w:val="18"/>
                      <w:szCs w:val="18"/>
                      <w:vertAlign w:val="baseline"/>
                      <w:lang w:val="en-US" w:eastAsia="zh-CN"/>
                    </w:rPr>
                    <w:t>/d，需分期进行建设，一期工程建设规模5万m</w:t>
                  </w:r>
                  <w:r>
                    <w:rPr>
                      <w:rFonts w:hint="default" w:ascii="Times New Roman" w:hAnsi="Times New Roman" w:eastAsia="宋体" w:cs="Times New Roman"/>
                      <w:b w:val="0"/>
                      <w:bCs w:val="0"/>
                      <w:color w:val="auto"/>
                      <w:sz w:val="18"/>
                      <w:szCs w:val="18"/>
                      <w:vertAlign w:val="superscript"/>
                      <w:lang w:val="en-US" w:eastAsia="zh-CN"/>
                    </w:rPr>
                    <w:t>3</w:t>
                  </w:r>
                  <w:r>
                    <w:rPr>
                      <w:rFonts w:hint="default" w:ascii="Times New Roman" w:hAnsi="Times New Roman" w:eastAsia="宋体" w:cs="Times New Roman"/>
                      <w:b w:val="0"/>
                      <w:bCs w:val="0"/>
                      <w:color w:val="auto"/>
                      <w:sz w:val="18"/>
                      <w:szCs w:val="18"/>
                      <w:vertAlign w:val="baseline"/>
                      <w:lang w:val="en-US" w:eastAsia="zh-CN"/>
                    </w:rPr>
                    <w:t>/d，分为两组，每组建设规模2.5万m</w:t>
                  </w:r>
                  <w:r>
                    <w:rPr>
                      <w:rFonts w:hint="default" w:ascii="Times New Roman" w:hAnsi="Times New Roman" w:eastAsia="宋体" w:cs="Times New Roman"/>
                      <w:b w:val="0"/>
                      <w:bCs w:val="0"/>
                      <w:color w:val="auto"/>
                      <w:sz w:val="18"/>
                      <w:szCs w:val="18"/>
                      <w:vertAlign w:val="superscript"/>
                      <w:lang w:val="en-US" w:eastAsia="zh-CN"/>
                    </w:rPr>
                    <w:t>3</w:t>
                  </w:r>
                  <w:r>
                    <w:rPr>
                      <w:rFonts w:hint="default" w:ascii="Times New Roman" w:hAnsi="Times New Roman" w:eastAsia="宋体" w:cs="Times New Roman"/>
                      <w:b w:val="0"/>
                      <w:bCs w:val="0"/>
                      <w:color w:val="auto"/>
                      <w:sz w:val="18"/>
                      <w:szCs w:val="18"/>
                      <w:vertAlign w:val="baseline"/>
                      <w:lang w:val="en-US" w:eastAsia="zh-CN"/>
                    </w:rPr>
                    <w:t>/d，其出水执行《城镇污水处理厂污染物排放标准》</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GB18918-2002）一级A标准，处理达标后排入九华河</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w:t>
                  </w:r>
                  <w:r>
                    <w:rPr>
                      <w:rFonts w:hint="eastAsia" w:ascii="Times New Roman" w:hAnsi="Times New Roman" w:eastAsia="宋体" w:cs="Times New Roman"/>
                      <w:b w:val="0"/>
                      <w:bCs w:val="0"/>
                      <w:color w:val="auto"/>
                      <w:sz w:val="18"/>
                      <w:szCs w:val="18"/>
                      <w:vertAlign w:val="baseline"/>
                      <w:lang w:val="en-US" w:eastAsia="zh-CN"/>
                    </w:rPr>
                    <w:t>皖江江南新兴产业集中区第一污水处理厂（</w:t>
                  </w:r>
                  <w:r>
                    <w:rPr>
                      <w:rFonts w:hint="default" w:ascii="Times New Roman" w:hAnsi="Times New Roman" w:eastAsia="宋体" w:cs="Times New Roman"/>
                      <w:b w:val="0"/>
                      <w:bCs w:val="0"/>
                      <w:color w:val="auto"/>
                      <w:sz w:val="18"/>
                      <w:szCs w:val="18"/>
                      <w:vertAlign w:val="baseline"/>
                      <w:lang w:val="en-US" w:eastAsia="zh-CN"/>
                    </w:rPr>
                    <w:t>一期项目）环境影响报告书》已于2012年8月通过池州市环保局审批。该项目一期工程自环评通过审批后陆续完成所有土建工程，设备陆续进入采购招标阶段，但是由于短期内集中区第一污水处理厂接纳污水量有限，很难满足一期工程设计的规模，造成一期项目短时间内难以正常投入运行。针对上述问题，集中区管委会拟采用一体化处理设施进行过渡性的应急处理模式，实施分阶段对集中区产生的污水进行处理直至恢复到原污水处理厂设计的规模。</w:t>
                  </w:r>
                </w:p>
                <w:p w14:paraId="71874E29">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目前，集中区已建成第一污水处理厂</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过渡）一体化污水处理设施污水处理总规模为3000m</w:t>
                  </w:r>
                  <w:r>
                    <w:rPr>
                      <w:rFonts w:hint="default" w:ascii="Times New Roman" w:hAnsi="Times New Roman" w:eastAsia="宋体" w:cs="Times New Roman"/>
                      <w:b w:val="0"/>
                      <w:bCs w:val="0"/>
                      <w:color w:val="auto"/>
                      <w:sz w:val="18"/>
                      <w:szCs w:val="18"/>
                      <w:vertAlign w:val="superscript"/>
                      <w:lang w:val="en-US" w:eastAsia="zh-CN"/>
                    </w:rPr>
                    <w:t>3</w:t>
                  </w:r>
                  <w:r>
                    <w:rPr>
                      <w:rFonts w:hint="default" w:ascii="Times New Roman" w:hAnsi="Times New Roman" w:eastAsia="宋体" w:cs="Times New Roman"/>
                      <w:b w:val="0"/>
                      <w:bCs w:val="0"/>
                      <w:color w:val="auto"/>
                      <w:sz w:val="18"/>
                      <w:szCs w:val="18"/>
                      <w:vertAlign w:val="baseline"/>
                      <w:lang w:val="en-US" w:eastAsia="zh-CN"/>
                    </w:rPr>
                    <w:t>/d，采用高效接触氧化一体化设备+砂滤+紫外线消毒工艺，位于洛河路、乐山路交口西北侧，主要接纳处理集中区内建成区生活污水及企业排放的生产废水，处理后尾水达到《城镇污水处理厂污染物排放标准》</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GB18918-2002</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中一级A标准后经九华河排入长江。</w:t>
                  </w:r>
                </w:p>
              </w:tc>
              <w:tc>
                <w:tcPr>
                  <w:tcW w:w="1948" w:type="dxa"/>
                  <w:noWrap w:val="0"/>
                  <w:vAlign w:val="center"/>
                </w:tcPr>
                <w:p w14:paraId="7DE8F9E9">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经过现场调查，</w:t>
                  </w:r>
                  <w:r>
                    <w:rPr>
                      <w:rFonts w:hint="eastAsia" w:ascii="Times New Roman" w:hAnsi="Times New Roman" w:eastAsia="宋体" w:cs="Times New Roman"/>
                      <w:b w:val="0"/>
                      <w:bCs w:val="0"/>
                      <w:color w:val="auto"/>
                      <w:sz w:val="18"/>
                      <w:szCs w:val="18"/>
                      <w:vertAlign w:val="baseline"/>
                      <w:lang w:val="en-US" w:eastAsia="zh-CN"/>
                    </w:rPr>
                    <w:t>皖江江南新兴产业集中区第一污水处理厂</w:t>
                  </w:r>
                  <w:r>
                    <w:rPr>
                      <w:rFonts w:hint="default" w:ascii="Times New Roman" w:hAnsi="Times New Roman" w:eastAsia="宋体" w:cs="Times New Roman"/>
                      <w:b w:val="0"/>
                      <w:bCs w:val="0"/>
                      <w:color w:val="auto"/>
                      <w:sz w:val="18"/>
                      <w:szCs w:val="18"/>
                      <w:vertAlign w:val="baseline"/>
                      <w:lang w:val="en-US" w:eastAsia="zh-CN"/>
                    </w:rPr>
                    <w:t>已建成2.5万m</w:t>
                  </w:r>
                  <w:r>
                    <w:rPr>
                      <w:rFonts w:hint="default" w:ascii="Times New Roman" w:hAnsi="Times New Roman" w:eastAsia="宋体" w:cs="Times New Roman"/>
                      <w:b w:val="0"/>
                      <w:bCs w:val="0"/>
                      <w:color w:val="auto"/>
                      <w:sz w:val="18"/>
                      <w:szCs w:val="18"/>
                      <w:vertAlign w:val="superscript"/>
                      <w:lang w:val="en-US" w:eastAsia="zh-CN"/>
                    </w:rPr>
                    <w:t>3</w:t>
                  </w:r>
                  <w:r>
                    <w:rPr>
                      <w:rFonts w:hint="default" w:ascii="Times New Roman" w:hAnsi="Times New Roman" w:eastAsia="宋体" w:cs="Times New Roman"/>
                      <w:b w:val="0"/>
                      <w:bCs w:val="0"/>
                      <w:color w:val="auto"/>
                      <w:sz w:val="18"/>
                      <w:szCs w:val="18"/>
                      <w:vertAlign w:val="baseline"/>
                      <w:lang w:val="en-US" w:eastAsia="zh-CN"/>
                    </w:rPr>
                    <w:t>/d。</w:t>
                  </w:r>
                </w:p>
                <w:p w14:paraId="76078E84">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项目实施雨污分流制，</w:t>
                  </w:r>
                  <w:r>
                    <w:rPr>
                      <w:rFonts w:hint="eastAsia" w:ascii="Times New Roman" w:hAnsi="Times New Roman" w:eastAsia="宋体" w:cs="Times New Roman"/>
                      <w:b w:val="0"/>
                      <w:bCs w:val="0"/>
                      <w:color w:val="auto"/>
                      <w:sz w:val="18"/>
                      <w:szCs w:val="18"/>
                      <w:vertAlign w:val="baseline"/>
                      <w:lang w:val="en-US" w:eastAsia="zh-CN"/>
                    </w:rPr>
                    <w:t>雨水经雨水沟渠汇入园区雨水管网。项目碱洗废水、洗砂废水经车间沉淀池沉淀后回用，不外排；地面冲洗废水、喷淋塔定期排水经沉淀池处理后与化粪池收集的生活污水一同纳管排放。</w:t>
                  </w:r>
                </w:p>
              </w:tc>
              <w:tc>
                <w:tcPr>
                  <w:tcW w:w="834" w:type="dxa"/>
                  <w:noWrap w:val="0"/>
                  <w:vAlign w:val="center"/>
                </w:tcPr>
                <w:p w14:paraId="38803047">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r w14:paraId="600FD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7" w:hRule="atLeast"/>
                <w:jc w:val="center"/>
              </w:trPr>
              <w:tc>
                <w:tcPr>
                  <w:tcW w:w="588" w:type="dxa"/>
                  <w:vMerge w:val="continue"/>
                  <w:noWrap w:val="0"/>
                  <w:vAlign w:val="center"/>
                </w:tcPr>
                <w:p w14:paraId="310CF0DC">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554" w:type="dxa"/>
                  <w:noWrap w:val="0"/>
                  <w:vAlign w:val="center"/>
                </w:tcPr>
                <w:p w14:paraId="4B8D3F22">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燃气工程</w:t>
                  </w:r>
                </w:p>
              </w:tc>
              <w:tc>
                <w:tcPr>
                  <w:tcW w:w="4434" w:type="dxa"/>
                  <w:noWrap w:val="0"/>
                  <w:vAlign w:val="center"/>
                </w:tcPr>
                <w:p w14:paraId="2D3F7820">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现状建成区燃气气源为</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川气东送</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工程，已建观前门站建设工程位于凤鸣大道与嘉陵江路交叉口处，占地面积为13625m</w:t>
                  </w:r>
                  <w:r>
                    <w:rPr>
                      <w:rFonts w:hint="default" w:ascii="Times New Roman" w:hAnsi="Times New Roman" w:eastAsia="宋体" w:cs="Times New Roman"/>
                      <w:b w:val="0"/>
                      <w:bCs w:val="0"/>
                      <w:color w:val="auto"/>
                      <w:sz w:val="18"/>
                      <w:szCs w:val="18"/>
                      <w:vertAlign w:val="superscript"/>
                      <w:lang w:val="en-US" w:eastAsia="zh-CN"/>
                    </w:rPr>
                    <w:t>2</w:t>
                  </w:r>
                  <w:r>
                    <w:rPr>
                      <w:rFonts w:hint="default" w:ascii="Times New Roman" w:hAnsi="Times New Roman" w:eastAsia="宋体" w:cs="Times New Roman"/>
                      <w:b w:val="0"/>
                      <w:bCs w:val="0"/>
                      <w:color w:val="auto"/>
                      <w:sz w:val="18"/>
                      <w:szCs w:val="18"/>
                      <w:vertAlign w:val="baseline"/>
                      <w:lang w:val="en-US" w:eastAsia="zh-CN"/>
                    </w:rPr>
                    <w:t>，输气规模为4.4×10000m</w:t>
                  </w:r>
                  <w:r>
                    <w:rPr>
                      <w:rFonts w:hint="default" w:ascii="Times New Roman" w:hAnsi="Times New Roman" w:eastAsia="宋体" w:cs="Times New Roman"/>
                      <w:b w:val="0"/>
                      <w:bCs w:val="0"/>
                      <w:color w:val="auto"/>
                      <w:sz w:val="18"/>
                      <w:szCs w:val="18"/>
                      <w:vertAlign w:val="superscript"/>
                      <w:lang w:val="en-US" w:eastAsia="zh-CN"/>
                    </w:rPr>
                    <w:t>3</w:t>
                  </w:r>
                  <w:r>
                    <w:rPr>
                      <w:rFonts w:hint="default" w:ascii="Times New Roman" w:hAnsi="Times New Roman" w:eastAsia="宋体" w:cs="Times New Roman"/>
                      <w:b w:val="0"/>
                      <w:bCs w:val="0"/>
                      <w:color w:val="auto"/>
                      <w:sz w:val="18"/>
                      <w:szCs w:val="18"/>
                      <w:vertAlign w:val="baseline"/>
                      <w:lang w:val="en-US" w:eastAsia="zh-CN"/>
                    </w:rPr>
                    <w:t>/h，高峰小时供气量22000m</w:t>
                  </w:r>
                  <w:r>
                    <w:rPr>
                      <w:rFonts w:hint="default" w:ascii="Times New Roman" w:hAnsi="Times New Roman" w:eastAsia="宋体" w:cs="Times New Roman"/>
                      <w:b w:val="0"/>
                      <w:bCs w:val="0"/>
                      <w:color w:val="auto"/>
                      <w:sz w:val="18"/>
                      <w:szCs w:val="18"/>
                      <w:vertAlign w:val="superscript"/>
                      <w:lang w:val="en-US" w:eastAsia="zh-CN"/>
                    </w:rPr>
                    <w:t>3</w:t>
                  </w:r>
                  <w:r>
                    <w:rPr>
                      <w:rFonts w:hint="default" w:ascii="Times New Roman" w:hAnsi="Times New Roman" w:eastAsia="宋体" w:cs="Times New Roman"/>
                      <w:b w:val="0"/>
                      <w:bCs w:val="0"/>
                      <w:color w:val="auto"/>
                      <w:sz w:val="18"/>
                      <w:szCs w:val="18"/>
                      <w:vertAlign w:val="baseline"/>
                      <w:lang w:val="en-US" w:eastAsia="zh-CN"/>
                    </w:rPr>
                    <w:t>/h。</w:t>
                  </w:r>
                </w:p>
                <w:p w14:paraId="63D11484">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建成区内凤鸣大道</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滨江大道-龙腾大道</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、皖江路</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乐山北路-凤鸣大道</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、龙腾大道</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凤鸣大道-池州大道</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、松花江路</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凤鸣大道-九华河大堤</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、池州大道</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龙腾大道-皖江西路）、凤鸣大道</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龙腾大道-嘉陵江路）等路段市政中压燃气管线已建成，总建设长度为28.5km，为各用气单位提供基础设施保障。</w:t>
                  </w:r>
                </w:p>
              </w:tc>
              <w:tc>
                <w:tcPr>
                  <w:tcW w:w="1948" w:type="dxa"/>
                  <w:noWrap w:val="0"/>
                  <w:vAlign w:val="center"/>
                </w:tcPr>
                <w:p w14:paraId="708D7AC0">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项目不使用天然气，设备</w:t>
                  </w:r>
                  <w:r>
                    <w:rPr>
                      <w:rFonts w:hint="default" w:ascii="Times New Roman" w:hAnsi="Times New Roman" w:eastAsia="宋体" w:cs="Times New Roman"/>
                      <w:b w:val="0"/>
                      <w:bCs w:val="0"/>
                      <w:color w:val="auto"/>
                      <w:sz w:val="18"/>
                      <w:szCs w:val="18"/>
                      <w:vertAlign w:val="baseline"/>
                      <w:lang w:val="en-US" w:eastAsia="zh-CN"/>
                    </w:rPr>
                    <w:t>使用</w:t>
                  </w:r>
                  <w:r>
                    <w:rPr>
                      <w:rFonts w:hint="eastAsia" w:ascii="Times New Roman" w:hAnsi="Times New Roman" w:eastAsia="宋体" w:cs="Times New Roman"/>
                      <w:b w:val="0"/>
                      <w:bCs w:val="0"/>
                      <w:color w:val="auto"/>
                      <w:sz w:val="18"/>
                      <w:szCs w:val="18"/>
                      <w:vertAlign w:val="baseline"/>
                      <w:lang w:val="en-US" w:eastAsia="zh-CN"/>
                    </w:rPr>
                    <w:t>柴油、</w:t>
                  </w:r>
                  <w:r>
                    <w:rPr>
                      <w:rFonts w:hint="default" w:ascii="Times New Roman" w:hAnsi="Times New Roman" w:eastAsia="宋体" w:cs="Times New Roman"/>
                      <w:b w:val="0"/>
                      <w:bCs w:val="0"/>
                      <w:color w:val="auto"/>
                      <w:sz w:val="18"/>
                      <w:szCs w:val="18"/>
                      <w:vertAlign w:val="baseline"/>
                      <w:lang w:val="en-US" w:eastAsia="zh-CN"/>
                    </w:rPr>
                    <w:t>电能</w:t>
                  </w:r>
                  <w:r>
                    <w:rPr>
                      <w:rFonts w:hint="eastAsia" w:ascii="Times New Roman" w:hAnsi="Times New Roman" w:eastAsia="宋体" w:cs="Times New Roman"/>
                      <w:b w:val="0"/>
                      <w:bCs w:val="0"/>
                      <w:color w:val="auto"/>
                      <w:sz w:val="18"/>
                      <w:szCs w:val="18"/>
                      <w:vertAlign w:val="baseline"/>
                      <w:lang w:val="en-US" w:eastAsia="zh-CN"/>
                    </w:rPr>
                    <w:t>、热解产生的热解油和不凝气</w:t>
                  </w:r>
                  <w:r>
                    <w:rPr>
                      <w:rFonts w:hint="default" w:ascii="Times New Roman" w:hAnsi="Times New Roman" w:eastAsia="宋体" w:cs="Times New Roman"/>
                      <w:b w:val="0"/>
                      <w:bCs w:val="0"/>
                      <w:color w:val="auto"/>
                      <w:sz w:val="18"/>
                      <w:szCs w:val="18"/>
                      <w:vertAlign w:val="baseline"/>
                      <w:lang w:val="en-US" w:eastAsia="zh-CN"/>
                    </w:rPr>
                    <w:t>。</w:t>
                  </w:r>
                </w:p>
              </w:tc>
              <w:tc>
                <w:tcPr>
                  <w:tcW w:w="834" w:type="dxa"/>
                  <w:noWrap w:val="0"/>
                  <w:vAlign w:val="center"/>
                </w:tcPr>
                <w:p w14:paraId="6656B63F">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r w14:paraId="03410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142" w:type="dxa"/>
                  <w:gridSpan w:val="2"/>
                  <w:vMerge w:val="restart"/>
                  <w:noWrap w:val="0"/>
                  <w:vAlign w:val="center"/>
                </w:tcPr>
                <w:p w14:paraId="5F687A77">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《安徽省江南产业集中区产业发展规划</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2019~2030）环境影响报告书》审查意见要求</w:t>
                  </w:r>
                </w:p>
              </w:tc>
              <w:tc>
                <w:tcPr>
                  <w:tcW w:w="4434" w:type="dxa"/>
                  <w:shd w:val="clear" w:color="auto" w:fill="auto"/>
                  <w:noWrap w:val="0"/>
                  <w:vAlign w:val="center"/>
                </w:tcPr>
                <w:p w14:paraId="5C4AE671">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kern w:val="2"/>
                      <w:sz w:val="18"/>
                      <w:szCs w:val="18"/>
                      <w:vertAlign w:val="baseline"/>
                      <w:lang w:val="en-US" w:eastAsia="zh-CN" w:bidi="ar-SA"/>
                    </w:rPr>
                  </w:pPr>
                  <w:r>
                    <w:rPr>
                      <w:rFonts w:hint="eastAsia" w:ascii="Times New Roman" w:hAnsi="Times New Roman" w:eastAsia="宋体" w:cs="Times New Roman"/>
                      <w:b w:val="0"/>
                      <w:bCs w:val="0"/>
                      <w:color w:val="auto"/>
                      <w:sz w:val="18"/>
                      <w:szCs w:val="18"/>
                      <w:vertAlign w:val="baseline"/>
                      <w:lang w:val="en-US" w:eastAsia="zh-CN"/>
                    </w:rPr>
                    <w:t>（一）</w:t>
                  </w:r>
                  <w:r>
                    <w:rPr>
                      <w:rFonts w:hint="default" w:ascii="Times New Roman" w:hAnsi="Times New Roman" w:eastAsia="宋体" w:cs="Times New Roman"/>
                      <w:b w:val="0"/>
                      <w:bCs w:val="0"/>
                      <w:color w:val="auto"/>
                      <w:sz w:val="18"/>
                      <w:szCs w:val="18"/>
                      <w:vertAlign w:val="baseline"/>
                      <w:lang w:val="en-US" w:eastAsia="zh-CN"/>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1948" w:type="dxa"/>
                  <w:shd w:val="clear" w:color="auto" w:fill="auto"/>
                  <w:noWrap w:val="0"/>
                  <w:vAlign w:val="center"/>
                </w:tcPr>
                <w:p w14:paraId="7F523DE7">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kern w:val="2"/>
                      <w:sz w:val="18"/>
                      <w:szCs w:val="18"/>
                      <w:vertAlign w:val="baseline"/>
                      <w:lang w:val="en-US" w:eastAsia="zh-CN" w:bidi="ar-SA"/>
                    </w:rPr>
                  </w:pPr>
                  <w:r>
                    <w:rPr>
                      <w:rFonts w:hint="default" w:ascii="Times New Roman" w:hAnsi="Times New Roman" w:eastAsia="宋体" w:cs="Times New Roman"/>
                      <w:b w:val="0"/>
                      <w:bCs w:val="0"/>
                      <w:color w:val="auto"/>
                      <w:sz w:val="18"/>
                      <w:szCs w:val="18"/>
                      <w:vertAlign w:val="baseline"/>
                      <w:lang w:val="en-US" w:eastAsia="zh-CN"/>
                    </w:rPr>
                    <w:t>铜陵淡水豚国家级自然保护区、安徽贵池十八索省级自然保护区等重点环境敏感目标</w:t>
                  </w:r>
                  <w:r>
                    <w:rPr>
                      <w:rFonts w:hint="eastAsia" w:ascii="Times New Roman" w:hAnsi="Times New Roman" w:eastAsia="宋体" w:cs="Times New Roman"/>
                      <w:b w:val="0"/>
                      <w:bCs w:val="0"/>
                      <w:color w:val="auto"/>
                      <w:sz w:val="18"/>
                      <w:szCs w:val="18"/>
                      <w:vertAlign w:val="baseline"/>
                      <w:lang w:val="en-US" w:eastAsia="zh-CN"/>
                    </w:rPr>
                    <w:t>不在</w:t>
                  </w:r>
                  <w:r>
                    <w:rPr>
                      <w:rFonts w:hint="default" w:ascii="Times New Roman" w:hAnsi="Times New Roman" w:eastAsia="宋体" w:cs="Times New Roman"/>
                      <w:b w:val="0"/>
                      <w:bCs w:val="0"/>
                      <w:color w:val="auto"/>
                      <w:sz w:val="18"/>
                      <w:szCs w:val="18"/>
                      <w:vertAlign w:val="baseline"/>
                      <w:lang w:val="en-US" w:eastAsia="zh-CN"/>
                    </w:rPr>
                    <w:t>本项目评价范围内。</w:t>
                  </w:r>
                </w:p>
              </w:tc>
              <w:tc>
                <w:tcPr>
                  <w:tcW w:w="834" w:type="dxa"/>
                  <w:shd w:val="clear" w:color="auto" w:fill="auto"/>
                  <w:noWrap w:val="0"/>
                  <w:vAlign w:val="center"/>
                </w:tcPr>
                <w:p w14:paraId="1D875BF5">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宋体" w:cs="Times New Roman"/>
                      <w:b w:val="0"/>
                      <w:bCs w:val="0"/>
                      <w:color w:val="auto"/>
                      <w:kern w:val="2"/>
                      <w:sz w:val="18"/>
                      <w:szCs w:val="18"/>
                      <w:vertAlign w:val="baseline"/>
                      <w:lang w:val="en-US" w:eastAsia="zh-CN" w:bidi="ar-SA"/>
                    </w:rPr>
                  </w:pPr>
                  <w:r>
                    <w:rPr>
                      <w:rFonts w:hint="eastAsia" w:ascii="Times New Roman" w:hAnsi="Times New Roman" w:eastAsia="宋体" w:cs="Times New Roman"/>
                      <w:b w:val="0"/>
                      <w:bCs w:val="0"/>
                      <w:color w:val="auto"/>
                      <w:sz w:val="18"/>
                      <w:szCs w:val="18"/>
                      <w:vertAlign w:val="baseline"/>
                      <w:lang w:val="en-US" w:eastAsia="zh-CN"/>
                    </w:rPr>
                    <w:t>符合</w:t>
                  </w:r>
                </w:p>
              </w:tc>
            </w:tr>
            <w:tr w14:paraId="57FA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jc w:val="center"/>
              </w:trPr>
              <w:tc>
                <w:tcPr>
                  <w:tcW w:w="1142" w:type="dxa"/>
                  <w:gridSpan w:val="2"/>
                  <w:vMerge w:val="continue"/>
                  <w:noWrap w:val="0"/>
                  <w:vAlign w:val="center"/>
                </w:tcPr>
                <w:p w14:paraId="3400FBF4">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4434" w:type="dxa"/>
                  <w:noWrap w:val="0"/>
                  <w:vAlign w:val="center"/>
                </w:tcPr>
                <w:p w14:paraId="7CB5F8C5">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（二）</w:t>
                  </w:r>
                  <w:r>
                    <w:rPr>
                      <w:rFonts w:hint="default" w:ascii="Times New Roman" w:hAnsi="Times New Roman" w:eastAsia="宋体" w:cs="Times New Roman"/>
                      <w:b w:val="0"/>
                      <w:bCs w:val="0"/>
                      <w:color w:val="auto"/>
                      <w:sz w:val="18"/>
                      <w:szCs w:val="18"/>
                      <w:vertAlign w:val="baseline"/>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1948" w:type="dxa"/>
                  <w:vMerge w:val="restart"/>
                  <w:noWrap w:val="0"/>
                  <w:vAlign w:val="center"/>
                </w:tcPr>
                <w:p w14:paraId="6FF203A7">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项目</w:t>
                  </w:r>
                  <w:r>
                    <w:rPr>
                      <w:rFonts w:hint="default" w:ascii="Times New Roman" w:hAnsi="Times New Roman" w:eastAsia="宋体" w:cs="Times New Roman"/>
                      <w:b w:val="0"/>
                      <w:bCs w:val="0"/>
                      <w:color w:val="auto"/>
                      <w:sz w:val="18"/>
                      <w:szCs w:val="18"/>
                      <w:vertAlign w:val="baseline"/>
                      <w:lang w:val="en-US" w:eastAsia="zh-CN"/>
                    </w:rPr>
                    <w:t>用地性质为工业用地</w:t>
                  </w:r>
                  <w:r>
                    <w:rPr>
                      <w:rFonts w:hint="eastAsia" w:ascii="Times New Roman" w:hAnsi="Times New Roman" w:eastAsia="宋体" w:cs="Times New Roman"/>
                      <w:b w:val="0"/>
                      <w:bCs w:val="0"/>
                      <w:color w:val="auto"/>
                      <w:sz w:val="18"/>
                      <w:szCs w:val="18"/>
                      <w:vertAlign w:val="baseline"/>
                      <w:lang w:val="en-US" w:eastAsia="zh-CN"/>
                    </w:rPr>
                    <w:t>，用地范围内无自然保护区和居住区。项目产生的</w:t>
                  </w:r>
                  <w:r>
                    <w:rPr>
                      <w:rFonts w:hint="default" w:ascii="Times New Roman" w:hAnsi="Times New Roman" w:eastAsia="宋体" w:cs="Times New Roman"/>
                      <w:b w:val="0"/>
                      <w:bCs w:val="0"/>
                      <w:color w:val="auto"/>
                      <w:sz w:val="18"/>
                      <w:szCs w:val="18"/>
                      <w:vertAlign w:val="baseline"/>
                      <w:lang w:val="en-US" w:eastAsia="zh-CN"/>
                    </w:rPr>
                    <w:t>污染物均经过相应处理设施处理后可达标排放。</w:t>
                  </w:r>
                </w:p>
              </w:tc>
              <w:tc>
                <w:tcPr>
                  <w:tcW w:w="834" w:type="dxa"/>
                  <w:vMerge w:val="restart"/>
                  <w:noWrap w:val="0"/>
                  <w:vAlign w:val="center"/>
                </w:tcPr>
                <w:p w14:paraId="6FDBFE2E">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r w14:paraId="4904C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42" w:type="dxa"/>
                  <w:gridSpan w:val="2"/>
                  <w:vMerge w:val="continue"/>
                  <w:noWrap w:val="0"/>
                  <w:vAlign w:val="center"/>
                </w:tcPr>
                <w:p w14:paraId="11CA9FAA">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4434" w:type="dxa"/>
                  <w:noWrap w:val="0"/>
                  <w:vAlign w:val="center"/>
                </w:tcPr>
                <w:p w14:paraId="4591B432">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（三）</w:t>
                  </w:r>
                  <w:r>
                    <w:rPr>
                      <w:rFonts w:hint="default" w:ascii="Times New Roman" w:hAnsi="Times New Roman" w:eastAsia="宋体" w:cs="Times New Roman"/>
                      <w:b w:val="0"/>
                      <w:bCs w:val="0"/>
                      <w:color w:val="auto"/>
                      <w:sz w:val="18"/>
                      <w:szCs w:val="18"/>
                      <w:vertAlign w:val="baseline"/>
                      <w:lang w:val="en-US" w:eastAsia="zh-CN"/>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1948" w:type="dxa"/>
                  <w:vMerge w:val="continue"/>
                  <w:noWrap w:val="0"/>
                  <w:vAlign w:val="center"/>
                </w:tcPr>
                <w:p w14:paraId="2E6A04B5">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p>
              </w:tc>
              <w:tc>
                <w:tcPr>
                  <w:tcW w:w="834" w:type="dxa"/>
                  <w:vMerge w:val="continue"/>
                  <w:noWrap w:val="0"/>
                  <w:vAlign w:val="center"/>
                </w:tcPr>
                <w:p w14:paraId="514FF30A">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r>
            <w:tr w14:paraId="7E1CB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1142" w:type="dxa"/>
                  <w:gridSpan w:val="2"/>
                  <w:vMerge w:val="continue"/>
                  <w:noWrap w:val="0"/>
                  <w:vAlign w:val="center"/>
                </w:tcPr>
                <w:p w14:paraId="0E04B997">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4434" w:type="dxa"/>
                  <w:noWrap w:val="0"/>
                  <w:vAlign w:val="center"/>
                </w:tcPr>
                <w:p w14:paraId="26BCCCBA">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（四）</w:t>
                  </w:r>
                  <w:r>
                    <w:rPr>
                      <w:rFonts w:hint="default" w:ascii="Times New Roman" w:hAnsi="Times New Roman" w:eastAsia="宋体" w:cs="Times New Roman"/>
                      <w:b w:val="0"/>
                      <w:bCs w:val="0"/>
                      <w:color w:val="auto"/>
                      <w:sz w:val="18"/>
                      <w:szCs w:val="18"/>
                      <w:vertAlign w:val="baseline"/>
                      <w:lang w:val="en-US" w:eastAsia="zh-CN"/>
                    </w:rPr>
                    <w:t>入园项目应严格执行水环境保护相关标准和要求，坚持环保优先原则，强化水资源管理，保留集中区内现有天然水体。提高水重复利用率，制定并实施集中区节水规划</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1948" w:type="dxa"/>
                  <w:noWrap w:val="0"/>
                  <w:vAlign w:val="center"/>
                </w:tcPr>
                <w:p w14:paraId="7E7CC8FE">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项目碱洗废水、洗砂废水经车间沉淀池沉淀后回用，不外排；地面冲洗废水、喷淋塔定期排水经沉淀池处理后与化粪池收集的生活污水一同纳管排放</w:t>
                  </w:r>
                  <w:r>
                    <w:rPr>
                      <w:rFonts w:hint="default" w:ascii="Times New Roman" w:hAnsi="Times New Roman" w:eastAsia="宋体" w:cs="Times New Roman"/>
                      <w:b w:val="0"/>
                      <w:bCs w:val="0"/>
                      <w:color w:val="auto"/>
                      <w:sz w:val="18"/>
                      <w:szCs w:val="18"/>
                      <w:vertAlign w:val="baseline"/>
                      <w:lang w:val="en-US" w:eastAsia="zh-CN"/>
                    </w:rPr>
                    <w:t>。</w:t>
                  </w:r>
                </w:p>
              </w:tc>
              <w:tc>
                <w:tcPr>
                  <w:tcW w:w="834" w:type="dxa"/>
                  <w:noWrap w:val="0"/>
                  <w:vAlign w:val="center"/>
                </w:tcPr>
                <w:p w14:paraId="70AE07FE">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r w14:paraId="5718C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142" w:type="dxa"/>
                  <w:gridSpan w:val="2"/>
                  <w:vMerge w:val="continue"/>
                  <w:noWrap w:val="0"/>
                  <w:vAlign w:val="center"/>
                </w:tcPr>
                <w:p w14:paraId="1DAA9147">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4434" w:type="dxa"/>
                  <w:noWrap w:val="0"/>
                  <w:vAlign w:val="center"/>
                </w:tcPr>
                <w:p w14:paraId="0D9EB935">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（五）</w:t>
                  </w:r>
                  <w:r>
                    <w:rPr>
                      <w:rFonts w:hint="default" w:ascii="Times New Roman" w:hAnsi="Times New Roman" w:eastAsia="宋体" w:cs="Times New Roman"/>
                      <w:b w:val="0"/>
                      <w:bCs w:val="0"/>
                      <w:color w:val="auto"/>
                      <w:sz w:val="18"/>
                      <w:szCs w:val="18"/>
                      <w:vertAlign w:val="baseline"/>
                      <w:lang w:val="en-US" w:eastAsia="zh-CN"/>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1948" w:type="dxa"/>
                  <w:noWrap w:val="0"/>
                  <w:vAlign w:val="center"/>
                </w:tcPr>
                <w:p w14:paraId="39BEAFB1">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项目产生的各类固体废物均能实现收集和处理，产生的危险废物委托有资质单位处理。</w:t>
                  </w:r>
                </w:p>
              </w:tc>
              <w:tc>
                <w:tcPr>
                  <w:tcW w:w="834" w:type="dxa"/>
                  <w:noWrap w:val="0"/>
                  <w:vAlign w:val="center"/>
                </w:tcPr>
                <w:p w14:paraId="7598308F">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r w14:paraId="4E36C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42" w:type="dxa"/>
                  <w:gridSpan w:val="2"/>
                  <w:vMerge w:val="continue"/>
                  <w:noWrap w:val="0"/>
                  <w:vAlign w:val="center"/>
                </w:tcPr>
                <w:p w14:paraId="57882EAD">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4434" w:type="dxa"/>
                  <w:noWrap w:val="0"/>
                  <w:vAlign w:val="center"/>
                </w:tcPr>
                <w:p w14:paraId="170B9140">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（六）</w:t>
                  </w:r>
                  <w:r>
                    <w:rPr>
                      <w:rFonts w:hint="default" w:ascii="Times New Roman" w:hAnsi="Times New Roman" w:eastAsia="宋体" w:cs="Times New Roman"/>
                      <w:b w:val="0"/>
                      <w:bCs w:val="0"/>
                      <w:color w:val="auto"/>
                      <w:sz w:val="18"/>
                      <w:szCs w:val="18"/>
                      <w:vertAlign w:val="baseline"/>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1948" w:type="dxa"/>
                  <w:noWrap w:val="0"/>
                  <w:vAlign w:val="center"/>
                </w:tcPr>
                <w:p w14:paraId="2B284257">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本次评价要求企业建立相应的环境风险防范措施和突发环境事件应急预案。</w:t>
                  </w:r>
                </w:p>
              </w:tc>
              <w:tc>
                <w:tcPr>
                  <w:tcW w:w="834" w:type="dxa"/>
                  <w:noWrap w:val="0"/>
                  <w:vAlign w:val="center"/>
                </w:tcPr>
                <w:p w14:paraId="628C0810">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r w14:paraId="19EEA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1142" w:type="dxa"/>
                  <w:gridSpan w:val="2"/>
                  <w:vMerge w:val="continue"/>
                  <w:noWrap w:val="0"/>
                  <w:vAlign w:val="center"/>
                </w:tcPr>
                <w:p w14:paraId="032E45B5">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p>
              </w:tc>
              <w:tc>
                <w:tcPr>
                  <w:tcW w:w="4434" w:type="dxa"/>
                  <w:noWrap w:val="0"/>
                  <w:vAlign w:val="center"/>
                </w:tcPr>
                <w:p w14:paraId="67142559">
                  <w:pPr>
                    <w:pStyle w:val="6"/>
                    <w:keepNext/>
                    <w:keepLines/>
                    <w:pageBreakBefore w:val="0"/>
                    <w:widowControl w:val="0"/>
                    <w:kinsoku/>
                    <w:wordWrap/>
                    <w:overflowPunct/>
                    <w:topLinePunct w:val="0"/>
                    <w:autoSpaceDE/>
                    <w:autoSpaceDN/>
                    <w:bidi w:val="0"/>
                    <w:adjustRightInd/>
                    <w:snapToGrid/>
                    <w:spacing w:before="0" w:after="0" w:line="240" w:lineRule="auto"/>
                    <w:ind w:firstLine="360" w:firstLineChars="200"/>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（七）</w:t>
                  </w:r>
                  <w:r>
                    <w:rPr>
                      <w:rFonts w:hint="default" w:ascii="Times New Roman" w:hAnsi="Times New Roman" w:eastAsia="宋体" w:cs="Times New Roman"/>
                      <w:b w:val="0"/>
                      <w:bCs w:val="0"/>
                      <w:color w:val="auto"/>
                      <w:sz w:val="18"/>
                      <w:szCs w:val="18"/>
                      <w:vertAlign w:val="baseline"/>
                      <w:lang w:val="en-US" w:eastAsia="zh-CN"/>
                    </w:rPr>
                    <w:t>加强环境保护制度建设和管理。入区项目应严格执行环境影响评价制度和环保“三同时”制度</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新增污染物排放总量，应严格按照污染物排放总量控制的要求执行。在规划实施过程中，每隔五年进行一次环境影响跟踪评价，规划修编应重新编制环境影响报告书。</w:t>
                  </w:r>
                </w:p>
              </w:tc>
              <w:tc>
                <w:tcPr>
                  <w:tcW w:w="1948" w:type="dxa"/>
                  <w:noWrap w:val="0"/>
                  <w:vAlign w:val="center"/>
                </w:tcPr>
                <w:p w14:paraId="24769628">
                  <w:pPr>
                    <w:pStyle w:val="6"/>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项目严格执行环境影响评价制度和环保</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三同时</w:t>
                  </w:r>
                  <w:r>
                    <w:rPr>
                      <w:rFonts w:hint="eastAsia" w:ascii="Times New Roman" w:hAnsi="Times New Roman" w:eastAsia="宋体" w:cs="Times New Roman"/>
                      <w:b w:val="0"/>
                      <w:bCs w:val="0"/>
                      <w:color w:val="auto"/>
                      <w:sz w:val="18"/>
                      <w:szCs w:val="18"/>
                      <w:vertAlign w:val="baseline"/>
                      <w:lang w:val="en-US" w:eastAsia="zh-CN"/>
                    </w:rPr>
                    <w:t>”</w:t>
                  </w:r>
                  <w:r>
                    <w:rPr>
                      <w:rFonts w:hint="default" w:ascii="Times New Roman" w:hAnsi="Times New Roman" w:eastAsia="宋体" w:cs="Times New Roman"/>
                      <w:b w:val="0"/>
                      <w:bCs w:val="0"/>
                      <w:color w:val="auto"/>
                      <w:sz w:val="18"/>
                      <w:szCs w:val="18"/>
                      <w:vertAlign w:val="baseline"/>
                      <w:lang w:val="en-US" w:eastAsia="zh-CN"/>
                    </w:rPr>
                    <w:t>制度</w:t>
                  </w:r>
                  <w:r>
                    <w:rPr>
                      <w:rFonts w:hint="eastAsia" w:ascii="Times New Roman" w:hAnsi="Times New Roman" w:eastAsia="宋体" w:cs="Times New Roman"/>
                      <w:b w:val="0"/>
                      <w:bCs w:val="0"/>
                      <w:color w:val="auto"/>
                      <w:sz w:val="18"/>
                      <w:szCs w:val="18"/>
                      <w:vertAlign w:val="baseline"/>
                      <w:lang w:val="en-US" w:eastAsia="zh-CN"/>
                    </w:rPr>
                    <w:t>。新增污染物排放总量严格按照污染物排放总量控制的要求执行</w:t>
                  </w:r>
                  <w:r>
                    <w:rPr>
                      <w:rFonts w:hint="default" w:ascii="Times New Roman" w:hAnsi="Times New Roman" w:eastAsia="宋体" w:cs="Times New Roman"/>
                      <w:b w:val="0"/>
                      <w:bCs w:val="0"/>
                      <w:color w:val="auto"/>
                      <w:sz w:val="18"/>
                      <w:szCs w:val="18"/>
                      <w:vertAlign w:val="baseline"/>
                      <w:lang w:val="en-US" w:eastAsia="zh-CN"/>
                    </w:rPr>
                    <w:t>。</w:t>
                  </w:r>
                </w:p>
              </w:tc>
              <w:tc>
                <w:tcPr>
                  <w:tcW w:w="834" w:type="dxa"/>
                  <w:noWrap w:val="0"/>
                  <w:vAlign w:val="center"/>
                </w:tcPr>
                <w:p w14:paraId="77259B48">
                  <w:pPr>
                    <w:pStyle w:val="6"/>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符合</w:t>
                  </w:r>
                </w:p>
              </w:tc>
            </w:tr>
          </w:tbl>
          <w:p w14:paraId="02941205">
            <w:pPr>
              <w:pStyle w:val="49"/>
              <w:keepNext w:val="0"/>
              <w:keepLines w:val="0"/>
              <w:pageBreakBefore w:val="0"/>
              <w:widowControl w:val="0"/>
              <w:kinsoku/>
              <w:wordWrap/>
              <w:overflowPunct/>
              <w:topLinePunct w:val="0"/>
              <w:autoSpaceDE/>
              <w:autoSpaceDN/>
              <w:bidi w:val="0"/>
              <w:snapToGrid w:val="0"/>
              <w:spacing w:line="480" w:lineRule="exact"/>
              <w:ind w:left="0" w:leftChars="0" w:right="0" w:rightChars="0" w:firstLine="440" w:firstLineChars="200"/>
              <w:jc w:val="both"/>
              <w:textAlignment w:val="auto"/>
              <w:rPr>
                <w:rFonts w:hint="default" w:ascii="Calibri" w:hAnsi="Calibri" w:eastAsia="宋体" w:cs="Times New Roman"/>
                <w:color w:val="auto"/>
                <w:spacing w:val="0"/>
                <w:kern w:val="0"/>
                <w:position w:val="0"/>
                <w:sz w:val="22"/>
                <w:szCs w:val="21"/>
                <w:lang w:val="en-US" w:eastAsia="zh-CN" w:bidi="ar-SA"/>
              </w:rPr>
            </w:pPr>
          </w:p>
        </w:tc>
      </w:tr>
      <w:tr w14:paraId="6A22E3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12" w:type="dxa"/>
            <w:vAlign w:val="center"/>
          </w:tcPr>
          <w:p w14:paraId="06F2850C">
            <w:pPr>
              <w:autoSpaceDE w:val="0"/>
              <w:autoSpaceDN w:val="0"/>
              <w:adjustRightInd w:val="0"/>
              <w:snapToGrid w:val="0"/>
              <w:jc w:val="center"/>
              <w:rPr>
                <w:rFonts w:hint="default" w:ascii="Times New Roman" w:hAnsi="Times New Roman" w:cs="Times New Roman"/>
                <w:b/>
                <w:bCs/>
                <w:color w:val="auto"/>
                <w:spacing w:val="0"/>
                <w:kern w:val="0"/>
                <w:position w:val="0"/>
                <w:sz w:val="24"/>
              </w:rPr>
            </w:pPr>
            <w:r>
              <w:rPr>
                <w:rFonts w:hint="default" w:ascii="Times New Roman" w:hAnsi="Times New Roman" w:cs="Times New Roman"/>
                <w:b/>
                <w:bCs/>
                <w:color w:val="auto"/>
                <w:spacing w:val="0"/>
                <w:kern w:val="0"/>
                <w:position w:val="0"/>
                <w:sz w:val="24"/>
              </w:rPr>
              <w:t>其他符合性分析</w:t>
            </w:r>
          </w:p>
        </w:tc>
        <w:tc>
          <w:tcPr>
            <w:tcW w:w="8639" w:type="dxa"/>
            <w:gridSpan w:val="3"/>
            <w:vAlign w:val="center"/>
          </w:tcPr>
          <w:p w14:paraId="366AB87F">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default" w:ascii="Times New Roman" w:hAnsi="Times New Roman" w:eastAsia="宋体" w:cs="Times New Roman"/>
                <w:b/>
                <w:bCs/>
                <w:color w:val="auto"/>
                <w:spacing w:val="0"/>
                <w:kern w:val="0"/>
                <w:sz w:val="24"/>
                <w:szCs w:val="24"/>
                <w:lang w:val="en-US" w:eastAsia="zh-CN" w:bidi="ar-SA"/>
              </w:rPr>
            </w:pPr>
            <w:r>
              <w:rPr>
                <w:rFonts w:hint="default" w:ascii="Times New Roman" w:hAnsi="Times New Roman" w:eastAsia="宋体" w:cs="Times New Roman"/>
                <w:b/>
                <w:bCs/>
                <w:color w:val="auto"/>
                <w:spacing w:val="0"/>
                <w:kern w:val="0"/>
                <w:sz w:val="24"/>
                <w:szCs w:val="24"/>
                <w:lang w:val="en-US" w:eastAsia="zh-CN" w:bidi="ar-SA"/>
              </w:rPr>
              <w:t>1</w:t>
            </w:r>
            <w:r>
              <w:rPr>
                <w:rFonts w:hint="eastAsia" w:ascii="Times New Roman" w:hAnsi="Times New Roman" w:eastAsia="宋体" w:cs="Times New Roman"/>
                <w:b/>
                <w:bCs/>
                <w:color w:val="auto"/>
                <w:spacing w:val="0"/>
                <w:kern w:val="0"/>
                <w:sz w:val="24"/>
                <w:szCs w:val="24"/>
                <w:lang w:val="en-US" w:eastAsia="zh-CN" w:bidi="ar-SA"/>
              </w:rPr>
              <w:t>、政策符合性分析</w:t>
            </w:r>
          </w:p>
          <w:p w14:paraId="5B815D3F">
            <w:pPr>
              <w:pStyle w:val="11"/>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cs="Times New Roman"/>
                <w:color w:val="auto"/>
                <w:spacing w:val="0"/>
                <w:sz w:val="24"/>
                <w:szCs w:val="24"/>
                <w:lang w:val="en-US" w:eastAsia="zh-CN"/>
              </w:rPr>
            </w:pPr>
            <w:r>
              <w:rPr>
                <w:rFonts w:hint="eastAsia" w:ascii="Times New Roman" w:hAnsi="Times New Roman" w:eastAsia="宋体" w:cs="Times New Roman"/>
                <w:color w:val="auto"/>
                <w:spacing w:val="0"/>
                <w:kern w:val="0"/>
                <w:sz w:val="24"/>
                <w:szCs w:val="24"/>
                <w:lang w:val="en-US" w:eastAsia="zh-CN" w:bidi="ar-SA"/>
              </w:rPr>
              <w:t>本项目属于《产业结构调整指导目录（2024年本）》中“四十二、环境保护与资源节约综合利用一一废弃物循环利用：废旧光伏组件”，为鼓励类项目。对照《环境保护</w:t>
            </w:r>
            <w:r>
              <w:rPr>
                <w:rFonts w:hint="eastAsia" w:ascii="Times New Roman" w:hAnsi="Times New Roman" w:cs="Times New Roman"/>
                <w:color w:val="auto"/>
                <w:spacing w:val="0"/>
                <w:sz w:val="24"/>
                <w:szCs w:val="24"/>
                <w:lang w:val="en-US" w:eastAsia="zh-CN"/>
              </w:rPr>
              <w:t>综合名录》</w:t>
            </w:r>
            <w:r>
              <w:rPr>
                <w:rFonts w:hint="eastAsia" w:cs="Times New Roman"/>
                <w:color w:val="auto"/>
                <w:spacing w:val="0"/>
                <w:sz w:val="24"/>
                <w:szCs w:val="24"/>
                <w:lang w:val="en-US" w:eastAsia="zh-CN"/>
              </w:rPr>
              <w:t>（</w:t>
            </w:r>
            <w:r>
              <w:rPr>
                <w:rFonts w:hint="eastAsia" w:ascii="Times New Roman" w:hAnsi="Times New Roman" w:cs="Times New Roman"/>
                <w:color w:val="auto"/>
                <w:spacing w:val="0"/>
                <w:sz w:val="24"/>
                <w:szCs w:val="24"/>
                <w:lang w:val="en-US" w:eastAsia="zh-CN"/>
              </w:rPr>
              <w:t>2021年版），本项目不属于“高污染”、“高环境风险”及“高污染、高环境风险”产品名录。</w:t>
            </w:r>
          </w:p>
          <w:p w14:paraId="4843C5D1">
            <w:pPr>
              <w:pStyle w:val="11"/>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color w:val="auto"/>
                <w:spacing w:val="0"/>
                <w:position w:val="0"/>
                <w:sz w:val="24"/>
                <w:szCs w:val="24"/>
                <w:lang w:val="en-US" w:eastAsia="zh-CN"/>
              </w:rPr>
            </w:pPr>
            <w:r>
              <w:rPr>
                <w:rFonts w:hint="default" w:ascii="Times New Roman" w:hAnsi="Times New Roman" w:cs="Times New Roman"/>
                <w:color w:val="auto"/>
                <w:spacing w:val="0"/>
                <w:sz w:val="24"/>
                <w:szCs w:val="24"/>
                <w:lang w:eastAsia="zh-CN"/>
              </w:rPr>
              <w:t>202</w:t>
            </w:r>
            <w:r>
              <w:rPr>
                <w:rFonts w:hint="eastAsia" w:cs="Times New Roman"/>
                <w:color w:val="auto"/>
                <w:spacing w:val="0"/>
                <w:sz w:val="24"/>
                <w:szCs w:val="24"/>
                <w:lang w:val="en-US" w:eastAsia="zh-CN"/>
              </w:rPr>
              <w:t>5</w:t>
            </w:r>
            <w:r>
              <w:rPr>
                <w:rFonts w:hint="default" w:ascii="Times New Roman" w:hAnsi="Times New Roman" w:cs="Times New Roman"/>
                <w:color w:val="auto"/>
                <w:spacing w:val="0"/>
                <w:sz w:val="24"/>
                <w:szCs w:val="24"/>
                <w:lang w:eastAsia="zh-CN"/>
              </w:rPr>
              <w:t>年</w:t>
            </w:r>
            <w:r>
              <w:rPr>
                <w:rFonts w:hint="eastAsia" w:cs="Times New Roman"/>
                <w:color w:val="auto"/>
                <w:spacing w:val="0"/>
                <w:sz w:val="24"/>
                <w:szCs w:val="24"/>
                <w:lang w:val="en-US" w:eastAsia="zh-CN"/>
              </w:rPr>
              <w:t>7</w:t>
            </w:r>
            <w:r>
              <w:rPr>
                <w:rFonts w:hint="eastAsia" w:ascii="Times New Roman" w:hAnsi="Times New Roman" w:cs="Times New Roman"/>
                <w:color w:val="auto"/>
                <w:spacing w:val="0"/>
                <w:sz w:val="24"/>
                <w:szCs w:val="24"/>
                <w:lang w:val="en-US" w:eastAsia="zh-CN"/>
              </w:rPr>
              <w:t>月</w:t>
            </w:r>
            <w:r>
              <w:rPr>
                <w:rFonts w:hint="eastAsia" w:cs="Times New Roman"/>
                <w:color w:val="auto"/>
                <w:spacing w:val="0"/>
                <w:sz w:val="24"/>
                <w:szCs w:val="24"/>
                <w:lang w:val="en-US" w:eastAsia="zh-CN"/>
              </w:rPr>
              <w:t>3</w:t>
            </w:r>
            <w:r>
              <w:rPr>
                <w:rFonts w:hint="eastAsia" w:ascii="Times New Roman" w:hAnsi="Times New Roman" w:cs="Times New Roman"/>
                <w:color w:val="auto"/>
                <w:spacing w:val="0"/>
                <w:sz w:val="24"/>
                <w:szCs w:val="24"/>
                <w:lang w:val="en-US" w:eastAsia="zh-CN"/>
              </w:rPr>
              <w:t>日，</w:t>
            </w:r>
            <w:r>
              <w:rPr>
                <w:rFonts w:hint="eastAsia" w:cs="Times New Roman"/>
                <w:color w:val="auto"/>
                <w:spacing w:val="0"/>
                <w:position w:val="0"/>
                <w:sz w:val="24"/>
                <w:lang w:val="en-US" w:eastAsia="zh-CN"/>
              </w:rPr>
              <w:t>皖江江南新兴产业集中区管委会产业发展部以江南管产</w:t>
            </w:r>
            <w:r>
              <w:rPr>
                <w:rFonts w:hint="default" w:ascii="Times New Roman" w:hAnsi="Times New Roman" w:eastAsia="宋体" w:cs="Times New Roman"/>
                <w:color w:val="auto"/>
                <w:spacing w:val="0"/>
                <w:position w:val="0"/>
                <w:sz w:val="24"/>
              </w:rPr>
              <w:t>〔</w:t>
            </w:r>
            <w:r>
              <w:rPr>
                <w:rFonts w:hint="default" w:ascii="Times New Roman" w:hAnsi="Times New Roman" w:eastAsia="宋体" w:cs="Times New Roman"/>
                <w:color w:val="auto"/>
                <w:spacing w:val="0"/>
                <w:position w:val="0"/>
                <w:sz w:val="24"/>
                <w:lang w:val="en-US" w:eastAsia="zh-CN"/>
              </w:rPr>
              <w:t>202</w:t>
            </w:r>
            <w:r>
              <w:rPr>
                <w:rFonts w:hint="eastAsia" w:cs="Times New Roman"/>
                <w:color w:val="auto"/>
                <w:spacing w:val="0"/>
                <w:position w:val="0"/>
                <w:sz w:val="24"/>
                <w:lang w:val="en-US" w:eastAsia="zh-CN"/>
              </w:rPr>
              <w:t>5</w:t>
            </w:r>
            <w:r>
              <w:rPr>
                <w:rFonts w:hint="default" w:ascii="Times New Roman" w:hAnsi="Times New Roman" w:eastAsia="仿宋" w:cs="Times New Roman"/>
                <w:color w:val="auto"/>
                <w:spacing w:val="0"/>
                <w:position w:val="0"/>
                <w:sz w:val="24"/>
              </w:rPr>
              <w:t>〕</w:t>
            </w:r>
            <w:r>
              <w:rPr>
                <w:rFonts w:hint="eastAsia" w:eastAsia="仿宋" w:cs="Times New Roman"/>
                <w:color w:val="auto"/>
                <w:spacing w:val="0"/>
                <w:position w:val="0"/>
                <w:sz w:val="24"/>
                <w:lang w:val="en-US" w:eastAsia="zh-CN"/>
              </w:rPr>
              <w:t>144</w:t>
            </w:r>
            <w:r>
              <w:rPr>
                <w:rFonts w:hint="default" w:ascii="Times New Roman" w:hAnsi="Times New Roman" w:cs="Times New Roman"/>
                <w:color w:val="auto"/>
                <w:spacing w:val="0"/>
                <w:position w:val="0"/>
                <w:sz w:val="24"/>
              </w:rPr>
              <w:t>号</w:t>
            </w:r>
            <w:r>
              <w:rPr>
                <w:rFonts w:hint="eastAsia" w:cs="Times New Roman"/>
                <w:color w:val="auto"/>
                <w:spacing w:val="0"/>
                <w:position w:val="0"/>
                <w:sz w:val="24"/>
                <w:lang w:val="en-US" w:eastAsia="zh-CN"/>
              </w:rPr>
              <w:t>文</w:t>
            </w:r>
            <w:r>
              <w:rPr>
                <w:rFonts w:hint="eastAsia" w:ascii="Times New Roman" w:hAnsi="Times New Roman" w:cs="Times New Roman"/>
                <w:color w:val="auto"/>
                <w:spacing w:val="0"/>
                <w:position w:val="0"/>
                <w:sz w:val="24"/>
                <w:lang w:val="en-US" w:eastAsia="zh-CN"/>
              </w:rPr>
              <w:t>对本项目予以备案</w:t>
            </w:r>
            <w:r>
              <w:rPr>
                <w:rFonts w:hint="default" w:ascii="Times New Roman" w:hAnsi="Times New Roman" w:cs="Times New Roman"/>
                <w:color w:val="auto"/>
                <w:spacing w:val="0"/>
                <w:kern w:val="2"/>
                <w:position w:val="0"/>
                <w:sz w:val="24"/>
                <w:szCs w:val="24"/>
              </w:rPr>
              <w:t>，</w:t>
            </w:r>
            <w:r>
              <w:rPr>
                <w:rFonts w:hint="default" w:ascii="Times New Roman" w:hAnsi="Times New Roman" w:cs="Times New Roman"/>
                <w:color w:val="auto"/>
                <w:spacing w:val="0"/>
                <w:position w:val="0"/>
                <w:sz w:val="24"/>
                <w:szCs w:val="24"/>
              </w:rPr>
              <w:t>项目代码</w:t>
            </w:r>
            <w:r>
              <w:rPr>
                <w:rFonts w:hint="eastAsia" w:ascii="Times New Roman" w:hAnsi="Times New Roman" w:cs="Times New Roman"/>
                <w:color w:val="auto"/>
                <w:spacing w:val="0"/>
                <w:position w:val="0"/>
                <w:sz w:val="24"/>
                <w:szCs w:val="24"/>
                <w:lang w:eastAsia="zh-CN"/>
              </w:rPr>
              <w:t>：</w:t>
            </w:r>
            <w:r>
              <w:rPr>
                <w:rFonts w:hint="eastAsia" w:cs="Times New Roman"/>
                <w:color w:val="auto"/>
                <w:spacing w:val="0"/>
                <w:position w:val="0"/>
                <w:sz w:val="24"/>
                <w:lang w:eastAsia="zh-CN"/>
              </w:rPr>
              <w:t>2507-341763-04-01-265570</w:t>
            </w:r>
            <w:r>
              <w:rPr>
                <w:rFonts w:hint="default" w:ascii="Times New Roman" w:hAnsi="Times New Roman" w:cs="Times New Roman"/>
                <w:color w:val="auto"/>
                <w:spacing w:val="0"/>
                <w:kern w:val="2"/>
                <w:position w:val="0"/>
                <w:sz w:val="24"/>
                <w:szCs w:val="24"/>
              </w:rPr>
              <w:t>。因此本项目符合国家及地方产业政策。</w:t>
            </w:r>
          </w:p>
          <w:p w14:paraId="1A42FD8E">
            <w:pPr>
              <w:keepNext w:val="0"/>
              <w:keepLines w:val="0"/>
              <w:pageBreakBefore w:val="0"/>
              <w:widowControl/>
              <w:suppressLineNumbers w:val="0"/>
              <w:kinsoku/>
              <w:wordWrap/>
              <w:overflowPunct/>
              <w:topLinePunct w:val="0"/>
              <w:autoSpaceDE/>
              <w:autoSpaceDN/>
              <w:bidi w:val="0"/>
              <w:snapToGrid/>
              <w:spacing w:line="480" w:lineRule="atLeast"/>
              <w:jc w:val="both"/>
              <w:textAlignment w:val="auto"/>
              <w:rPr>
                <w:rFonts w:hint="default" w:ascii="Times New Roman" w:hAnsi="Times New Roman" w:eastAsia="宋体" w:cs="Times New Roman"/>
                <w:b/>
                <w:bCs/>
                <w:color w:val="auto"/>
                <w:spacing w:val="0"/>
                <w:kern w:val="2"/>
                <w:sz w:val="24"/>
                <w:szCs w:val="24"/>
                <w:lang w:val="en-US" w:eastAsia="zh-CN" w:bidi="ar-SA"/>
              </w:rPr>
            </w:pPr>
            <w:r>
              <w:rPr>
                <w:rFonts w:hint="eastAsia" w:cs="Times New Roman"/>
                <w:b/>
                <w:bCs/>
                <w:color w:val="auto"/>
                <w:spacing w:val="0"/>
                <w:kern w:val="2"/>
                <w:sz w:val="24"/>
                <w:szCs w:val="24"/>
                <w:lang w:val="en-US" w:eastAsia="zh-CN" w:bidi="ar-SA"/>
              </w:rPr>
              <w:t>2、环境相容性分析</w:t>
            </w:r>
          </w:p>
          <w:p w14:paraId="4A1A07A1">
            <w:pPr>
              <w:keepNext w:val="0"/>
              <w:keepLines w:val="0"/>
              <w:pageBreakBefore w:val="0"/>
              <w:widowControl/>
              <w:suppressLineNumbers w:val="0"/>
              <w:kinsoku/>
              <w:wordWrap/>
              <w:overflowPunct/>
              <w:topLinePunct w:val="0"/>
              <w:autoSpaceDE/>
              <w:autoSpaceDN/>
              <w:bidi w:val="0"/>
              <w:snapToGrid/>
              <w:spacing w:line="480" w:lineRule="atLeast"/>
              <w:ind w:firstLine="480" w:firstLineChars="200"/>
              <w:jc w:val="both"/>
              <w:textAlignment w:val="auto"/>
              <w:rPr>
                <w:rFonts w:hint="eastAsia" w:ascii="Times New Roman" w:hAnsi="Times New Roman" w:eastAsia="宋体" w:cs="Times New Roman"/>
                <w:b w:val="0"/>
                <w:bCs w:val="0"/>
                <w:color w:val="auto"/>
                <w:spacing w:val="0"/>
                <w:kern w:val="2"/>
                <w:sz w:val="24"/>
                <w:szCs w:val="24"/>
                <w:lang w:val="en-US" w:eastAsia="zh-CN" w:bidi="ar-SA"/>
              </w:rPr>
            </w:pPr>
            <w:r>
              <w:rPr>
                <w:rFonts w:hint="eastAsia" w:cs="Times New Roman"/>
                <w:b w:val="0"/>
                <w:bCs w:val="0"/>
                <w:color w:val="auto"/>
                <w:spacing w:val="0"/>
                <w:kern w:val="2"/>
                <w:sz w:val="24"/>
                <w:szCs w:val="24"/>
                <w:lang w:val="en-US" w:eastAsia="zh-CN" w:bidi="ar-SA"/>
              </w:rPr>
              <w:t>（1）</w:t>
            </w:r>
            <w:r>
              <w:rPr>
                <w:rFonts w:hint="eastAsia" w:eastAsia="宋体" w:cs="Times New Roman"/>
                <w:color w:val="auto"/>
                <w:spacing w:val="0"/>
                <w:position w:val="0"/>
                <w:sz w:val="24"/>
                <w:szCs w:val="24"/>
                <w:lang w:val="en-US" w:eastAsia="zh-CN"/>
              </w:rPr>
              <w:t>根据《安徽省江南产业集中区总体规划</w:t>
            </w:r>
            <w:r>
              <w:rPr>
                <w:rFonts w:hint="default" w:ascii="Times New Roman" w:hAnsi="Times New Roman" w:eastAsia="宋体" w:cs="Times New Roman"/>
                <w:color w:val="auto"/>
                <w:spacing w:val="0"/>
                <w:position w:val="0"/>
                <w:sz w:val="24"/>
                <w:szCs w:val="24"/>
                <w:lang w:val="en-US" w:eastAsia="zh-CN"/>
              </w:rPr>
              <w:t>》</w:t>
            </w:r>
            <w:r>
              <w:rPr>
                <w:rFonts w:hint="eastAsia" w:cs="Times New Roman"/>
                <w:color w:val="auto"/>
                <w:spacing w:val="0"/>
                <w:position w:val="0"/>
                <w:sz w:val="24"/>
                <w:szCs w:val="24"/>
                <w:lang w:val="en-US" w:eastAsia="zh-CN"/>
              </w:rPr>
              <w:t>（</w:t>
            </w:r>
            <w:r>
              <w:rPr>
                <w:rFonts w:hint="default" w:ascii="Times New Roman" w:hAnsi="Times New Roman" w:eastAsia="宋体" w:cs="Times New Roman"/>
                <w:color w:val="auto"/>
                <w:spacing w:val="0"/>
                <w:position w:val="0"/>
                <w:sz w:val="24"/>
                <w:szCs w:val="24"/>
                <w:lang w:val="en-US" w:eastAsia="zh-CN"/>
              </w:rPr>
              <w:t>2010-2030年</w:t>
            </w:r>
            <w:r>
              <w:rPr>
                <w:rFonts w:hint="eastAsia" w:ascii="Times New Roman" w:hAnsi="Times New Roman" w:eastAsia="宋体" w:cs="Times New Roman"/>
                <w:color w:val="auto"/>
                <w:spacing w:val="0"/>
                <w:position w:val="0"/>
                <w:sz w:val="24"/>
                <w:szCs w:val="24"/>
                <w:lang w:val="en-US" w:eastAsia="zh-CN"/>
              </w:rPr>
              <w:t>）</w:t>
            </w:r>
            <w:r>
              <w:rPr>
                <w:rFonts w:hint="default" w:ascii="Times New Roman" w:hAnsi="Times New Roman" w:eastAsia="宋体" w:cs="Times New Roman"/>
                <w:color w:val="auto"/>
                <w:spacing w:val="0"/>
                <w:position w:val="0"/>
                <w:sz w:val="24"/>
                <w:szCs w:val="24"/>
                <w:lang w:val="en-US" w:eastAsia="zh-CN"/>
              </w:rPr>
              <w:t>中规划用地布局图可知，项目</w:t>
            </w:r>
            <w:r>
              <w:rPr>
                <w:rFonts w:hint="eastAsia" w:ascii="Times New Roman" w:hAnsi="Times New Roman" w:cs="Times New Roman"/>
                <w:color w:val="auto"/>
                <w:spacing w:val="0"/>
                <w:position w:val="0"/>
                <w:sz w:val="24"/>
                <w:szCs w:val="24"/>
                <w:lang w:val="en-US" w:eastAsia="zh-CN"/>
              </w:rPr>
              <w:t>用地</w:t>
            </w:r>
            <w:r>
              <w:rPr>
                <w:rFonts w:hint="default" w:ascii="Times New Roman" w:hAnsi="Times New Roman" w:eastAsia="宋体" w:cs="Times New Roman"/>
                <w:color w:val="auto"/>
                <w:spacing w:val="0"/>
                <w:position w:val="0"/>
                <w:sz w:val="24"/>
                <w:szCs w:val="24"/>
                <w:lang w:val="en-US" w:eastAsia="zh-CN"/>
              </w:rPr>
              <w:t>属于工业用地</w:t>
            </w:r>
            <w:r>
              <w:rPr>
                <w:rFonts w:hint="eastAsia" w:cs="Times New Roman"/>
                <w:color w:val="auto"/>
                <w:spacing w:val="0"/>
                <w:position w:val="0"/>
                <w:sz w:val="24"/>
                <w:szCs w:val="24"/>
                <w:lang w:val="en-US" w:eastAsia="zh-CN"/>
              </w:rPr>
              <w:t>。</w:t>
            </w:r>
          </w:p>
          <w:p w14:paraId="739A80D9">
            <w:pPr>
              <w:keepNext w:val="0"/>
              <w:keepLines w:val="0"/>
              <w:pageBreakBefore w:val="0"/>
              <w:widowControl/>
              <w:suppressLineNumbers w:val="0"/>
              <w:kinsoku/>
              <w:wordWrap/>
              <w:overflowPunct/>
              <w:topLinePunct w:val="0"/>
              <w:autoSpaceDE/>
              <w:autoSpaceDN/>
              <w:bidi w:val="0"/>
              <w:snapToGrid/>
              <w:spacing w:line="480" w:lineRule="atLeast"/>
              <w:ind w:firstLine="480" w:firstLineChars="200"/>
              <w:jc w:val="both"/>
              <w:textAlignment w:val="auto"/>
              <w:rPr>
                <w:rFonts w:hint="default" w:cs="Times New Roman"/>
                <w:b w:val="0"/>
                <w:bCs w:val="0"/>
                <w:color w:val="auto"/>
                <w:spacing w:val="0"/>
                <w:kern w:val="2"/>
                <w:sz w:val="24"/>
                <w:szCs w:val="24"/>
                <w:lang w:val="en-US" w:eastAsia="zh-CN" w:bidi="ar-SA"/>
              </w:rPr>
            </w:pPr>
            <w:r>
              <w:rPr>
                <w:rFonts w:hint="eastAsia" w:cs="Times New Roman"/>
                <w:b w:val="0"/>
                <w:bCs w:val="0"/>
                <w:color w:val="auto"/>
                <w:spacing w:val="0"/>
                <w:kern w:val="2"/>
                <w:sz w:val="24"/>
                <w:szCs w:val="24"/>
                <w:lang w:val="en-US" w:eastAsia="zh-CN" w:bidi="ar-SA"/>
              </w:rPr>
              <w:t>（2）项目选址位于</w:t>
            </w:r>
            <w:r>
              <w:rPr>
                <w:rFonts w:hint="eastAsia"/>
                <w:color w:val="auto"/>
                <w:spacing w:val="0"/>
                <w:position w:val="0"/>
                <w:sz w:val="24"/>
                <w:lang w:val="en-US" w:eastAsia="zh-CN"/>
              </w:rPr>
              <w:t>万凯产业园7#厂房，东、北、西、南面分别为园区规划的万凯产业园8#厂房、3#厂房、6#厂房、备用地块，周边不涉及食品加工企业，且厂房周边500m范围内不涉及敏感点，无制约性因素，选址环境可行。</w:t>
            </w:r>
          </w:p>
          <w:p w14:paraId="1A81BD9D">
            <w:pPr>
              <w:keepNext w:val="0"/>
              <w:keepLines w:val="0"/>
              <w:pageBreakBefore w:val="0"/>
              <w:widowControl/>
              <w:suppressLineNumbers w:val="0"/>
              <w:kinsoku/>
              <w:wordWrap/>
              <w:overflowPunct/>
              <w:topLinePunct w:val="0"/>
              <w:autoSpaceDE/>
              <w:autoSpaceDN/>
              <w:bidi w:val="0"/>
              <w:snapToGrid/>
              <w:spacing w:line="480" w:lineRule="atLeast"/>
              <w:ind w:firstLine="480" w:firstLineChars="200"/>
              <w:jc w:val="both"/>
              <w:textAlignment w:val="auto"/>
              <w:rPr>
                <w:rFonts w:hint="default" w:ascii="Times New Roman" w:hAnsi="Times New Roman" w:eastAsia="宋体" w:cs="Times New Roman"/>
                <w:b w:val="0"/>
                <w:bCs w:val="0"/>
                <w:color w:val="auto"/>
                <w:spacing w:val="0"/>
                <w:kern w:val="2"/>
                <w:sz w:val="24"/>
                <w:szCs w:val="24"/>
                <w:lang w:val="en-US" w:eastAsia="zh-CN" w:bidi="ar-SA"/>
              </w:rPr>
            </w:pPr>
            <w:r>
              <w:rPr>
                <w:rFonts w:hint="eastAsia" w:cs="Times New Roman"/>
                <w:b w:val="0"/>
                <w:bCs w:val="0"/>
                <w:color w:val="auto"/>
                <w:spacing w:val="0"/>
                <w:kern w:val="2"/>
                <w:sz w:val="24"/>
                <w:szCs w:val="24"/>
                <w:lang w:val="en-US" w:eastAsia="zh-CN" w:bidi="ar-SA"/>
              </w:rPr>
              <w:t>（3）根据</w:t>
            </w:r>
            <w:r>
              <w:rPr>
                <w:rFonts w:hint="default" w:ascii="Times New Roman" w:hAnsi="Times New Roman" w:eastAsia="宋体" w:cs="Times New Roman"/>
                <w:bCs/>
                <w:caps w:val="0"/>
                <w:color w:val="auto"/>
                <w:spacing w:val="0"/>
                <w:w w:val="100"/>
                <w:position w:val="0"/>
                <w:sz w:val="24"/>
                <w:lang w:val="en-US" w:eastAsia="zh-CN"/>
              </w:rPr>
              <w:t>《</w:t>
            </w:r>
            <w:r>
              <w:rPr>
                <w:rFonts w:hint="eastAsia" w:cs="Times New Roman"/>
                <w:bCs/>
                <w:caps w:val="0"/>
                <w:color w:val="auto"/>
                <w:spacing w:val="0"/>
                <w:w w:val="100"/>
                <w:position w:val="0"/>
                <w:sz w:val="24"/>
                <w:lang w:eastAsia="zh-CN"/>
              </w:rPr>
              <w:t>2024年池州市生态环境状况公报</w:t>
            </w:r>
            <w:r>
              <w:rPr>
                <w:rFonts w:hint="default" w:ascii="Times New Roman" w:hAnsi="Times New Roman" w:eastAsia="宋体" w:cs="Times New Roman"/>
                <w:bCs/>
                <w:caps w:val="0"/>
                <w:color w:val="auto"/>
                <w:spacing w:val="0"/>
                <w:w w:val="100"/>
                <w:position w:val="0"/>
                <w:sz w:val="24"/>
                <w:szCs w:val="24"/>
                <w:lang w:val="en-US" w:eastAsia="zh-CN"/>
              </w:rPr>
              <w:t>》</w:t>
            </w:r>
            <w:r>
              <w:rPr>
                <w:rFonts w:hint="eastAsia" w:cs="Times New Roman"/>
                <w:bCs/>
                <w:caps w:val="0"/>
                <w:color w:val="auto"/>
                <w:spacing w:val="0"/>
                <w:w w:val="100"/>
                <w:position w:val="0"/>
                <w:sz w:val="24"/>
                <w:szCs w:val="24"/>
                <w:lang w:val="en-US" w:eastAsia="zh-CN"/>
              </w:rPr>
              <w:t>及区域环境质量现状监测报告，区域环境质量良好。项目产生的废气、废水、噪声、固废经有效防治后，对周边环境影响较小。</w:t>
            </w:r>
          </w:p>
          <w:p w14:paraId="06D4C1B1">
            <w:pPr>
              <w:keepNext w:val="0"/>
              <w:keepLines w:val="0"/>
              <w:pageBreakBefore w:val="0"/>
              <w:widowControl/>
              <w:suppressLineNumbers w:val="0"/>
              <w:kinsoku/>
              <w:wordWrap/>
              <w:overflowPunct/>
              <w:topLinePunct w:val="0"/>
              <w:autoSpaceDE/>
              <w:autoSpaceDN/>
              <w:bidi w:val="0"/>
              <w:snapToGrid/>
              <w:spacing w:line="480" w:lineRule="atLeast"/>
              <w:ind w:firstLine="480" w:firstLineChars="200"/>
              <w:jc w:val="both"/>
              <w:textAlignment w:val="auto"/>
              <w:rPr>
                <w:rFonts w:hint="default" w:ascii="Times New Roman" w:hAnsi="Times New Roman" w:eastAsia="宋体" w:cs="Times New Roman"/>
                <w:b w:val="0"/>
                <w:bCs w:val="0"/>
                <w:color w:val="auto"/>
                <w:spacing w:val="0"/>
                <w:kern w:val="2"/>
                <w:sz w:val="24"/>
                <w:szCs w:val="24"/>
                <w:lang w:val="en-US" w:eastAsia="zh-CN" w:bidi="ar-SA"/>
              </w:rPr>
            </w:pPr>
            <w:r>
              <w:rPr>
                <w:rFonts w:hint="eastAsia" w:cs="Times New Roman"/>
                <w:b w:val="0"/>
                <w:bCs w:val="0"/>
                <w:color w:val="auto"/>
                <w:spacing w:val="0"/>
                <w:kern w:val="2"/>
                <w:sz w:val="24"/>
                <w:szCs w:val="24"/>
                <w:lang w:val="en-US" w:eastAsia="zh-CN" w:bidi="ar-SA"/>
              </w:rPr>
              <w:t>综上所述，项目选址与周边环境相容。</w:t>
            </w:r>
          </w:p>
          <w:p w14:paraId="5FDCD15B">
            <w:pPr>
              <w:keepNext w:val="0"/>
              <w:keepLines w:val="0"/>
              <w:pageBreakBefore w:val="0"/>
              <w:widowControl/>
              <w:suppressLineNumbers w:val="0"/>
              <w:kinsoku/>
              <w:wordWrap/>
              <w:overflowPunct/>
              <w:topLinePunct w:val="0"/>
              <w:autoSpaceDE/>
              <w:autoSpaceDN/>
              <w:bidi w:val="0"/>
              <w:snapToGrid/>
              <w:spacing w:line="480" w:lineRule="atLeast"/>
              <w:jc w:val="both"/>
              <w:textAlignment w:val="auto"/>
              <w:rPr>
                <w:rFonts w:hint="default" w:ascii="Times New Roman" w:hAnsi="Times New Roman" w:eastAsia="宋体" w:cs="Times New Roman"/>
                <w:b/>
                <w:bCs/>
                <w:color w:val="auto"/>
                <w:spacing w:val="0"/>
                <w:kern w:val="2"/>
                <w:sz w:val="24"/>
                <w:szCs w:val="24"/>
                <w:lang w:val="en-US" w:eastAsia="zh-CN" w:bidi="ar-SA"/>
              </w:rPr>
            </w:pPr>
            <w:r>
              <w:rPr>
                <w:rFonts w:hint="eastAsia" w:cs="Times New Roman"/>
                <w:b/>
                <w:bCs/>
                <w:color w:val="auto"/>
                <w:spacing w:val="0"/>
                <w:kern w:val="2"/>
                <w:sz w:val="24"/>
                <w:szCs w:val="24"/>
                <w:lang w:val="en-US" w:eastAsia="zh-CN" w:bidi="ar-SA"/>
              </w:rPr>
              <w:t>3</w:t>
            </w:r>
            <w:r>
              <w:rPr>
                <w:rFonts w:hint="eastAsia" w:ascii="Times New Roman" w:hAnsi="Times New Roman" w:eastAsia="宋体" w:cs="Times New Roman"/>
                <w:b/>
                <w:bCs/>
                <w:color w:val="auto"/>
                <w:spacing w:val="0"/>
                <w:kern w:val="2"/>
                <w:sz w:val="24"/>
                <w:szCs w:val="24"/>
                <w:lang w:val="en-US" w:eastAsia="zh-CN" w:bidi="ar-SA"/>
              </w:rPr>
              <w:t>、安徽省“两高”项目分类管理名录</w:t>
            </w:r>
          </w:p>
          <w:p w14:paraId="401C8EEB">
            <w:pPr>
              <w:keepNext w:val="0"/>
              <w:keepLines w:val="0"/>
              <w:pageBreakBefore w:val="0"/>
              <w:widowControl/>
              <w:suppressLineNumbers w:val="0"/>
              <w:kinsoku/>
              <w:wordWrap/>
              <w:overflowPunct/>
              <w:topLinePunct w:val="0"/>
              <w:autoSpaceDE/>
              <w:autoSpaceDN/>
              <w:bidi w:val="0"/>
              <w:snapToGrid/>
              <w:spacing w:line="480" w:lineRule="atLeast"/>
              <w:ind w:firstLine="480" w:firstLineChars="200"/>
              <w:jc w:val="both"/>
              <w:textAlignment w:val="auto"/>
              <w:rPr>
                <w:rFonts w:hint="default" w:ascii="Times New Roman" w:hAnsi="Times New Roman" w:eastAsia="宋体" w:cs="Times New Roman"/>
                <w:b w:val="0"/>
                <w:bCs w:val="0"/>
                <w:color w:val="auto"/>
                <w:spacing w:val="0"/>
                <w:kern w:val="2"/>
                <w:sz w:val="24"/>
                <w:szCs w:val="24"/>
                <w:lang w:val="en-US" w:eastAsia="zh-CN" w:bidi="ar-SA"/>
              </w:rPr>
            </w:pPr>
            <w:r>
              <w:rPr>
                <w:rFonts w:hint="eastAsia" w:ascii="Times New Roman" w:hAnsi="Times New Roman" w:eastAsia="宋体" w:cs="Times New Roman"/>
                <w:color w:val="auto"/>
                <w:spacing w:val="0"/>
                <w:kern w:val="2"/>
                <w:sz w:val="24"/>
                <w:szCs w:val="24"/>
                <w:lang w:val="en-US" w:eastAsia="zh-CN" w:bidi="ar-SA"/>
              </w:rPr>
              <w:t>根据《安徽省节能减排及应对气候变化工作领导小组关于印发安徽省“两高”项目管理目录</w:t>
            </w:r>
            <w:r>
              <w:rPr>
                <w:rFonts w:hint="eastAsia" w:cs="Times New Roman"/>
                <w:color w:val="auto"/>
                <w:spacing w:val="0"/>
                <w:kern w:val="2"/>
                <w:sz w:val="24"/>
                <w:szCs w:val="24"/>
                <w:lang w:val="en-US" w:eastAsia="zh-CN" w:bidi="ar-SA"/>
              </w:rPr>
              <w:t>（</w:t>
            </w:r>
            <w:r>
              <w:rPr>
                <w:rFonts w:hint="eastAsia" w:ascii="Times New Roman" w:hAnsi="Times New Roman" w:eastAsia="宋体" w:cs="Times New Roman"/>
                <w:color w:val="auto"/>
                <w:spacing w:val="0"/>
                <w:kern w:val="2"/>
                <w:sz w:val="24"/>
                <w:szCs w:val="24"/>
                <w:lang w:val="en-US" w:eastAsia="zh-CN" w:bidi="ar-SA"/>
              </w:rPr>
              <w:t>试行）的通知》，</w:t>
            </w:r>
            <w:r>
              <w:rPr>
                <w:rFonts w:hint="eastAsia" w:ascii="Times New Roman" w:hAnsi="Times New Roman" w:eastAsia="宋体" w:cs="Times New Roman"/>
                <w:b w:val="0"/>
                <w:bCs w:val="0"/>
                <w:color w:val="auto"/>
                <w:spacing w:val="0"/>
                <w:kern w:val="2"/>
                <w:sz w:val="24"/>
                <w:szCs w:val="24"/>
                <w:lang w:val="en-US" w:eastAsia="zh-CN" w:bidi="ar-SA"/>
              </w:rPr>
              <w:t>安徽省“两高”项目分类管理名录如下：</w:t>
            </w:r>
          </w:p>
          <w:p w14:paraId="4AC2DEEF">
            <w:pPr>
              <w:keepNext w:val="0"/>
              <w:keepLines w:val="0"/>
              <w:pageBreakBefore w:val="0"/>
              <w:widowControl/>
              <w:suppressLineNumbers w:val="0"/>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eastAsia="宋体" w:cs="Times New Roman"/>
                <w:b/>
                <w:bCs/>
                <w:color w:val="auto"/>
                <w:spacing w:val="0"/>
                <w:kern w:val="2"/>
                <w:sz w:val="21"/>
                <w:szCs w:val="21"/>
                <w:lang w:val="en-US" w:eastAsia="zh-CN" w:bidi="ar-SA"/>
              </w:rPr>
            </w:pPr>
            <w:r>
              <w:rPr>
                <w:rFonts w:hint="eastAsia" w:ascii="Times New Roman" w:hAnsi="Times New Roman" w:eastAsia="宋体" w:cs="Times New Roman"/>
                <w:b/>
                <w:bCs/>
                <w:color w:val="auto"/>
                <w:spacing w:val="0"/>
                <w:kern w:val="2"/>
                <w:sz w:val="21"/>
                <w:szCs w:val="21"/>
                <w:lang w:val="en-US" w:eastAsia="zh-CN" w:bidi="ar-SA"/>
              </w:rPr>
              <w:t>表1-3  安徽省“两高”项目分类管理名录</w:t>
            </w:r>
            <w:r>
              <w:rPr>
                <w:rFonts w:hint="eastAsia" w:cs="Times New Roman"/>
                <w:b/>
                <w:bCs/>
                <w:color w:val="auto"/>
                <w:spacing w:val="0"/>
                <w:kern w:val="2"/>
                <w:sz w:val="21"/>
                <w:szCs w:val="21"/>
                <w:lang w:val="en-US" w:eastAsia="zh-CN" w:bidi="ar-SA"/>
              </w:rPr>
              <w:t>（</w:t>
            </w:r>
            <w:r>
              <w:rPr>
                <w:rFonts w:hint="eastAsia" w:ascii="Times New Roman" w:hAnsi="Times New Roman" w:eastAsia="宋体" w:cs="Times New Roman"/>
                <w:b/>
                <w:bCs/>
                <w:color w:val="auto"/>
                <w:spacing w:val="0"/>
                <w:kern w:val="2"/>
                <w:sz w:val="21"/>
                <w:szCs w:val="21"/>
                <w:lang w:val="en-US" w:eastAsia="zh-CN" w:bidi="ar-SA"/>
              </w:rPr>
              <w:t>试行）</w:t>
            </w:r>
          </w:p>
          <w:tbl>
            <w:tblPr>
              <w:tblStyle w:val="69"/>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3"/>
              <w:gridCol w:w="907"/>
              <w:gridCol w:w="1731"/>
              <w:gridCol w:w="1355"/>
              <w:gridCol w:w="3810"/>
            </w:tblGrid>
            <w:tr w14:paraId="174DB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08C27AA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bCs/>
                      <w:color w:val="auto"/>
                      <w:spacing w:val="0"/>
                      <w:sz w:val="21"/>
                      <w:szCs w:val="21"/>
                    </w:rPr>
                  </w:pPr>
                  <w:r>
                    <w:rPr>
                      <w:rFonts w:hint="default" w:ascii="Times New Roman" w:hAnsi="Times New Roman" w:eastAsia="宋体" w:cs="Times New Roman"/>
                      <w:b/>
                      <w:bCs/>
                      <w:color w:val="auto"/>
                      <w:spacing w:val="0"/>
                      <w:sz w:val="21"/>
                      <w:szCs w:val="21"/>
                    </w:rPr>
                    <w:t>序号</w:t>
                  </w:r>
                </w:p>
              </w:tc>
              <w:tc>
                <w:tcPr>
                  <w:tcW w:w="907" w:type="dxa"/>
                  <w:tcBorders>
                    <w:tl2br w:val="nil"/>
                    <w:tr2bl w:val="nil"/>
                  </w:tcBorders>
                  <w:noWrap w:val="0"/>
                  <w:vAlign w:val="center"/>
                </w:tcPr>
                <w:p w14:paraId="6279E0A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bCs/>
                      <w:color w:val="auto"/>
                      <w:spacing w:val="0"/>
                      <w:sz w:val="21"/>
                      <w:szCs w:val="21"/>
                    </w:rPr>
                  </w:pPr>
                  <w:r>
                    <w:rPr>
                      <w:rFonts w:hint="default" w:ascii="Times New Roman" w:hAnsi="Times New Roman" w:eastAsia="宋体" w:cs="Times New Roman"/>
                      <w:b/>
                      <w:bCs/>
                      <w:color w:val="auto"/>
                      <w:spacing w:val="0"/>
                      <w:sz w:val="21"/>
                      <w:szCs w:val="21"/>
                    </w:rPr>
                    <w:t>行业</w:t>
                  </w:r>
                </w:p>
              </w:tc>
              <w:tc>
                <w:tcPr>
                  <w:tcW w:w="1731" w:type="dxa"/>
                  <w:tcBorders>
                    <w:tl2br w:val="nil"/>
                    <w:tr2bl w:val="nil"/>
                  </w:tcBorders>
                  <w:noWrap w:val="0"/>
                  <w:vAlign w:val="center"/>
                </w:tcPr>
                <w:p w14:paraId="7FD9138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bCs/>
                      <w:color w:val="auto"/>
                      <w:spacing w:val="0"/>
                      <w:sz w:val="21"/>
                      <w:szCs w:val="21"/>
                    </w:rPr>
                  </w:pPr>
                  <w:r>
                    <w:rPr>
                      <w:rFonts w:hint="default" w:ascii="Times New Roman" w:hAnsi="Times New Roman" w:eastAsia="宋体" w:cs="Times New Roman"/>
                      <w:b/>
                      <w:bCs/>
                      <w:color w:val="auto"/>
                      <w:spacing w:val="0"/>
                      <w:sz w:val="21"/>
                      <w:szCs w:val="21"/>
                    </w:rPr>
                    <w:t>国民经济行业分类名称</w:t>
                  </w:r>
                </w:p>
              </w:tc>
              <w:tc>
                <w:tcPr>
                  <w:tcW w:w="1355" w:type="dxa"/>
                  <w:tcBorders>
                    <w:tl2br w:val="nil"/>
                    <w:tr2bl w:val="nil"/>
                  </w:tcBorders>
                  <w:noWrap w:val="0"/>
                  <w:vAlign w:val="center"/>
                </w:tcPr>
                <w:p w14:paraId="573F2DA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bCs/>
                      <w:color w:val="auto"/>
                      <w:spacing w:val="0"/>
                      <w:sz w:val="21"/>
                      <w:szCs w:val="21"/>
                    </w:rPr>
                  </w:pPr>
                  <w:r>
                    <w:rPr>
                      <w:rFonts w:hint="default" w:ascii="Times New Roman" w:hAnsi="Times New Roman" w:eastAsia="宋体" w:cs="Times New Roman"/>
                      <w:b/>
                      <w:bCs/>
                      <w:color w:val="auto"/>
                      <w:spacing w:val="0"/>
                      <w:sz w:val="21"/>
                      <w:szCs w:val="21"/>
                    </w:rPr>
                    <w:t>行业小类代码</w:t>
                  </w:r>
                </w:p>
              </w:tc>
              <w:tc>
                <w:tcPr>
                  <w:tcW w:w="3810" w:type="dxa"/>
                  <w:tcBorders>
                    <w:tl2br w:val="nil"/>
                    <w:tr2bl w:val="nil"/>
                  </w:tcBorders>
                  <w:noWrap w:val="0"/>
                  <w:vAlign w:val="center"/>
                </w:tcPr>
                <w:p w14:paraId="08CA904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bCs/>
                      <w:color w:val="auto"/>
                      <w:spacing w:val="0"/>
                      <w:sz w:val="21"/>
                      <w:szCs w:val="21"/>
                    </w:rPr>
                  </w:pPr>
                  <w:r>
                    <w:rPr>
                      <w:rFonts w:hint="default" w:ascii="Times New Roman" w:hAnsi="Times New Roman" w:eastAsia="宋体" w:cs="Times New Roman"/>
                      <w:b/>
                      <w:bCs/>
                      <w:color w:val="auto"/>
                      <w:spacing w:val="0"/>
                      <w:sz w:val="21"/>
                      <w:szCs w:val="21"/>
                    </w:rPr>
                    <w:t>包含内容</w:t>
                  </w:r>
                </w:p>
              </w:tc>
            </w:tr>
            <w:tr w14:paraId="069D7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44B5689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w:t>
                  </w:r>
                </w:p>
              </w:tc>
              <w:tc>
                <w:tcPr>
                  <w:tcW w:w="907" w:type="dxa"/>
                  <w:tcBorders>
                    <w:tl2br w:val="nil"/>
                    <w:tr2bl w:val="nil"/>
                  </w:tcBorders>
                  <w:noWrap w:val="0"/>
                  <w:vAlign w:val="center"/>
                </w:tcPr>
                <w:p w14:paraId="251B51C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石化</w:t>
                  </w:r>
                </w:p>
              </w:tc>
              <w:tc>
                <w:tcPr>
                  <w:tcW w:w="1731" w:type="dxa"/>
                  <w:tcBorders>
                    <w:tl2br w:val="nil"/>
                    <w:tr2bl w:val="nil"/>
                  </w:tcBorders>
                  <w:noWrap w:val="0"/>
                  <w:vAlign w:val="center"/>
                </w:tcPr>
                <w:p w14:paraId="03D5500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原油加工及石油制品制造</w:t>
                  </w:r>
                </w:p>
              </w:tc>
              <w:tc>
                <w:tcPr>
                  <w:tcW w:w="1355" w:type="dxa"/>
                  <w:tcBorders>
                    <w:tl2br w:val="nil"/>
                    <w:tr2bl w:val="nil"/>
                  </w:tcBorders>
                  <w:noWrap w:val="0"/>
                  <w:vAlign w:val="center"/>
                </w:tcPr>
                <w:p w14:paraId="38724F7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2511</w:t>
                  </w:r>
                </w:p>
              </w:tc>
              <w:tc>
                <w:tcPr>
                  <w:tcW w:w="3810" w:type="dxa"/>
                  <w:tcBorders>
                    <w:tl2br w:val="nil"/>
                    <w:tr2bl w:val="nil"/>
                  </w:tcBorders>
                  <w:noWrap w:val="0"/>
                  <w:vAlign w:val="center"/>
                </w:tcPr>
                <w:p w14:paraId="1729868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炼油</w:t>
                  </w:r>
                </w:p>
              </w:tc>
            </w:tr>
            <w:tr w14:paraId="10DDB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jc w:val="center"/>
              </w:trPr>
              <w:tc>
                <w:tcPr>
                  <w:tcW w:w="653" w:type="dxa"/>
                  <w:tcBorders>
                    <w:tl2br w:val="nil"/>
                    <w:tr2bl w:val="nil"/>
                  </w:tcBorders>
                  <w:noWrap w:val="0"/>
                  <w:vAlign w:val="center"/>
                </w:tcPr>
                <w:p w14:paraId="7E36C81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w:t>
                  </w:r>
                </w:p>
              </w:tc>
              <w:tc>
                <w:tcPr>
                  <w:tcW w:w="907" w:type="dxa"/>
                  <w:tcBorders>
                    <w:tl2br w:val="nil"/>
                    <w:tr2bl w:val="nil"/>
                  </w:tcBorders>
                  <w:noWrap w:val="0"/>
                  <w:vAlign w:val="center"/>
                </w:tcPr>
                <w:p w14:paraId="5952B0E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焦化</w:t>
                  </w:r>
                </w:p>
              </w:tc>
              <w:tc>
                <w:tcPr>
                  <w:tcW w:w="1731" w:type="dxa"/>
                  <w:tcBorders>
                    <w:tl2br w:val="nil"/>
                    <w:tr2bl w:val="nil"/>
                  </w:tcBorders>
                  <w:noWrap w:val="0"/>
                  <w:vAlign w:val="center"/>
                </w:tcPr>
                <w:p w14:paraId="6876F60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炼焦</w:t>
                  </w:r>
                </w:p>
              </w:tc>
              <w:tc>
                <w:tcPr>
                  <w:tcW w:w="1355" w:type="dxa"/>
                  <w:tcBorders>
                    <w:tl2br w:val="nil"/>
                    <w:tr2bl w:val="nil"/>
                  </w:tcBorders>
                  <w:noWrap w:val="0"/>
                  <w:vAlign w:val="center"/>
                </w:tcPr>
                <w:p w14:paraId="7D991F7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2521</w:t>
                  </w:r>
                </w:p>
              </w:tc>
              <w:tc>
                <w:tcPr>
                  <w:tcW w:w="3810" w:type="dxa"/>
                  <w:tcBorders>
                    <w:tl2br w:val="nil"/>
                    <w:tr2bl w:val="nil"/>
                  </w:tcBorders>
                  <w:noWrap w:val="0"/>
                  <w:vAlign w:val="center"/>
                </w:tcPr>
                <w:p w14:paraId="3B9B1C8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煤制焦炭、石油焦</w:t>
                  </w:r>
                  <w:r>
                    <w:rPr>
                      <w:rFonts w:hint="eastAsia" w:cs="Times New Roman"/>
                      <w:color w:val="auto"/>
                      <w:spacing w:val="0"/>
                      <w:sz w:val="21"/>
                      <w:szCs w:val="21"/>
                      <w:lang w:eastAsia="zh-CN"/>
                    </w:rPr>
                    <w:t>（</w:t>
                  </w:r>
                  <w:r>
                    <w:rPr>
                      <w:rFonts w:hint="default" w:ascii="Times New Roman" w:hAnsi="Times New Roman" w:eastAsia="宋体" w:cs="Times New Roman"/>
                      <w:color w:val="auto"/>
                      <w:spacing w:val="0"/>
                      <w:sz w:val="21"/>
                      <w:szCs w:val="21"/>
                    </w:rPr>
                    <w:t>焦炭类</w:t>
                  </w:r>
                  <w:r>
                    <w:rPr>
                      <w:rFonts w:hint="eastAsia" w:ascii="Times New Roman" w:hAnsi="Times New Roman" w:eastAsia="宋体" w:cs="Times New Roman"/>
                      <w:color w:val="auto"/>
                      <w:spacing w:val="0"/>
                      <w:sz w:val="21"/>
                      <w:szCs w:val="21"/>
                      <w:lang w:eastAsia="zh-CN"/>
                    </w:rPr>
                    <w:t>）</w:t>
                  </w:r>
                  <w:r>
                    <w:rPr>
                      <w:rFonts w:hint="default" w:ascii="Times New Roman" w:hAnsi="Times New Roman" w:eastAsia="宋体" w:cs="Times New Roman"/>
                      <w:color w:val="auto"/>
                      <w:spacing w:val="0"/>
                      <w:sz w:val="21"/>
                      <w:szCs w:val="21"/>
                    </w:rPr>
                    <w:t>、沥青焦、其他原材料生产焦炭</w:t>
                  </w:r>
                  <w:r>
                    <w:rPr>
                      <w:rFonts w:hint="eastAsia" w:ascii="Times New Roman" w:hAnsi="Times New Roman" w:eastAsia="宋体" w:cs="Times New Roman"/>
                      <w:color w:val="auto"/>
                      <w:spacing w:val="0"/>
                      <w:sz w:val="21"/>
                      <w:szCs w:val="21"/>
                      <w:lang w:eastAsia="zh-CN"/>
                    </w:rPr>
                    <w:t>，</w:t>
                  </w:r>
                  <w:r>
                    <w:rPr>
                      <w:rFonts w:hint="default" w:ascii="Times New Roman" w:hAnsi="Times New Roman" w:eastAsia="宋体" w:cs="Times New Roman"/>
                      <w:color w:val="auto"/>
                      <w:spacing w:val="0"/>
                      <w:sz w:val="21"/>
                      <w:szCs w:val="21"/>
                    </w:rPr>
                    <w:t>机焦、 型焦、土焦、半焦炭、其他工艺生产焦炭，矿物油焦、兰炭</w:t>
                  </w:r>
                </w:p>
              </w:tc>
            </w:tr>
            <w:tr w14:paraId="74DCC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46121DB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w:t>
                  </w:r>
                </w:p>
              </w:tc>
              <w:tc>
                <w:tcPr>
                  <w:tcW w:w="907" w:type="dxa"/>
                  <w:tcBorders>
                    <w:tl2br w:val="nil"/>
                    <w:tr2bl w:val="nil"/>
                  </w:tcBorders>
                  <w:noWrap w:val="0"/>
                  <w:vAlign w:val="center"/>
                </w:tcPr>
                <w:p w14:paraId="1AF1906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煤化工</w:t>
                  </w:r>
                </w:p>
              </w:tc>
              <w:tc>
                <w:tcPr>
                  <w:tcW w:w="1731" w:type="dxa"/>
                  <w:tcBorders>
                    <w:tl2br w:val="nil"/>
                    <w:tr2bl w:val="nil"/>
                  </w:tcBorders>
                  <w:noWrap w:val="0"/>
                  <w:vAlign w:val="center"/>
                </w:tcPr>
                <w:p w14:paraId="2572C64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煤制液体燃料生产</w:t>
                  </w:r>
                </w:p>
              </w:tc>
              <w:tc>
                <w:tcPr>
                  <w:tcW w:w="1355" w:type="dxa"/>
                  <w:tcBorders>
                    <w:tl2br w:val="nil"/>
                    <w:tr2bl w:val="nil"/>
                  </w:tcBorders>
                  <w:noWrap w:val="0"/>
                  <w:vAlign w:val="center"/>
                </w:tcPr>
                <w:p w14:paraId="090EE99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2523</w:t>
                  </w:r>
                </w:p>
              </w:tc>
              <w:tc>
                <w:tcPr>
                  <w:tcW w:w="3810" w:type="dxa"/>
                  <w:tcBorders>
                    <w:tl2br w:val="nil"/>
                    <w:tr2bl w:val="nil"/>
                  </w:tcBorders>
                  <w:noWrap w:val="0"/>
                  <w:vAlign w:val="center"/>
                </w:tcPr>
                <w:p w14:paraId="5393E62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甲醇、烯烃、乙二醇</w:t>
                  </w:r>
                </w:p>
              </w:tc>
            </w:tr>
            <w:tr w14:paraId="08464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653" w:type="dxa"/>
                  <w:tcBorders>
                    <w:tl2br w:val="nil"/>
                    <w:tr2bl w:val="nil"/>
                  </w:tcBorders>
                  <w:noWrap w:val="0"/>
                  <w:vAlign w:val="center"/>
                </w:tcPr>
                <w:p w14:paraId="30AC7CD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4</w:t>
                  </w:r>
                </w:p>
              </w:tc>
              <w:tc>
                <w:tcPr>
                  <w:tcW w:w="907" w:type="dxa"/>
                  <w:vMerge w:val="restart"/>
                  <w:tcBorders>
                    <w:tl2br w:val="nil"/>
                    <w:tr2bl w:val="nil"/>
                  </w:tcBorders>
                  <w:noWrap w:val="0"/>
                  <w:vAlign w:val="center"/>
                </w:tcPr>
                <w:p w14:paraId="3149F49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化工</w:t>
                  </w:r>
                </w:p>
              </w:tc>
              <w:tc>
                <w:tcPr>
                  <w:tcW w:w="1731" w:type="dxa"/>
                  <w:tcBorders>
                    <w:tl2br w:val="nil"/>
                    <w:tr2bl w:val="nil"/>
                  </w:tcBorders>
                  <w:noWrap w:val="0"/>
                  <w:vAlign w:val="center"/>
                </w:tcPr>
                <w:p w14:paraId="4918F2B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无机碱制造</w:t>
                  </w:r>
                </w:p>
              </w:tc>
              <w:tc>
                <w:tcPr>
                  <w:tcW w:w="1355" w:type="dxa"/>
                  <w:tcBorders>
                    <w:tl2br w:val="nil"/>
                    <w:tr2bl w:val="nil"/>
                  </w:tcBorders>
                  <w:noWrap w:val="0"/>
                  <w:vAlign w:val="center"/>
                </w:tcPr>
                <w:p w14:paraId="0FB31EE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2612</w:t>
                  </w:r>
                </w:p>
              </w:tc>
              <w:tc>
                <w:tcPr>
                  <w:tcW w:w="3810" w:type="dxa"/>
                  <w:tcBorders>
                    <w:tl2br w:val="nil"/>
                    <w:tr2bl w:val="nil"/>
                  </w:tcBorders>
                  <w:noWrap w:val="0"/>
                  <w:vAlign w:val="center"/>
                </w:tcPr>
                <w:p w14:paraId="5CEE935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烧碱、纯碱</w:t>
                  </w:r>
                </w:p>
              </w:tc>
            </w:tr>
            <w:tr w14:paraId="7330C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653" w:type="dxa"/>
                  <w:tcBorders>
                    <w:tl2br w:val="nil"/>
                    <w:tr2bl w:val="nil"/>
                  </w:tcBorders>
                  <w:noWrap w:val="0"/>
                  <w:vAlign w:val="center"/>
                </w:tcPr>
                <w:p w14:paraId="2388CAD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5</w:t>
                  </w:r>
                </w:p>
              </w:tc>
              <w:tc>
                <w:tcPr>
                  <w:tcW w:w="907" w:type="dxa"/>
                  <w:vMerge w:val="continue"/>
                  <w:tcBorders>
                    <w:tl2br w:val="nil"/>
                    <w:tr2bl w:val="nil"/>
                  </w:tcBorders>
                  <w:noWrap w:val="0"/>
                  <w:vAlign w:val="center"/>
                </w:tcPr>
                <w:p w14:paraId="3FFEFF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7615A5E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无机盐制造</w:t>
                  </w:r>
                </w:p>
              </w:tc>
              <w:tc>
                <w:tcPr>
                  <w:tcW w:w="1355" w:type="dxa"/>
                  <w:tcBorders>
                    <w:tl2br w:val="nil"/>
                    <w:tr2bl w:val="nil"/>
                  </w:tcBorders>
                  <w:noWrap w:val="0"/>
                  <w:vAlign w:val="center"/>
                </w:tcPr>
                <w:p w14:paraId="2E99488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2613</w:t>
                  </w:r>
                </w:p>
              </w:tc>
              <w:tc>
                <w:tcPr>
                  <w:tcW w:w="3810" w:type="dxa"/>
                  <w:tcBorders>
                    <w:tl2br w:val="nil"/>
                    <w:tr2bl w:val="nil"/>
                  </w:tcBorders>
                  <w:noWrap w:val="0"/>
                  <w:vAlign w:val="center"/>
                </w:tcPr>
                <w:p w14:paraId="3C16F5A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电石</w:t>
                  </w:r>
                </w:p>
              </w:tc>
            </w:tr>
            <w:tr w14:paraId="69B80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653" w:type="dxa"/>
                  <w:tcBorders>
                    <w:tl2br w:val="nil"/>
                    <w:tr2bl w:val="nil"/>
                  </w:tcBorders>
                  <w:noWrap w:val="0"/>
                  <w:vAlign w:val="center"/>
                </w:tcPr>
                <w:p w14:paraId="07EE867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6</w:t>
                  </w:r>
                </w:p>
              </w:tc>
              <w:tc>
                <w:tcPr>
                  <w:tcW w:w="907" w:type="dxa"/>
                  <w:vMerge w:val="continue"/>
                  <w:tcBorders>
                    <w:tl2br w:val="nil"/>
                    <w:tr2bl w:val="nil"/>
                  </w:tcBorders>
                  <w:noWrap w:val="0"/>
                  <w:vAlign w:val="center"/>
                </w:tcPr>
                <w:p w14:paraId="2CEEC27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61EE293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有机化学原料制造</w:t>
                  </w:r>
                </w:p>
              </w:tc>
              <w:tc>
                <w:tcPr>
                  <w:tcW w:w="1355" w:type="dxa"/>
                  <w:tcBorders>
                    <w:tl2br w:val="nil"/>
                    <w:tr2bl w:val="nil"/>
                  </w:tcBorders>
                  <w:noWrap w:val="0"/>
                  <w:vAlign w:val="center"/>
                </w:tcPr>
                <w:p w14:paraId="0FAFC0E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2614</w:t>
                  </w:r>
                </w:p>
              </w:tc>
              <w:tc>
                <w:tcPr>
                  <w:tcW w:w="3810" w:type="dxa"/>
                  <w:tcBorders>
                    <w:tl2br w:val="nil"/>
                    <w:tr2bl w:val="nil"/>
                  </w:tcBorders>
                  <w:noWrap w:val="0"/>
                  <w:vAlign w:val="center"/>
                </w:tcPr>
                <w:p w14:paraId="6B2A909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醋酸、乙烯、对二甲苯、丁二醇、 二苯基甲烷二异氰酸酯、乙酸乙 烯酯、用汞的氯乙烯</w:t>
                  </w:r>
                </w:p>
              </w:tc>
            </w:tr>
            <w:tr w14:paraId="5E776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02987C6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p w14:paraId="0251874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7</w:t>
                  </w:r>
                </w:p>
              </w:tc>
              <w:tc>
                <w:tcPr>
                  <w:tcW w:w="907" w:type="dxa"/>
                  <w:vMerge w:val="continue"/>
                  <w:tcBorders>
                    <w:tl2br w:val="nil"/>
                    <w:tr2bl w:val="nil"/>
                  </w:tcBorders>
                  <w:noWrap w:val="0"/>
                  <w:vAlign w:val="center"/>
                </w:tcPr>
                <w:p w14:paraId="3B2687F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6929112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其他基础化学原料 制造</w:t>
                  </w:r>
                </w:p>
              </w:tc>
              <w:tc>
                <w:tcPr>
                  <w:tcW w:w="1355" w:type="dxa"/>
                  <w:tcBorders>
                    <w:tl2br w:val="nil"/>
                    <w:tr2bl w:val="nil"/>
                  </w:tcBorders>
                  <w:noWrap w:val="0"/>
                  <w:vAlign w:val="center"/>
                </w:tcPr>
                <w:p w14:paraId="74993B8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2619</w:t>
                  </w:r>
                </w:p>
              </w:tc>
              <w:tc>
                <w:tcPr>
                  <w:tcW w:w="3810" w:type="dxa"/>
                  <w:tcBorders>
                    <w:tl2br w:val="nil"/>
                    <w:tr2bl w:val="nil"/>
                  </w:tcBorders>
                  <w:noWrap w:val="0"/>
                  <w:vAlign w:val="center"/>
                </w:tcPr>
                <w:p w14:paraId="704315E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黄磷</w:t>
                  </w:r>
                </w:p>
              </w:tc>
            </w:tr>
            <w:tr w14:paraId="75CB1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653" w:type="dxa"/>
                  <w:tcBorders>
                    <w:tl2br w:val="nil"/>
                    <w:tr2bl w:val="nil"/>
                  </w:tcBorders>
                  <w:noWrap w:val="0"/>
                  <w:vAlign w:val="center"/>
                </w:tcPr>
                <w:p w14:paraId="58C6DDE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8</w:t>
                  </w:r>
                </w:p>
              </w:tc>
              <w:tc>
                <w:tcPr>
                  <w:tcW w:w="907" w:type="dxa"/>
                  <w:vMerge w:val="continue"/>
                  <w:tcBorders>
                    <w:tl2br w:val="nil"/>
                    <w:tr2bl w:val="nil"/>
                  </w:tcBorders>
                  <w:noWrap w:val="0"/>
                  <w:vAlign w:val="center"/>
                </w:tcPr>
                <w:p w14:paraId="6720A6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3F032B1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氮肥制造</w:t>
                  </w:r>
                </w:p>
              </w:tc>
              <w:tc>
                <w:tcPr>
                  <w:tcW w:w="1355" w:type="dxa"/>
                  <w:tcBorders>
                    <w:tl2br w:val="nil"/>
                    <w:tr2bl w:val="nil"/>
                  </w:tcBorders>
                  <w:noWrap w:val="0"/>
                  <w:vAlign w:val="center"/>
                </w:tcPr>
                <w:p w14:paraId="187AE1D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2621</w:t>
                  </w:r>
                </w:p>
              </w:tc>
              <w:tc>
                <w:tcPr>
                  <w:tcW w:w="3810" w:type="dxa"/>
                  <w:tcBorders>
                    <w:tl2br w:val="nil"/>
                    <w:tr2bl w:val="nil"/>
                  </w:tcBorders>
                  <w:noWrap w:val="0"/>
                  <w:vAlign w:val="center"/>
                </w:tcPr>
                <w:p w14:paraId="5918F5F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宋体" w:cs="Times New Roman"/>
                      <w:color w:val="auto"/>
                      <w:spacing w:val="0"/>
                      <w:sz w:val="21"/>
                      <w:szCs w:val="21"/>
                      <w:lang w:eastAsia="zh-CN"/>
                    </w:rPr>
                  </w:pPr>
                  <w:r>
                    <w:rPr>
                      <w:rFonts w:hint="default" w:ascii="Times New Roman" w:hAnsi="Times New Roman" w:eastAsia="宋体" w:cs="Times New Roman"/>
                      <w:color w:val="auto"/>
                      <w:spacing w:val="0"/>
                      <w:sz w:val="21"/>
                      <w:szCs w:val="21"/>
                    </w:rPr>
                    <w:t>合成氨、氮肥</w:t>
                  </w:r>
                  <w:r>
                    <w:rPr>
                      <w:rFonts w:hint="eastAsia" w:cs="Times New Roman"/>
                      <w:color w:val="auto"/>
                      <w:spacing w:val="0"/>
                      <w:sz w:val="21"/>
                      <w:szCs w:val="21"/>
                      <w:lang w:eastAsia="zh-CN"/>
                    </w:rPr>
                    <w:t>（</w:t>
                  </w:r>
                  <w:r>
                    <w:rPr>
                      <w:rFonts w:hint="default" w:ascii="Times New Roman" w:hAnsi="Times New Roman" w:eastAsia="宋体" w:cs="Times New Roman"/>
                      <w:color w:val="auto"/>
                      <w:spacing w:val="0"/>
                      <w:sz w:val="21"/>
                      <w:szCs w:val="21"/>
                    </w:rPr>
                    <w:t>含尿素</w:t>
                  </w:r>
                  <w:r>
                    <w:rPr>
                      <w:rFonts w:hint="eastAsia" w:ascii="Times New Roman" w:hAnsi="Times New Roman" w:eastAsia="宋体" w:cs="Times New Roman"/>
                      <w:color w:val="auto"/>
                      <w:spacing w:val="0"/>
                      <w:sz w:val="21"/>
                      <w:szCs w:val="21"/>
                      <w:lang w:eastAsia="zh-CN"/>
                    </w:rPr>
                    <w:t>）</w:t>
                  </w:r>
                </w:p>
              </w:tc>
            </w:tr>
            <w:tr w14:paraId="46973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653" w:type="dxa"/>
                  <w:tcBorders>
                    <w:tl2br w:val="nil"/>
                    <w:tr2bl w:val="nil"/>
                  </w:tcBorders>
                  <w:noWrap w:val="0"/>
                  <w:vAlign w:val="center"/>
                </w:tcPr>
                <w:p w14:paraId="344411D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9</w:t>
                  </w:r>
                </w:p>
              </w:tc>
              <w:tc>
                <w:tcPr>
                  <w:tcW w:w="907" w:type="dxa"/>
                  <w:vMerge w:val="continue"/>
                  <w:tcBorders>
                    <w:tl2br w:val="nil"/>
                    <w:tr2bl w:val="nil"/>
                  </w:tcBorders>
                  <w:noWrap w:val="0"/>
                  <w:vAlign w:val="center"/>
                </w:tcPr>
                <w:p w14:paraId="01AB39A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2015974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磷肥制造</w:t>
                  </w:r>
                </w:p>
              </w:tc>
              <w:tc>
                <w:tcPr>
                  <w:tcW w:w="1355" w:type="dxa"/>
                  <w:tcBorders>
                    <w:tl2br w:val="nil"/>
                    <w:tr2bl w:val="nil"/>
                  </w:tcBorders>
                  <w:noWrap w:val="0"/>
                  <w:vAlign w:val="center"/>
                </w:tcPr>
                <w:p w14:paraId="579F1AF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2622</w:t>
                  </w:r>
                </w:p>
              </w:tc>
              <w:tc>
                <w:tcPr>
                  <w:tcW w:w="3810" w:type="dxa"/>
                  <w:tcBorders>
                    <w:tl2br w:val="nil"/>
                    <w:tr2bl w:val="nil"/>
                  </w:tcBorders>
                  <w:noWrap w:val="0"/>
                  <w:vAlign w:val="center"/>
                </w:tcPr>
                <w:p w14:paraId="49A6B67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磷酸一铵、磷酸二铵</w:t>
                  </w:r>
                </w:p>
              </w:tc>
            </w:tr>
            <w:tr w14:paraId="7FF2D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51DC8F0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10</w:t>
                  </w:r>
                </w:p>
              </w:tc>
              <w:tc>
                <w:tcPr>
                  <w:tcW w:w="907" w:type="dxa"/>
                  <w:vMerge w:val="continue"/>
                  <w:tcBorders>
                    <w:tl2br w:val="nil"/>
                    <w:tr2bl w:val="nil"/>
                  </w:tcBorders>
                  <w:noWrap w:val="0"/>
                  <w:vAlign w:val="center"/>
                </w:tcPr>
                <w:p w14:paraId="3B4B146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580EFC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初级形态塑料及合 成树脂制造</w:t>
                  </w:r>
                </w:p>
              </w:tc>
              <w:tc>
                <w:tcPr>
                  <w:tcW w:w="1355" w:type="dxa"/>
                  <w:tcBorders>
                    <w:tl2br w:val="nil"/>
                    <w:tr2bl w:val="nil"/>
                  </w:tcBorders>
                  <w:noWrap w:val="0"/>
                  <w:vAlign w:val="center"/>
                </w:tcPr>
                <w:p w14:paraId="428878F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2651</w:t>
                  </w:r>
                </w:p>
              </w:tc>
              <w:tc>
                <w:tcPr>
                  <w:tcW w:w="3810" w:type="dxa"/>
                  <w:tcBorders>
                    <w:tl2br w:val="nil"/>
                    <w:tr2bl w:val="nil"/>
                  </w:tcBorders>
                  <w:noWrap w:val="0"/>
                  <w:vAlign w:val="center"/>
                </w:tcPr>
                <w:p w14:paraId="0BAB04B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用汞的聚氯乙烯</w:t>
                  </w:r>
                </w:p>
              </w:tc>
            </w:tr>
            <w:tr w14:paraId="0EC9E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653" w:type="dxa"/>
                  <w:tcBorders>
                    <w:tl2br w:val="nil"/>
                    <w:tr2bl w:val="nil"/>
                  </w:tcBorders>
                  <w:noWrap w:val="0"/>
                  <w:vAlign w:val="center"/>
                </w:tcPr>
                <w:p w14:paraId="2A8817C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11</w:t>
                  </w:r>
                </w:p>
              </w:tc>
              <w:tc>
                <w:tcPr>
                  <w:tcW w:w="907" w:type="dxa"/>
                  <w:vMerge w:val="restart"/>
                  <w:tcBorders>
                    <w:tl2br w:val="nil"/>
                    <w:tr2bl w:val="nil"/>
                  </w:tcBorders>
                  <w:noWrap w:val="0"/>
                  <w:vAlign w:val="center"/>
                </w:tcPr>
                <w:p w14:paraId="13E9A7E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建材</w:t>
                  </w:r>
                </w:p>
              </w:tc>
              <w:tc>
                <w:tcPr>
                  <w:tcW w:w="1731" w:type="dxa"/>
                  <w:tcBorders>
                    <w:tl2br w:val="nil"/>
                    <w:tr2bl w:val="nil"/>
                  </w:tcBorders>
                  <w:noWrap w:val="0"/>
                  <w:vAlign w:val="center"/>
                </w:tcPr>
                <w:p w14:paraId="4EEF1C9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水泥制造</w:t>
                  </w:r>
                </w:p>
              </w:tc>
              <w:tc>
                <w:tcPr>
                  <w:tcW w:w="1355" w:type="dxa"/>
                  <w:tcBorders>
                    <w:tl2br w:val="nil"/>
                    <w:tr2bl w:val="nil"/>
                  </w:tcBorders>
                  <w:noWrap w:val="0"/>
                  <w:vAlign w:val="center"/>
                </w:tcPr>
                <w:p w14:paraId="223AAD8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3011</w:t>
                  </w:r>
                </w:p>
              </w:tc>
              <w:tc>
                <w:tcPr>
                  <w:tcW w:w="3810" w:type="dxa"/>
                  <w:tcBorders>
                    <w:tl2br w:val="nil"/>
                    <w:tr2bl w:val="nil"/>
                  </w:tcBorders>
                  <w:noWrap w:val="0"/>
                  <w:vAlign w:val="center"/>
                </w:tcPr>
                <w:p w14:paraId="2713AA6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水泥熟料</w:t>
                  </w:r>
                </w:p>
              </w:tc>
            </w:tr>
            <w:tr w14:paraId="033E8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653" w:type="dxa"/>
                  <w:tcBorders>
                    <w:tl2br w:val="nil"/>
                    <w:tr2bl w:val="nil"/>
                  </w:tcBorders>
                  <w:noWrap w:val="0"/>
                  <w:vAlign w:val="center"/>
                </w:tcPr>
                <w:p w14:paraId="3B38E44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12</w:t>
                  </w:r>
                </w:p>
              </w:tc>
              <w:tc>
                <w:tcPr>
                  <w:tcW w:w="907" w:type="dxa"/>
                  <w:vMerge w:val="continue"/>
                  <w:tcBorders>
                    <w:tl2br w:val="nil"/>
                    <w:tr2bl w:val="nil"/>
                  </w:tcBorders>
                  <w:noWrap w:val="0"/>
                  <w:vAlign w:val="center"/>
                </w:tcPr>
                <w:p w14:paraId="5014AA3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339941A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石灰和石膏制造</w:t>
                  </w:r>
                </w:p>
              </w:tc>
              <w:tc>
                <w:tcPr>
                  <w:tcW w:w="1355" w:type="dxa"/>
                  <w:tcBorders>
                    <w:tl2br w:val="nil"/>
                    <w:tr2bl w:val="nil"/>
                  </w:tcBorders>
                  <w:noWrap w:val="0"/>
                  <w:vAlign w:val="center"/>
                </w:tcPr>
                <w:p w14:paraId="753F031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3012</w:t>
                  </w:r>
                </w:p>
              </w:tc>
              <w:tc>
                <w:tcPr>
                  <w:tcW w:w="3810" w:type="dxa"/>
                  <w:tcBorders>
                    <w:tl2br w:val="nil"/>
                    <w:tr2bl w:val="nil"/>
                  </w:tcBorders>
                  <w:noWrap w:val="0"/>
                  <w:vAlign w:val="center"/>
                </w:tcPr>
                <w:p w14:paraId="6B5360D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石灰</w:t>
                  </w:r>
                </w:p>
              </w:tc>
            </w:tr>
            <w:tr w14:paraId="2BF15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3AFAED1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13</w:t>
                  </w:r>
                </w:p>
              </w:tc>
              <w:tc>
                <w:tcPr>
                  <w:tcW w:w="907" w:type="dxa"/>
                  <w:vMerge w:val="continue"/>
                  <w:tcBorders>
                    <w:tl2br w:val="nil"/>
                    <w:tr2bl w:val="nil"/>
                  </w:tcBorders>
                  <w:noWrap w:val="0"/>
                  <w:vAlign w:val="center"/>
                </w:tcPr>
                <w:p w14:paraId="64BC845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456EB7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粘土砖瓦及建筑砌 块制造</w:t>
                  </w:r>
                </w:p>
              </w:tc>
              <w:tc>
                <w:tcPr>
                  <w:tcW w:w="1355" w:type="dxa"/>
                  <w:tcBorders>
                    <w:tl2br w:val="nil"/>
                    <w:tr2bl w:val="nil"/>
                  </w:tcBorders>
                  <w:noWrap w:val="0"/>
                  <w:vAlign w:val="center"/>
                </w:tcPr>
                <w:p w14:paraId="33F22AB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3031</w:t>
                  </w:r>
                </w:p>
              </w:tc>
              <w:tc>
                <w:tcPr>
                  <w:tcW w:w="3810" w:type="dxa"/>
                  <w:tcBorders>
                    <w:tl2br w:val="nil"/>
                    <w:tr2bl w:val="nil"/>
                  </w:tcBorders>
                  <w:noWrap w:val="0"/>
                  <w:vAlign w:val="center"/>
                </w:tcPr>
                <w:p w14:paraId="603031C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烧结砖瓦，不包括资源综合利用项目</w:t>
                  </w:r>
                </w:p>
              </w:tc>
            </w:tr>
            <w:tr w14:paraId="0FD3C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7E391E1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14</w:t>
                  </w:r>
                </w:p>
              </w:tc>
              <w:tc>
                <w:tcPr>
                  <w:tcW w:w="907" w:type="dxa"/>
                  <w:vMerge w:val="continue"/>
                  <w:tcBorders>
                    <w:tl2br w:val="nil"/>
                    <w:tr2bl w:val="nil"/>
                  </w:tcBorders>
                  <w:noWrap w:val="0"/>
                  <w:vAlign w:val="center"/>
                </w:tcPr>
                <w:p w14:paraId="79A8438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68E4FF7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平板玻璃制造</w:t>
                  </w:r>
                </w:p>
              </w:tc>
              <w:tc>
                <w:tcPr>
                  <w:tcW w:w="1355" w:type="dxa"/>
                  <w:tcBorders>
                    <w:tl2br w:val="nil"/>
                    <w:tr2bl w:val="nil"/>
                  </w:tcBorders>
                  <w:noWrap w:val="0"/>
                  <w:vAlign w:val="center"/>
                </w:tcPr>
                <w:p w14:paraId="593BA94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3041</w:t>
                  </w:r>
                </w:p>
              </w:tc>
              <w:tc>
                <w:tcPr>
                  <w:tcW w:w="3810" w:type="dxa"/>
                  <w:tcBorders>
                    <w:tl2br w:val="nil"/>
                    <w:tr2bl w:val="nil"/>
                  </w:tcBorders>
                  <w:noWrap w:val="0"/>
                  <w:vAlign w:val="center"/>
                </w:tcPr>
                <w:p w14:paraId="1FED429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平板玻璃， 不包括光伏压延玻璃、显示玻璃</w:t>
                  </w:r>
                </w:p>
              </w:tc>
            </w:tr>
            <w:tr w14:paraId="5B278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5F97ABD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15</w:t>
                  </w:r>
                </w:p>
              </w:tc>
              <w:tc>
                <w:tcPr>
                  <w:tcW w:w="907" w:type="dxa"/>
                  <w:vMerge w:val="continue"/>
                  <w:tcBorders>
                    <w:tl2br w:val="nil"/>
                    <w:tr2bl w:val="nil"/>
                  </w:tcBorders>
                  <w:noWrap w:val="0"/>
                  <w:vAlign w:val="center"/>
                </w:tcPr>
                <w:p w14:paraId="2E79E5D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52AFF98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建筑陶瓷制品制造</w:t>
                  </w:r>
                </w:p>
              </w:tc>
              <w:tc>
                <w:tcPr>
                  <w:tcW w:w="1355" w:type="dxa"/>
                  <w:tcBorders>
                    <w:tl2br w:val="nil"/>
                    <w:tr2bl w:val="nil"/>
                  </w:tcBorders>
                  <w:noWrap w:val="0"/>
                  <w:vAlign w:val="center"/>
                </w:tcPr>
                <w:p w14:paraId="780B588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3071</w:t>
                  </w:r>
                </w:p>
              </w:tc>
              <w:tc>
                <w:tcPr>
                  <w:tcW w:w="3810" w:type="dxa"/>
                  <w:tcBorders>
                    <w:tl2br w:val="nil"/>
                    <w:tr2bl w:val="nil"/>
                  </w:tcBorders>
                  <w:noWrap w:val="0"/>
                  <w:vAlign w:val="center"/>
                </w:tcPr>
                <w:p w14:paraId="05B821A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建筑陶瓷</w:t>
                  </w:r>
                </w:p>
              </w:tc>
            </w:tr>
            <w:tr w14:paraId="7D882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04BE7CA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16</w:t>
                  </w:r>
                </w:p>
              </w:tc>
              <w:tc>
                <w:tcPr>
                  <w:tcW w:w="907" w:type="dxa"/>
                  <w:vMerge w:val="continue"/>
                  <w:tcBorders>
                    <w:tl2br w:val="nil"/>
                    <w:tr2bl w:val="nil"/>
                  </w:tcBorders>
                  <w:noWrap w:val="0"/>
                  <w:vAlign w:val="center"/>
                </w:tcPr>
                <w:p w14:paraId="61353A1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17E9FFB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卫生陶瓷制品制造</w:t>
                  </w:r>
                </w:p>
              </w:tc>
              <w:tc>
                <w:tcPr>
                  <w:tcW w:w="1355" w:type="dxa"/>
                  <w:tcBorders>
                    <w:tl2br w:val="nil"/>
                    <w:tr2bl w:val="nil"/>
                  </w:tcBorders>
                  <w:noWrap w:val="0"/>
                  <w:vAlign w:val="center"/>
                </w:tcPr>
                <w:p w14:paraId="259DD7D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3072</w:t>
                  </w:r>
                </w:p>
              </w:tc>
              <w:tc>
                <w:tcPr>
                  <w:tcW w:w="3810" w:type="dxa"/>
                  <w:tcBorders>
                    <w:tl2br w:val="nil"/>
                    <w:tr2bl w:val="nil"/>
                  </w:tcBorders>
                  <w:noWrap w:val="0"/>
                  <w:vAlign w:val="center"/>
                </w:tcPr>
                <w:p w14:paraId="0046190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卫生陶瓷</w:t>
                  </w:r>
                </w:p>
              </w:tc>
            </w:tr>
            <w:tr w14:paraId="6A8C2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653" w:type="dxa"/>
                  <w:tcBorders>
                    <w:tl2br w:val="nil"/>
                    <w:tr2bl w:val="nil"/>
                  </w:tcBorders>
                  <w:noWrap w:val="0"/>
                  <w:vAlign w:val="center"/>
                </w:tcPr>
                <w:p w14:paraId="13683B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17</w:t>
                  </w:r>
                </w:p>
              </w:tc>
              <w:tc>
                <w:tcPr>
                  <w:tcW w:w="907" w:type="dxa"/>
                  <w:vMerge w:val="continue"/>
                  <w:tcBorders>
                    <w:tl2br w:val="nil"/>
                    <w:tr2bl w:val="nil"/>
                  </w:tcBorders>
                  <w:noWrap w:val="0"/>
                  <w:vAlign w:val="center"/>
                </w:tcPr>
                <w:p w14:paraId="3D9C817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77C8488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耐火材料制品制造</w:t>
                  </w:r>
                </w:p>
              </w:tc>
              <w:tc>
                <w:tcPr>
                  <w:tcW w:w="1355" w:type="dxa"/>
                  <w:tcBorders>
                    <w:tl2br w:val="nil"/>
                    <w:tr2bl w:val="nil"/>
                  </w:tcBorders>
                  <w:noWrap w:val="0"/>
                  <w:vAlign w:val="center"/>
                </w:tcPr>
                <w:p w14:paraId="1E6B49F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3081</w:t>
                  </w:r>
                </w:p>
                <w:p w14:paraId="19EC259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3082</w:t>
                  </w:r>
                </w:p>
                <w:p w14:paraId="39FBF71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3089</w:t>
                  </w:r>
                </w:p>
              </w:tc>
              <w:tc>
                <w:tcPr>
                  <w:tcW w:w="3810" w:type="dxa"/>
                  <w:tcBorders>
                    <w:tl2br w:val="nil"/>
                    <w:tr2bl w:val="nil"/>
                  </w:tcBorders>
                  <w:noWrap w:val="0"/>
                  <w:vAlign w:val="center"/>
                </w:tcPr>
                <w:p w14:paraId="3BFCDA2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烧结工序制造的硅砖、镁铬砖、铝含量42%以下的粘土砖，不包括资源综合利用项目</w:t>
                  </w:r>
                </w:p>
              </w:tc>
            </w:tr>
            <w:tr w14:paraId="510A4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36A2DFA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18</w:t>
                  </w:r>
                </w:p>
              </w:tc>
              <w:tc>
                <w:tcPr>
                  <w:tcW w:w="907" w:type="dxa"/>
                  <w:vMerge w:val="continue"/>
                  <w:tcBorders>
                    <w:tl2br w:val="nil"/>
                    <w:tr2bl w:val="nil"/>
                  </w:tcBorders>
                  <w:noWrap w:val="0"/>
                  <w:vAlign w:val="center"/>
                </w:tcPr>
                <w:p w14:paraId="42632C3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7AC22E0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石墨及碳素制品制造</w:t>
                  </w:r>
                </w:p>
              </w:tc>
              <w:tc>
                <w:tcPr>
                  <w:tcW w:w="1355" w:type="dxa"/>
                  <w:tcBorders>
                    <w:tl2br w:val="nil"/>
                    <w:tr2bl w:val="nil"/>
                  </w:tcBorders>
                  <w:noWrap w:val="0"/>
                  <w:vAlign w:val="center"/>
                </w:tcPr>
                <w:p w14:paraId="73EF254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3091</w:t>
                  </w:r>
                </w:p>
              </w:tc>
              <w:tc>
                <w:tcPr>
                  <w:tcW w:w="3810" w:type="dxa"/>
                  <w:tcBorders>
                    <w:tl2br w:val="nil"/>
                    <w:tr2bl w:val="nil"/>
                  </w:tcBorders>
                  <w:noWrap w:val="0"/>
                  <w:vAlign w:val="center"/>
                </w:tcPr>
                <w:p w14:paraId="1DE715F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铝用炭素</w:t>
                  </w:r>
                </w:p>
              </w:tc>
            </w:tr>
            <w:tr w14:paraId="4DE19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1460247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19</w:t>
                  </w:r>
                </w:p>
              </w:tc>
              <w:tc>
                <w:tcPr>
                  <w:tcW w:w="907" w:type="dxa"/>
                  <w:vMerge w:val="restart"/>
                  <w:tcBorders>
                    <w:tl2br w:val="nil"/>
                    <w:tr2bl w:val="nil"/>
                  </w:tcBorders>
                  <w:noWrap w:val="0"/>
                  <w:vAlign w:val="center"/>
                </w:tcPr>
                <w:p w14:paraId="61E5CCC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钢铁</w:t>
                  </w:r>
                </w:p>
              </w:tc>
              <w:tc>
                <w:tcPr>
                  <w:tcW w:w="1731" w:type="dxa"/>
                  <w:tcBorders>
                    <w:tl2br w:val="nil"/>
                    <w:tr2bl w:val="nil"/>
                  </w:tcBorders>
                  <w:noWrap w:val="0"/>
                  <w:vAlign w:val="center"/>
                </w:tcPr>
                <w:p w14:paraId="65F8DC1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炼铁</w:t>
                  </w:r>
                </w:p>
              </w:tc>
              <w:tc>
                <w:tcPr>
                  <w:tcW w:w="1355" w:type="dxa"/>
                  <w:tcBorders>
                    <w:tl2br w:val="nil"/>
                    <w:tr2bl w:val="nil"/>
                  </w:tcBorders>
                  <w:noWrap w:val="0"/>
                  <w:vAlign w:val="center"/>
                </w:tcPr>
                <w:p w14:paraId="0DAC1F7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3110</w:t>
                  </w:r>
                </w:p>
              </w:tc>
              <w:tc>
                <w:tcPr>
                  <w:tcW w:w="3810" w:type="dxa"/>
                  <w:tcBorders>
                    <w:tl2br w:val="nil"/>
                    <w:tr2bl w:val="nil"/>
                  </w:tcBorders>
                  <w:noWrap w:val="0"/>
                  <w:vAlign w:val="center"/>
                </w:tcPr>
                <w:p w14:paraId="59A4657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炼钢用高炉生铁、直接还原铁、熔融还原铁</w:t>
                  </w:r>
                </w:p>
              </w:tc>
            </w:tr>
            <w:tr w14:paraId="28CEF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jc w:val="center"/>
              </w:trPr>
              <w:tc>
                <w:tcPr>
                  <w:tcW w:w="653" w:type="dxa"/>
                  <w:tcBorders>
                    <w:tl2br w:val="nil"/>
                    <w:tr2bl w:val="nil"/>
                  </w:tcBorders>
                  <w:noWrap w:val="0"/>
                  <w:vAlign w:val="center"/>
                </w:tcPr>
                <w:p w14:paraId="7769C25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20</w:t>
                  </w:r>
                </w:p>
              </w:tc>
              <w:tc>
                <w:tcPr>
                  <w:tcW w:w="907" w:type="dxa"/>
                  <w:vMerge w:val="continue"/>
                  <w:tcBorders>
                    <w:tl2br w:val="nil"/>
                    <w:tr2bl w:val="nil"/>
                  </w:tcBorders>
                  <w:noWrap w:val="0"/>
                  <w:vAlign w:val="center"/>
                </w:tcPr>
                <w:p w14:paraId="459880C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450A2CE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炼钢</w:t>
                  </w:r>
                </w:p>
              </w:tc>
              <w:tc>
                <w:tcPr>
                  <w:tcW w:w="1355" w:type="dxa"/>
                  <w:tcBorders>
                    <w:tl2br w:val="nil"/>
                    <w:tr2bl w:val="nil"/>
                  </w:tcBorders>
                  <w:noWrap w:val="0"/>
                  <w:vAlign w:val="center"/>
                </w:tcPr>
                <w:p w14:paraId="6160157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3120</w:t>
                  </w:r>
                </w:p>
              </w:tc>
              <w:tc>
                <w:tcPr>
                  <w:tcW w:w="3810" w:type="dxa"/>
                  <w:tcBorders>
                    <w:tl2br w:val="nil"/>
                    <w:tr2bl w:val="nil"/>
                  </w:tcBorders>
                  <w:noWrap w:val="0"/>
                  <w:vAlign w:val="center"/>
                </w:tcPr>
                <w:p w14:paraId="10F8D92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宋体" w:cs="Times New Roman"/>
                      <w:color w:val="auto"/>
                      <w:spacing w:val="0"/>
                      <w:sz w:val="21"/>
                      <w:szCs w:val="21"/>
                      <w:lang w:eastAsia="zh-CN"/>
                    </w:rPr>
                  </w:pPr>
                  <w:r>
                    <w:rPr>
                      <w:rFonts w:hint="default" w:ascii="Times New Roman" w:hAnsi="Times New Roman" w:eastAsia="宋体" w:cs="Times New Roman"/>
                      <w:color w:val="auto"/>
                      <w:spacing w:val="0"/>
                      <w:sz w:val="21"/>
                      <w:szCs w:val="21"/>
                    </w:rPr>
                    <w:t>非合金钢粗钢、低合金钢粗钢、合金钢粗钢</w:t>
                  </w:r>
                  <w:r>
                    <w:rPr>
                      <w:rFonts w:hint="eastAsia" w:cs="Times New Roman"/>
                      <w:color w:val="auto"/>
                      <w:spacing w:val="0"/>
                      <w:sz w:val="21"/>
                      <w:szCs w:val="21"/>
                      <w:lang w:eastAsia="zh-CN"/>
                    </w:rPr>
                    <w:t>（</w:t>
                  </w:r>
                  <w:r>
                    <w:rPr>
                      <w:rFonts w:hint="default" w:ascii="Times New Roman" w:hAnsi="Times New Roman" w:eastAsia="宋体" w:cs="Times New Roman"/>
                      <w:color w:val="auto"/>
                      <w:spacing w:val="0"/>
                      <w:sz w:val="21"/>
                      <w:szCs w:val="21"/>
                    </w:rPr>
                    <w:t>不包括高炉— 转炉长流程炼钢就地改造转型发展电炉短流程炼钢等未增加产能的技术改造项目</w:t>
                  </w:r>
                  <w:r>
                    <w:rPr>
                      <w:rFonts w:hint="eastAsia" w:ascii="Times New Roman" w:hAnsi="Times New Roman" w:eastAsia="宋体" w:cs="Times New Roman"/>
                      <w:color w:val="auto"/>
                      <w:spacing w:val="0"/>
                      <w:sz w:val="21"/>
                      <w:szCs w:val="21"/>
                      <w:lang w:eastAsia="zh-CN"/>
                    </w:rPr>
                    <w:t>）</w:t>
                  </w:r>
                </w:p>
              </w:tc>
            </w:tr>
            <w:tr w14:paraId="149B6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010FB87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21</w:t>
                  </w:r>
                </w:p>
              </w:tc>
              <w:tc>
                <w:tcPr>
                  <w:tcW w:w="907" w:type="dxa"/>
                  <w:vMerge w:val="continue"/>
                  <w:tcBorders>
                    <w:tl2br w:val="nil"/>
                    <w:tr2bl w:val="nil"/>
                  </w:tcBorders>
                  <w:noWrap w:val="0"/>
                  <w:vAlign w:val="center"/>
                </w:tcPr>
                <w:p w14:paraId="0EA6D8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25AFBB7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铁合金冶炼</w:t>
                  </w:r>
                </w:p>
              </w:tc>
              <w:tc>
                <w:tcPr>
                  <w:tcW w:w="1355" w:type="dxa"/>
                  <w:tcBorders>
                    <w:tl2br w:val="nil"/>
                    <w:tr2bl w:val="nil"/>
                  </w:tcBorders>
                  <w:noWrap w:val="0"/>
                  <w:vAlign w:val="center"/>
                </w:tcPr>
                <w:p w14:paraId="7AF856D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3140</w:t>
                  </w:r>
                </w:p>
              </w:tc>
              <w:tc>
                <w:tcPr>
                  <w:tcW w:w="3810" w:type="dxa"/>
                  <w:tcBorders>
                    <w:tl2br w:val="nil"/>
                    <w:tr2bl w:val="nil"/>
                  </w:tcBorders>
                  <w:noWrap w:val="0"/>
                  <w:vAlign w:val="center"/>
                </w:tcPr>
                <w:p w14:paraId="0BA35B1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普通铁合金，特种铁合金，锰的冶炼，铁基合金粉末</w:t>
                  </w:r>
                </w:p>
              </w:tc>
            </w:tr>
            <w:tr w14:paraId="78549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653" w:type="dxa"/>
                  <w:tcBorders>
                    <w:tl2br w:val="nil"/>
                    <w:tr2bl w:val="nil"/>
                  </w:tcBorders>
                  <w:noWrap w:val="0"/>
                  <w:vAlign w:val="center"/>
                </w:tcPr>
                <w:p w14:paraId="1900846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22</w:t>
                  </w:r>
                </w:p>
              </w:tc>
              <w:tc>
                <w:tcPr>
                  <w:tcW w:w="907" w:type="dxa"/>
                  <w:vMerge w:val="restart"/>
                  <w:tcBorders>
                    <w:tl2br w:val="nil"/>
                    <w:tr2bl w:val="nil"/>
                  </w:tcBorders>
                  <w:noWrap w:val="0"/>
                  <w:vAlign w:val="center"/>
                </w:tcPr>
                <w:p w14:paraId="2D2AFDC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有色</w:t>
                  </w:r>
                </w:p>
              </w:tc>
              <w:tc>
                <w:tcPr>
                  <w:tcW w:w="1731" w:type="dxa"/>
                  <w:tcBorders>
                    <w:tl2br w:val="nil"/>
                    <w:tr2bl w:val="nil"/>
                  </w:tcBorders>
                  <w:noWrap w:val="0"/>
                  <w:vAlign w:val="center"/>
                </w:tcPr>
                <w:p w14:paraId="6C439A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铜冶炼</w:t>
                  </w:r>
                </w:p>
              </w:tc>
              <w:tc>
                <w:tcPr>
                  <w:tcW w:w="1355" w:type="dxa"/>
                  <w:tcBorders>
                    <w:tl2br w:val="nil"/>
                    <w:tr2bl w:val="nil"/>
                  </w:tcBorders>
                  <w:noWrap w:val="0"/>
                  <w:vAlign w:val="center"/>
                </w:tcPr>
                <w:p w14:paraId="151076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3211</w:t>
                  </w:r>
                </w:p>
              </w:tc>
              <w:tc>
                <w:tcPr>
                  <w:tcW w:w="3810" w:type="dxa"/>
                  <w:tcBorders>
                    <w:tl2br w:val="nil"/>
                    <w:tr2bl w:val="nil"/>
                  </w:tcBorders>
                  <w:noWrap w:val="0"/>
                  <w:vAlign w:val="center"/>
                </w:tcPr>
                <w:p w14:paraId="09435B8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铜冶炼，不包括再生铜冶炼项目</w:t>
                  </w:r>
                </w:p>
              </w:tc>
            </w:tr>
            <w:tr w14:paraId="1B6CC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53" w:type="dxa"/>
                  <w:tcBorders>
                    <w:tl2br w:val="nil"/>
                    <w:tr2bl w:val="nil"/>
                  </w:tcBorders>
                  <w:noWrap w:val="0"/>
                  <w:vAlign w:val="center"/>
                </w:tcPr>
                <w:p w14:paraId="0FCF80B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23</w:t>
                  </w:r>
                </w:p>
              </w:tc>
              <w:tc>
                <w:tcPr>
                  <w:tcW w:w="907" w:type="dxa"/>
                  <w:vMerge w:val="continue"/>
                  <w:tcBorders>
                    <w:tl2br w:val="nil"/>
                    <w:tr2bl w:val="nil"/>
                  </w:tcBorders>
                  <w:noWrap w:val="0"/>
                  <w:vAlign w:val="center"/>
                </w:tcPr>
                <w:p w14:paraId="53C3ADD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1547891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铅锌冶炼</w:t>
                  </w:r>
                </w:p>
              </w:tc>
              <w:tc>
                <w:tcPr>
                  <w:tcW w:w="1355" w:type="dxa"/>
                  <w:tcBorders>
                    <w:tl2br w:val="nil"/>
                    <w:tr2bl w:val="nil"/>
                  </w:tcBorders>
                  <w:noWrap w:val="0"/>
                  <w:vAlign w:val="center"/>
                </w:tcPr>
                <w:p w14:paraId="259F827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3212</w:t>
                  </w:r>
                </w:p>
              </w:tc>
              <w:tc>
                <w:tcPr>
                  <w:tcW w:w="3810" w:type="dxa"/>
                  <w:tcBorders>
                    <w:tl2br w:val="nil"/>
                    <w:tr2bl w:val="nil"/>
                  </w:tcBorders>
                  <w:noWrap w:val="0"/>
                  <w:vAlign w:val="center"/>
                </w:tcPr>
                <w:p w14:paraId="64D3D48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铅冶炼、锌冶炼，不包括再生铅、再生锌冶炼项目</w:t>
                  </w:r>
                </w:p>
              </w:tc>
            </w:tr>
            <w:tr w14:paraId="2C612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653" w:type="dxa"/>
                  <w:tcBorders>
                    <w:tl2br w:val="nil"/>
                    <w:tr2bl w:val="nil"/>
                  </w:tcBorders>
                  <w:noWrap w:val="0"/>
                  <w:vAlign w:val="center"/>
                </w:tcPr>
                <w:p w14:paraId="6845E65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24</w:t>
                  </w:r>
                </w:p>
              </w:tc>
              <w:tc>
                <w:tcPr>
                  <w:tcW w:w="907" w:type="dxa"/>
                  <w:vMerge w:val="continue"/>
                  <w:tcBorders>
                    <w:tl2br w:val="nil"/>
                    <w:tr2bl w:val="nil"/>
                  </w:tcBorders>
                  <w:noWrap w:val="0"/>
                  <w:vAlign w:val="center"/>
                </w:tcPr>
                <w:p w14:paraId="7B3C61B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0306BD6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铝冶炼</w:t>
                  </w:r>
                </w:p>
              </w:tc>
              <w:tc>
                <w:tcPr>
                  <w:tcW w:w="1355" w:type="dxa"/>
                  <w:tcBorders>
                    <w:tl2br w:val="nil"/>
                    <w:tr2bl w:val="nil"/>
                  </w:tcBorders>
                  <w:noWrap w:val="0"/>
                  <w:vAlign w:val="center"/>
                </w:tcPr>
                <w:p w14:paraId="17F35E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3216</w:t>
                  </w:r>
                </w:p>
              </w:tc>
              <w:tc>
                <w:tcPr>
                  <w:tcW w:w="3810" w:type="dxa"/>
                  <w:tcBorders>
                    <w:tl2br w:val="nil"/>
                    <w:tr2bl w:val="nil"/>
                  </w:tcBorders>
                  <w:noWrap w:val="0"/>
                  <w:vAlign w:val="center"/>
                </w:tcPr>
                <w:p w14:paraId="151A401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氧化铝</w:t>
                  </w:r>
                  <w:r>
                    <w:rPr>
                      <w:rFonts w:hint="eastAsia" w:cs="Times New Roman"/>
                      <w:color w:val="auto"/>
                      <w:spacing w:val="0"/>
                      <w:sz w:val="21"/>
                      <w:szCs w:val="21"/>
                      <w:lang w:eastAsia="zh-CN"/>
                    </w:rPr>
                    <w:t>（</w:t>
                  </w:r>
                  <w:r>
                    <w:rPr>
                      <w:rFonts w:hint="default" w:ascii="Times New Roman" w:hAnsi="Times New Roman" w:eastAsia="宋体" w:cs="Times New Roman"/>
                      <w:color w:val="auto"/>
                      <w:spacing w:val="0"/>
                      <w:sz w:val="21"/>
                      <w:szCs w:val="21"/>
                    </w:rPr>
                    <w:t>不包括以铝酸钠、氢氧化铝或氧化铝为原料深加工形成 的非冶金级氧化铝</w:t>
                  </w:r>
                  <w:r>
                    <w:rPr>
                      <w:rFonts w:hint="eastAsia" w:ascii="Times New Roman" w:hAnsi="Times New Roman" w:eastAsia="宋体" w:cs="Times New Roman"/>
                      <w:color w:val="auto"/>
                      <w:spacing w:val="0"/>
                      <w:sz w:val="21"/>
                      <w:szCs w:val="21"/>
                      <w:lang w:eastAsia="zh-CN"/>
                    </w:rPr>
                    <w:t>）</w:t>
                  </w:r>
                  <w:r>
                    <w:rPr>
                      <w:rFonts w:hint="default" w:ascii="Times New Roman" w:hAnsi="Times New Roman" w:eastAsia="宋体" w:cs="Times New Roman"/>
                      <w:color w:val="auto"/>
                      <w:spacing w:val="0"/>
                      <w:sz w:val="21"/>
                      <w:szCs w:val="21"/>
                    </w:rPr>
                    <w:t>、电解铝</w:t>
                  </w:r>
                </w:p>
              </w:tc>
            </w:tr>
            <w:tr w14:paraId="60656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653" w:type="dxa"/>
                  <w:tcBorders>
                    <w:tl2br w:val="nil"/>
                    <w:tr2bl w:val="nil"/>
                  </w:tcBorders>
                  <w:noWrap w:val="0"/>
                  <w:vAlign w:val="center"/>
                </w:tcPr>
                <w:p w14:paraId="50400FC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25</w:t>
                  </w:r>
                </w:p>
              </w:tc>
              <w:tc>
                <w:tcPr>
                  <w:tcW w:w="907" w:type="dxa"/>
                  <w:vMerge w:val="continue"/>
                  <w:tcBorders>
                    <w:tl2br w:val="nil"/>
                    <w:tr2bl w:val="nil"/>
                  </w:tcBorders>
                  <w:noWrap w:val="0"/>
                  <w:vAlign w:val="center"/>
                </w:tcPr>
                <w:p w14:paraId="3AC0992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53DB55F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硅冶炼</w:t>
                  </w:r>
                </w:p>
              </w:tc>
              <w:tc>
                <w:tcPr>
                  <w:tcW w:w="1355" w:type="dxa"/>
                  <w:tcBorders>
                    <w:tl2br w:val="nil"/>
                    <w:tr2bl w:val="nil"/>
                  </w:tcBorders>
                  <w:noWrap w:val="0"/>
                  <w:vAlign w:val="center"/>
                </w:tcPr>
                <w:p w14:paraId="12C6D63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3218</w:t>
                  </w:r>
                </w:p>
              </w:tc>
              <w:tc>
                <w:tcPr>
                  <w:tcW w:w="3810" w:type="dxa"/>
                  <w:tcBorders>
                    <w:tl2br w:val="nil"/>
                    <w:tr2bl w:val="nil"/>
                  </w:tcBorders>
                  <w:noWrap w:val="0"/>
                  <w:vAlign w:val="center"/>
                </w:tcPr>
                <w:p w14:paraId="5E092CF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工业硅</w:t>
                  </w:r>
                </w:p>
              </w:tc>
            </w:tr>
            <w:tr w14:paraId="6E84C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653" w:type="dxa"/>
                  <w:tcBorders>
                    <w:tl2br w:val="nil"/>
                    <w:tr2bl w:val="nil"/>
                  </w:tcBorders>
                  <w:noWrap w:val="0"/>
                  <w:vAlign w:val="center"/>
                </w:tcPr>
                <w:p w14:paraId="461021D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26</w:t>
                  </w:r>
                </w:p>
              </w:tc>
              <w:tc>
                <w:tcPr>
                  <w:tcW w:w="907" w:type="dxa"/>
                  <w:vMerge w:val="restart"/>
                  <w:tcBorders>
                    <w:tl2br w:val="nil"/>
                    <w:tr2bl w:val="nil"/>
                  </w:tcBorders>
                  <w:noWrap w:val="0"/>
                  <w:vAlign w:val="center"/>
                </w:tcPr>
                <w:p w14:paraId="20D5DC9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煤电</w:t>
                  </w:r>
                </w:p>
              </w:tc>
              <w:tc>
                <w:tcPr>
                  <w:tcW w:w="1731" w:type="dxa"/>
                  <w:tcBorders>
                    <w:tl2br w:val="nil"/>
                    <w:tr2bl w:val="nil"/>
                  </w:tcBorders>
                  <w:noWrap w:val="0"/>
                  <w:vAlign w:val="center"/>
                </w:tcPr>
                <w:p w14:paraId="02FD6D6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火力发电</w:t>
                  </w:r>
                </w:p>
              </w:tc>
              <w:tc>
                <w:tcPr>
                  <w:tcW w:w="1355" w:type="dxa"/>
                  <w:tcBorders>
                    <w:tl2br w:val="nil"/>
                    <w:tr2bl w:val="nil"/>
                  </w:tcBorders>
                  <w:noWrap w:val="0"/>
                  <w:vAlign w:val="center"/>
                </w:tcPr>
                <w:p w14:paraId="00CA3F6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4411</w:t>
                  </w:r>
                </w:p>
              </w:tc>
              <w:tc>
                <w:tcPr>
                  <w:tcW w:w="3810" w:type="dxa"/>
                  <w:tcBorders>
                    <w:tl2br w:val="nil"/>
                    <w:tr2bl w:val="nil"/>
                  </w:tcBorders>
                  <w:noWrap w:val="0"/>
                  <w:vAlign w:val="center"/>
                </w:tcPr>
                <w:p w14:paraId="1F4043B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燃煤发电</w:t>
                  </w:r>
                </w:p>
              </w:tc>
            </w:tr>
            <w:tr w14:paraId="107E0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jc w:val="center"/>
              </w:trPr>
              <w:tc>
                <w:tcPr>
                  <w:tcW w:w="653" w:type="dxa"/>
                  <w:tcBorders>
                    <w:tl2br w:val="nil"/>
                    <w:tr2bl w:val="nil"/>
                  </w:tcBorders>
                  <w:noWrap w:val="0"/>
                  <w:vAlign w:val="center"/>
                </w:tcPr>
                <w:p w14:paraId="704DB4E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27</w:t>
                  </w:r>
                </w:p>
              </w:tc>
              <w:tc>
                <w:tcPr>
                  <w:tcW w:w="907" w:type="dxa"/>
                  <w:vMerge w:val="continue"/>
                  <w:tcBorders>
                    <w:tl2br w:val="nil"/>
                    <w:tr2bl w:val="nil"/>
                  </w:tcBorders>
                  <w:noWrap w:val="0"/>
                  <w:vAlign w:val="center"/>
                </w:tcPr>
                <w:p w14:paraId="727D751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p>
              </w:tc>
              <w:tc>
                <w:tcPr>
                  <w:tcW w:w="1731" w:type="dxa"/>
                  <w:tcBorders>
                    <w:tl2br w:val="nil"/>
                    <w:tr2bl w:val="nil"/>
                  </w:tcBorders>
                  <w:noWrap w:val="0"/>
                  <w:vAlign w:val="center"/>
                </w:tcPr>
                <w:p w14:paraId="00ADB2A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热电联产</w:t>
                  </w:r>
                </w:p>
              </w:tc>
              <w:tc>
                <w:tcPr>
                  <w:tcW w:w="1355" w:type="dxa"/>
                  <w:tcBorders>
                    <w:tl2br w:val="nil"/>
                    <w:tr2bl w:val="nil"/>
                  </w:tcBorders>
                  <w:noWrap w:val="0"/>
                  <w:vAlign w:val="center"/>
                </w:tcPr>
                <w:p w14:paraId="3DB2EC5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4412</w:t>
                  </w:r>
                </w:p>
              </w:tc>
              <w:tc>
                <w:tcPr>
                  <w:tcW w:w="3810" w:type="dxa"/>
                  <w:tcBorders>
                    <w:tl2br w:val="nil"/>
                    <w:tr2bl w:val="nil"/>
                  </w:tcBorders>
                  <w:noWrap w:val="0"/>
                  <w:vAlign w:val="center"/>
                </w:tcPr>
                <w:p w14:paraId="1102FEB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燃煤热电联产</w:t>
                  </w:r>
                </w:p>
              </w:tc>
            </w:tr>
          </w:tbl>
          <w:p w14:paraId="408A7AF8">
            <w:pPr>
              <w:pStyle w:val="11"/>
              <w:spacing w:line="460" w:lineRule="exact"/>
              <w:ind w:firstLine="480" w:firstLineChars="200"/>
              <w:jc w:val="both"/>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本项目属于</w:t>
            </w:r>
            <w:r>
              <w:rPr>
                <w:rFonts w:hint="eastAsia" w:cs="Times New Roman"/>
                <w:color w:val="auto"/>
                <w:sz w:val="24"/>
                <w:szCs w:val="32"/>
                <w:lang w:val="en-US" w:eastAsia="zh-CN"/>
              </w:rPr>
              <w:t>C4420非金属废料和碎屑加工处理，</w:t>
            </w:r>
            <w:r>
              <w:rPr>
                <w:rFonts w:hint="eastAsia" w:ascii="Times New Roman" w:hAnsi="Times New Roman" w:eastAsia="宋体" w:cs="Times New Roman"/>
                <w:color w:val="auto"/>
                <w:sz w:val="24"/>
                <w:szCs w:val="32"/>
                <w:lang w:val="en-US" w:eastAsia="zh-CN"/>
              </w:rPr>
              <w:t>不在《安徽省“两高”项目分类管理名录》</w:t>
            </w:r>
            <w:r>
              <w:rPr>
                <w:rFonts w:hint="eastAsia" w:cs="Times New Roman"/>
                <w:color w:val="auto"/>
                <w:sz w:val="24"/>
                <w:szCs w:val="32"/>
                <w:lang w:val="en-US" w:eastAsia="zh-CN"/>
              </w:rPr>
              <w:t>（</w:t>
            </w:r>
            <w:r>
              <w:rPr>
                <w:rFonts w:hint="eastAsia" w:ascii="Times New Roman" w:hAnsi="Times New Roman" w:eastAsia="宋体" w:cs="Times New Roman"/>
                <w:color w:val="auto"/>
                <w:sz w:val="24"/>
                <w:szCs w:val="32"/>
                <w:lang w:val="en-US" w:eastAsia="zh-CN"/>
              </w:rPr>
              <w:t>试行）中，因此不属于“两高”项目。</w:t>
            </w:r>
          </w:p>
          <w:p w14:paraId="24E943E1">
            <w:pPr>
              <w:pStyle w:val="11"/>
              <w:spacing w:line="460" w:lineRule="exact"/>
              <w:jc w:val="both"/>
              <w:rPr>
                <w:rFonts w:hint="default" w:ascii="Times New Roman" w:hAnsi="Times New Roman" w:eastAsia="宋体" w:cs="Times New Roman"/>
                <w:color w:val="auto"/>
                <w:sz w:val="24"/>
                <w:szCs w:val="32"/>
                <w:lang w:val="en-US" w:eastAsia="zh-CN"/>
              </w:rPr>
            </w:pPr>
            <w:r>
              <w:rPr>
                <w:rFonts w:hint="eastAsia" w:cs="Times New Roman"/>
                <w:b/>
                <w:bCs/>
                <w:color w:val="auto"/>
                <w:sz w:val="24"/>
                <w:szCs w:val="32"/>
                <w:lang w:val="en-US" w:eastAsia="zh-CN"/>
              </w:rPr>
              <w:t>4</w:t>
            </w:r>
            <w:r>
              <w:rPr>
                <w:rFonts w:hint="eastAsia" w:ascii="Times New Roman" w:hAnsi="Times New Roman" w:eastAsia="宋体" w:cs="Times New Roman"/>
                <w:b/>
                <w:bCs/>
                <w:color w:val="auto"/>
                <w:sz w:val="24"/>
                <w:szCs w:val="32"/>
                <w:lang w:val="en-US" w:eastAsia="zh-CN"/>
              </w:rPr>
              <w:t>、</w:t>
            </w:r>
            <w:r>
              <w:rPr>
                <w:rFonts w:hint="default" w:ascii="Times New Roman" w:hAnsi="Times New Roman" w:eastAsia="宋体" w:cs="Times New Roman"/>
                <w:b/>
                <w:bCs/>
                <w:color w:val="auto"/>
                <w:sz w:val="24"/>
                <w:szCs w:val="32"/>
                <w:lang w:val="en-US" w:eastAsia="zh-CN"/>
              </w:rPr>
              <w:t>与《中华人民共和国长江保护法》符合性分析</w:t>
            </w:r>
          </w:p>
          <w:p w14:paraId="53A45404">
            <w:pPr>
              <w:pStyle w:val="11"/>
              <w:spacing w:line="460" w:lineRule="exact"/>
              <w:ind w:firstLine="422" w:firstLineChars="200"/>
              <w:jc w:val="center"/>
              <w:rPr>
                <w:rFonts w:hint="default" w:ascii="Times New Roman" w:hAnsi="Times New Roman" w:eastAsia="宋体" w:cs="Times New Roman"/>
                <w:b/>
                <w:bCs/>
                <w:caps w:val="0"/>
                <w:smallCaps w:val="0"/>
                <w:color w:val="auto"/>
                <w:spacing w:val="0"/>
                <w:w w:val="100"/>
                <w:position w:val="0"/>
                <w:sz w:val="21"/>
                <w:szCs w:val="16"/>
                <w:highlight w:val="none"/>
                <w:lang w:val="en-US" w:eastAsia="zh-CN"/>
              </w:rPr>
            </w:pPr>
            <w:r>
              <w:rPr>
                <w:rFonts w:hint="default" w:ascii="Times New Roman" w:hAnsi="Times New Roman" w:cs="Times New Roman"/>
                <w:b/>
                <w:bCs/>
                <w:caps w:val="0"/>
                <w:smallCaps w:val="0"/>
                <w:color w:val="auto"/>
                <w:spacing w:val="0"/>
                <w:w w:val="100"/>
                <w:position w:val="0"/>
                <w:sz w:val="21"/>
                <w:szCs w:val="16"/>
                <w:highlight w:val="none"/>
                <w:lang w:val="en-US" w:eastAsia="zh-CN"/>
              </w:rPr>
              <w:t>表1</w:t>
            </w:r>
            <w:r>
              <w:rPr>
                <w:rFonts w:hint="eastAsia" w:ascii="Times New Roman" w:hAnsi="Times New Roman" w:cs="Times New Roman"/>
                <w:b/>
                <w:bCs/>
                <w:caps w:val="0"/>
                <w:smallCaps w:val="0"/>
                <w:color w:val="auto"/>
                <w:spacing w:val="0"/>
                <w:w w:val="100"/>
                <w:position w:val="0"/>
                <w:sz w:val="21"/>
                <w:szCs w:val="16"/>
                <w:highlight w:val="none"/>
                <w:lang w:val="en-US" w:eastAsia="zh-CN"/>
              </w:rPr>
              <w:t>-4</w:t>
            </w:r>
            <w:r>
              <w:rPr>
                <w:rFonts w:hint="default" w:ascii="Times New Roman" w:hAnsi="Times New Roman" w:cs="Times New Roman"/>
                <w:b/>
                <w:bCs/>
                <w:caps w:val="0"/>
                <w:smallCaps w:val="0"/>
                <w:color w:val="auto"/>
                <w:spacing w:val="0"/>
                <w:w w:val="100"/>
                <w:position w:val="0"/>
                <w:sz w:val="21"/>
                <w:szCs w:val="16"/>
                <w:highlight w:val="none"/>
                <w:lang w:val="en-US" w:eastAsia="zh-CN"/>
              </w:rPr>
              <w:t xml:space="preserve">  拟建项目与《中华人民共和国长江保护法》的符合性分析</w:t>
            </w:r>
          </w:p>
          <w:tbl>
            <w:tblPr>
              <w:tblStyle w:val="26"/>
              <w:tblW w:w="8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915"/>
              <w:gridCol w:w="2841"/>
              <w:gridCol w:w="2860"/>
              <w:gridCol w:w="742"/>
            </w:tblGrid>
            <w:tr w14:paraId="010DB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900" w:type="dxa"/>
                  <w:noWrap w:val="0"/>
                  <w:vAlign w:val="center"/>
                </w:tcPr>
                <w:p w14:paraId="4456F718">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rPr>
                  </w:pPr>
                  <w:r>
                    <w:rPr>
                      <w:rFonts w:hint="default" w:ascii="Times New Roman" w:hAnsi="Times New Roman" w:eastAsia="宋体" w:cs="Times New Roman"/>
                      <w:b/>
                      <w:bCs/>
                      <w:caps w:val="0"/>
                      <w:smallCaps w:val="0"/>
                      <w:color w:val="auto"/>
                      <w:spacing w:val="0"/>
                      <w:w w:val="100"/>
                      <w:position w:val="0"/>
                      <w:sz w:val="21"/>
                      <w:szCs w:val="21"/>
                      <w:highlight w:val="none"/>
                    </w:rPr>
                    <w:t>政策名称</w:t>
                  </w:r>
                </w:p>
              </w:tc>
              <w:tc>
                <w:tcPr>
                  <w:tcW w:w="915" w:type="dxa"/>
                  <w:noWrap w:val="0"/>
                  <w:vAlign w:val="center"/>
                </w:tcPr>
                <w:p w14:paraId="15B68920">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rPr>
                  </w:pPr>
                  <w:r>
                    <w:rPr>
                      <w:rFonts w:hint="default" w:ascii="Times New Roman" w:hAnsi="Times New Roman" w:eastAsia="宋体" w:cs="Times New Roman"/>
                      <w:b/>
                      <w:bCs/>
                      <w:caps w:val="0"/>
                      <w:smallCaps w:val="0"/>
                      <w:color w:val="auto"/>
                      <w:spacing w:val="0"/>
                      <w:w w:val="100"/>
                      <w:position w:val="0"/>
                      <w:sz w:val="21"/>
                      <w:szCs w:val="21"/>
                      <w:highlight w:val="none"/>
                    </w:rPr>
                    <w:t>相关要求</w:t>
                  </w:r>
                </w:p>
              </w:tc>
              <w:tc>
                <w:tcPr>
                  <w:tcW w:w="2841" w:type="dxa"/>
                  <w:noWrap w:val="0"/>
                  <w:vAlign w:val="center"/>
                </w:tcPr>
                <w:p w14:paraId="7EE66BBE">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rPr>
                  </w:pPr>
                  <w:r>
                    <w:rPr>
                      <w:rFonts w:hint="default" w:ascii="Times New Roman" w:hAnsi="Times New Roman" w:eastAsia="宋体" w:cs="Times New Roman"/>
                      <w:b/>
                      <w:bCs/>
                      <w:caps w:val="0"/>
                      <w:smallCaps w:val="0"/>
                      <w:color w:val="auto"/>
                      <w:spacing w:val="0"/>
                      <w:w w:val="100"/>
                      <w:position w:val="0"/>
                      <w:sz w:val="21"/>
                      <w:szCs w:val="21"/>
                      <w:highlight w:val="none"/>
                    </w:rPr>
                    <w:t>政策要求</w:t>
                  </w:r>
                </w:p>
              </w:tc>
              <w:tc>
                <w:tcPr>
                  <w:tcW w:w="2860" w:type="dxa"/>
                  <w:noWrap w:val="0"/>
                  <w:vAlign w:val="center"/>
                </w:tcPr>
                <w:p w14:paraId="26E5AEB7">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rPr>
                  </w:pPr>
                  <w:r>
                    <w:rPr>
                      <w:rFonts w:hint="default" w:ascii="Times New Roman" w:hAnsi="Times New Roman" w:cs="Times New Roman"/>
                      <w:b/>
                      <w:bCs/>
                      <w:caps w:val="0"/>
                      <w:smallCaps w:val="0"/>
                      <w:color w:val="auto"/>
                      <w:spacing w:val="0"/>
                      <w:w w:val="100"/>
                      <w:position w:val="0"/>
                      <w:sz w:val="21"/>
                      <w:szCs w:val="21"/>
                      <w:highlight w:val="none"/>
                      <w:lang w:val="en-US" w:eastAsia="zh-CN"/>
                    </w:rPr>
                    <w:t>本</w:t>
                  </w:r>
                  <w:r>
                    <w:rPr>
                      <w:rFonts w:hint="default" w:ascii="Times New Roman" w:hAnsi="Times New Roman" w:eastAsia="宋体" w:cs="Times New Roman"/>
                      <w:b/>
                      <w:bCs/>
                      <w:caps w:val="0"/>
                      <w:smallCaps w:val="0"/>
                      <w:color w:val="auto"/>
                      <w:spacing w:val="0"/>
                      <w:w w:val="100"/>
                      <w:position w:val="0"/>
                      <w:sz w:val="21"/>
                      <w:szCs w:val="21"/>
                      <w:highlight w:val="none"/>
                    </w:rPr>
                    <w:t>项目情况</w:t>
                  </w:r>
                </w:p>
              </w:tc>
              <w:tc>
                <w:tcPr>
                  <w:tcW w:w="742" w:type="dxa"/>
                  <w:noWrap w:val="0"/>
                  <w:vAlign w:val="center"/>
                </w:tcPr>
                <w:p w14:paraId="6C007AD1">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rPr>
                  </w:pPr>
                  <w:r>
                    <w:rPr>
                      <w:rFonts w:hint="default" w:ascii="Times New Roman" w:hAnsi="Times New Roman" w:eastAsia="宋体" w:cs="Times New Roman"/>
                      <w:b/>
                      <w:bCs/>
                      <w:caps w:val="0"/>
                      <w:smallCaps w:val="0"/>
                      <w:color w:val="auto"/>
                      <w:spacing w:val="0"/>
                      <w:w w:val="100"/>
                      <w:position w:val="0"/>
                      <w:sz w:val="21"/>
                      <w:szCs w:val="21"/>
                      <w:highlight w:val="none"/>
                    </w:rPr>
                    <w:t>符合性</w:t>
                  </w:r>
                </w:p>
              </w:tc>
            </w:tr>
            <w:tr w14:paraId="58B2B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2" w:hRule="atLeast"/>
                <w:jc w:val="center"/>
              </w:trPr>
              <w:tc>
                <w:tcPr>
                  <w:tcW w:w="900" w:type="dxa"/>
                  <w:noWrap w:val="0"/>
                  <w:vAlign w:val="center"/>
                </w:tcPr>
                <w:p w14:paraId="2FE0B53B">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highlight w:val="none"/>
                    </w:rPr>
                  </w:pPr>
                  <w:r>
                    <w:rPr>
                      <w:rFonts w:hint="default" w:ascii="Times New Roman" w:hAnsi="Times New Roman" w:eastAsia="宋体" w:cs="Times New Roman"/>
                      <w:caps w:val="0"/>
                      <w:smallCaps w:val="0"/>
                      <w:color w:val="auto"/>
                      <w:spacing w:val="0"/>
                      <w:w w:val="100"/>
                      <w:position w:val="0"/>
                      <w:sz w:val="21"/>
                      <w:szCs w:val="21"/>
                      <w:highlight w:val="none"/>
                    </w:rPr>
                    <w:t>长江保护法</w:t>
                  </w:r>
                </w:p>
              </w:tc>
              <w:tc>
                <w:tcPr>
                  <w:tcW w:w="915" w:type="dxa"/>
                  <w:noWrap w:val="0"/>
                  <w:vAlign w:val="center"/>
                </w:tcPr>
                <w:p w14:paraId="049F974B">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highlight w:val="none"/>
                    </w:rPr>
                  </w:pPr>
                  <w:r>
                    <w:rPr>
                      <w:rFonts w:hint="default" w:ascii="Times New Roman" w:hAnsi="Times New Roman" w:eastAsia="宋体" w:cs="Times New Roman"/>
                      <w:caps w:val="0"/>
                      <w:smallCaps w:val="0"/>
                      <w:color w:val="auto"/>
                      <w:spacing w:val="0"/>
                      <w:w w:val="100"/>
                      <w:position w:val="0"/>
                      <w:sz w:val="21"/>
                      <w:szCs w:val="21"/>
                      <w:highlight w:val="none"/>
                    </w:rPr>
                    <w:t>第二十六条</w:t>
                  </w:r>
                </w:p>
              </w:tc>
              <w:tc>
                <w:tcPr>
                  <w:tcW w:w="2841" w:type="dxa"/>
                  <w:noWrap w:val="0"/>
                  <w:vAlign w:val="center"/>
                </w:tcPr>
                <w:p w14:paraId="1BD20CFC">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highlight w:val="none"/>
                    </w:rPr>
                  </w:pPr>
                  <w:r>
                    <w:rPr>
                      <w:rFonts w:hint="default" w:ascii="Times New Roman" w:hAnsi="Times New Roman" w:eastAsia="宋体" w:cs="Times New Roman"/>
                      <w:caps w:val="0"/>
                      <w:smallCaps w:val="0"/>
                      <w:color w:val="auto"/>
                      <w:spacing w:val="0"/>
                      <w:w w:val="100"/>
                      <w:position w:val="0"/>
                      <w:sz w:val="21"/>
                      <w:szCs w:val="21"/>
                      <w:highlight w:val="none"/>
                    </w:rPr>
                    <w:t>禁止在长江干支流岸线一公里范围内新建、扩建化工园区和化工项目。禁止在长江干流岸线三公里范围内和重要支流岸线一公里范围内新建、改建、扩建尾矿库</w:t>
                  </w:r>
                  <w:r>
                    <w:rPr>
                      <w:rFonts w:hint="eastAsia" w:ascii="Times New Roman" w:hAnsi="Times New Roman" w:cs="Times New Roman"/>
                      <w:caps w:val="0"/>
                      <w:smallCaps w:val="0"/>
                      <w:color w:val="auto"/>
                      <w:spacing w:val="0"/>
                      <w:w w:val="100"/>
                      <w:position w:val="0"/>
                      <w:sz w:val="21"/>
                      <w:szCs w:val="21"/>
                      <w:highlight w:val="none"/>
                      <w:lang w:eastAsia="zh-CN"/>
                    </w:rPr>
                    <w:t>；</w:t>
                  </w:r>
                  <w:r>
                    <w:rPr>
                      <w:rFonts w:hint="default" w:ascii="Times New Roman" w:hAnsi="Times New Roman" w:eastAsia="宋体" w:cs="Times New Roman"/>
                      <w:caps w:val="0"/>
                      <w:smallCaps w:val="0"/>
                      <w:color w:val="auto"/>
                      <w:spacing w:val="0"/>
                      <w:w w:val="100"/>
                      <w:position w:val="0"/>
                      <w:sz w:val="21"/>
                      <w:szCs w:val="21"/>
                      <w:highlight w:val="none"/>
                    </w:rPr>
                    <w:t>但是以提升安全、生态环境保护水平为目的的改建除外。</w:t>
                  </w:r>
                </w:p>
              </w:tc>
              <w:tc>
                <w:tcPr>
                  <w:tcW w:w="2860" w:type="dxa"/>
                  <w:noWrap w:val="0"/>
                  <w:vAlign w:val="center"/>
                </w:tcPr>
                <w:p w14:paraId="23DE5564">
                  <w:pPr>
                    <w:pStyle w:val="1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aps w:val="0"/>
                      <w:smallCaps w:val="0"/>
                      <w:color w:val="auto"/>
                      <w:spacing w:val="0"/>
                      <w:w w:val="100"/>
                      <w:position w:val="0"/>
                      <w:sz w:val="21"/>
                      <w:szCs w:val="21"/>
                      <w:highlight w:val="none"/>
                      <w:lang w:eastAsia="zh-CN"/>
                    </w:rPr>
                  </w:pPr>
                  <w:r>
                    <w:rPr>
                      <w:rFonts w:hint="default" w:ascii="Times New Roman" w:hAnsi="Times New Roman" w:eastAsia="宋体" w:cs="Times New Roman"/>
                      <w:caps w:val="0"/>
                      <w:smallCaps w:val="0"/>
                      <w:color w:val="auto"/>
                      <w:spacing w:val="0"/>
                      <w:w w:val="100"/>
                      <w:position w:val="0"/>
                      <w:sz w:val="21"/>
                      <w:szCs w:val="21"/>
                      <w:highlight w:val="none"/>
                    </w:rPr>
                    <w:t>①本项目距离长江</w:t>
                  </w:r>
                  <w:r>
                    <w:rPr>
                      <w:rFonts w:hint="eastAsia" w:cs="Times New Roman"/>
                      <w:caps w:val="0"/>
                      <w:smallCaps w:val="0"/>
                      <w:color w:val="auto"/>
                      <w:spacing w:val="0"/>
                      <w:w w:val="100"/>
                      <w:position w:val="0"/>
                      <w:sz w:val="21"/>
                      <w:szCs w:val="21"/>
                      <w:highlight w:val="none"/>
                      <w:lang w:val="en-US" w:eastAsia="zh-CN"/>
                    </w:rPr>
                    <w:t>3.8km</w:t>
                  </w:r>
                  <w:r>
                    <w:rPr>
                      <w:rFonts w:hint="default" w:ascii="Times New Roman" w:hAnsi="Times New Roman" w:eastAsia="宋体" w:cs="Times New Roman"/>
                      <w:caps w:val="0"/>
                      <w:smallCaps w:val="0"/>
                      <w:color w:val="auto"/>
                      <w:spacing w:val="0"/>
                      <w:w w:val="100"/>
                      <w:position w:val="0"/>
                      <w:sz w:val="21"/>
                      <w:szCs w:val="21"/>
                      <w:highlight w:val="none"/>
                    </w:rPr>
                    <w:t>，</w:t>
                  </w:r>
                  <w:r>
                    <w:rPr>
                      <w:rFonts w:hint="eastAsia" w:cs="Times New Roman"/>
                      <w:caps w:val="0"/>
                      <w:smallCaps w:val="0"/>
                      <w:color w:val="auto"/>
                      <w:spacing w:val="0"/>
                      <w:w w:val="100"/>
                      <w:position w:val="0"/>
                      <w:sz w:val="21"/>
                      <w:szCs w:val="21"/>
                      <w:highlight w:val="none"/>
                      <w:lang w:val="en-US" w:eastAsia="zh-CN"/>
                    </w:rPr>
                    <w:t>距离九华河岸线距离1.14km，</w:t>
                  </w:r>
                  <w:r>
                    <w:rPr>
                      <w:rFonts w:hint="default" w:ascii="Times New Roman" w:hAnsi="Times New Roman" w:eastAsia="宋体" w:cs="Times New Roman"/>
                      <w:caps w:val="0"/>
                      <w:smallCaps w:val="0"/>
                      <w:color w:val="auto"/>
                      <w:spacing w:val="0"/>
                      <w:w w:val="100"/>
                      <w:position w:val="0"/>
                      <w:sz w:val="21"/>
                      <w:szCs w:val="21"/>
                      <w:highlight w:val="none"/>
                      <w:lang w:val="en-US" w:eastAsia="zh-CN"/>
                    </w:rPr>
                    <w:t>选址位于</w:t>
                  </w:r>
                  <w:r>
                    <w:rPr>
                      <w:rFonts w:hint="eastAsia"/>
                      <w:color w:val="auto"/>
                      <w:spacing w:val="0"/>
                      <w:position w:val="0"/>
                      <w:sz w:val="21"/>
                      <w:szCs w:val="21"/>
                      <w:lang w:val="en-US" w:eastAsia="zh-CN"/>
                    </w:rPr>
                    <w:t>皖江江南新兴产业集中区</w:t>
                  </w:r>
                  <w:r>
                    <w:rPr>
                      <w:rFonts w:hint="eastAsia" w:cs="Times New Roman"/>
                      <w:caps w:val="0"/>
                      <w:smallCaps w:val="0"/>
                      <w:color w:val="auto"/>
                      <w:spacing w:val="0"/>
                      <w:w w:val="100"/>
                      <w:position w:val="0"/>
                      <w:sz w:val="21"/>
                      <w:szCs w:val="21"/>
                      <w:highlight w:val="none"/>
                      <w:lang w:eastAsia="zh-CN"/>
                    </w:rPr>
                    <w:t>；</w:t>
                  </w:r>
                </w:p>
                <w:p w14:paraId="78335ABA">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highlight w:val="none"/>
                    </w:rPr>
                  </w:pPr>
                  <w:r>
                    <w:rPr>
                      <w:rFonts w:hint="default" w:ascii="Times New Roman" w:hAnsi="Times New Roman" w:eastAsia="宋体" w:cs="Times New Roman"/>
                      <w:caps w:val="0"/>
                      <w:smallCaps w:val="0"/>
                      <w:color w:val="auto"/>
                      <w:spacing w:val="0"/>
                      <w:w w:val="100"/>
                      <w:position w:val="0"/>
                      <w:sz w:val="21"/>
                      <w:szCs w:val="21"/>
                      <w:highlight w:val="none"/>
                    </w:rPr>
                    <w:t>②</w:t>
                  </w:r>
                  <w:r>
                    <w:rPr>
                      <w:rFonts w:hint="default" w:ascii="Times New Roman" w:hAnsi="Times New Roman" w:eastAsia="宋体" w:cs="Times New Roman"/>
                      <w:caps w:val="0"/>
                      <w:smallCaps w:val="0"/>
                      <w:color w:val="auto"/>
                      <w:spacing w:val="0"/>
                      <w:w w:val="100"/>
                      <w:position w:val="0"/>
                      <w:sz w:val="21"/>
                      <w:szCs w:val="21"/>
                      <w:highlight w:val="none"/>
                      <w:lang w:val="en-US" w:eastAsia="zh-CN"/>
                    </w:rPr>
                    <w:t>本项目不属于</w:t>
                  </w:r>
                  <w:r>
                    <w:rPr>
                      <w:rFonts w:hint="default" w:ascii="Times New Roman" w:hAnsi="Times New Roman" w:eastAsia="宋体" w:cs="Times New Roman"/>
                      <w:caps w:val="0"/>
                      <w:smallCaps w:val="0"/>
                      <w:color w:val="auto"/>
                      <w:spacing w:val="0"/>
                      <w:w w:val="100"/>
                      <w:position w:val="0"/>
                      <w:sz w:val="21"/>
                      <w:szCs w:val="21"/>
                      <w:highlight w:val="none"/>
                    </w:rPr>
                    <w:t>重化工重污染项目。</w:t>
                  </w:r>
                </w:p>
              </w:tc>
              <w:tc>
                <w:tcPr>
                  <w:tcW w:w="742" w:type="dxa"/>
                  <w:noWrap w:val="0"/>
                  <w:vAlign w:val="center"/>
                </w:tcPr>
                <w:p w14:paraId="1512491C">
                  <w:pPr>
                    <w:pStyle w:val="49"/>
                    <w:keepNext w:val="0"/>
                    <w:keepLines w:val="0"/>
                    <w:pageBreakBefore w:val="0"/>
                    <w:widowControl w:val="0"/>
                    <w:kinsoku/>
                    <w:wordWrap/>
                    <w:overflowPunct/>
                    <w:topLinePunct w:val="0"/>
                    <w:autoSpaceDE/>
                    <w:autoSpaceDN/>
                    <w:bidi w:val="0"/>
                    <w:adjustRightInd/>
                    <w:snapToGrid/>
                    <w:spacing w:before="0" w:after="0" w:line="240" w:lineRule="auto"/>
                    <w:ind w:left="0" w:right="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highlight w:val="none"/>
                    </w:rPr>
                  </w:pPr>
                  <w:r>
                    <w:rPr>
                      <w:rFonts w:hint="default" w:ascii="Times New Roman" w:hAnsi="Times New Roman" w:eastAsia="宋体" w:cs="Times New Roman"/>
                      <w:caps w:val="0"/>
                      <w:smallCaps w:val="0"/>
                      <w:color w:val="auto"/>
                      <w:spacing w:val="0"/>
                      <w:w w:val="100"/>
                      <w:position w:val="0"/>
                      <w:sz w:val="21"/>
                      <w:szCs w:val="21"/>
                      <w:highlight w:val="none"/>
                    </w:rPr>
                    <w:t>符合</w:t>
                  </w:r>
                </w:p>
              </w:tc>
            </w:tr>
          </w:tbl>
          <w:p w14:paraId="2504A93F">
            <w:pPr>
              <w:spacing w:line="460" w:lineRule="exact"/>
              <w:jc w:val="both"/>
              <w:rPr>
                <w:b/>
                <w:bCs/>
                <w:color w:val="auto"/>
                <w:spacing w:val="0"/>
                <w:position w:val="0"/>
                <w:sz w:val="24"/>
                <w:szCs w:val="24"/>
              </w:rPr>
            </w:pPr>
            <w:r>
              <w:rPr>
                <w:rFonts w:hint="eastAsia"/>
                <w:b/>
                <w:color w:val="auto"/>
                <w:spacing w:val="0"/>
                <w:position w:val="0"/>
                <w:sz w:val="24"/>
                <w:lang w:val="en-US" w:eastAsia="zh-CN"/>
              </w:rPr>
              <w:t>5、</w:t>
            </w:r>
            <w:r>
              <w:rPr>
                <w:b/>
                <w:bCs/>
                <w:color w:val="auto"/>
                <w:spacing w:val="0"/>
                <w:position w:val="0"/>
                <w:sz w:val="24"/>
                <w:szCs w:val="24"/>
              </w:rPr>
              <w:t>与</w:t>
            </w:r>
            <w:r>
              <w:rPr>
                <w:rFonts w:hint="eastAsia" w:ascii="宋体" w:hAnsi="宋体" w:eastAsia="宋体" w:cs="宋体"/>
                <w:b/>
                <w:bCs/>
                <w:color w:val="auto"/>
                <w:spacing w:val="0"/>
                <w:position w:val="0"/>
                <w:sz w:val="24"/>
                <w:szCs w:val="24"/>
              </w:rPr>
              <w:t xml:space="preserve"> </w:t>
            </w:r>
            <w:r>
              <w:rPr>
                <w:rFonts w:hint="eastAsia"/>
                <w:b/>
                <w:bCs/>
                <w:color w:val="auto"/>
                <w:spacing w:val="0"/>
                <w:sz w:val="24"/>
                <w:szCs w:val="24"/>
                <w:lang w:eastAsia="zh-CN"/>
              </w:rPr>
              <w:t>“</w:t>
            </w:r>
            <w:r>
              <w:rPr>
                <w:b/>
                <w:bCs/>
                <w:color w:val="auto"/>
                <w:spacing w:val="0"/>
                <w:sz w:val="24"/>
                <w:szCs w:val="24"/>
              </w:rPr>
              <w:t>长江经济带战略环境评</w:t>
            </w:r>
            <w:r>
              <w:rPr>
                <w:rFonts w:hint="eastAsia" w:ascii="宋体" w:hAnsi="宋体" w:eastAsia="宋体" w:cs="宋体"/>
                <w:b/>
                <w:bCs/>
                <w:color w:val="auto"/>
                <w:spacing w:val="0"/>
                <w:sz w:val="24"/>
                <w:szCs w:val="24"/>
              </w:rPr>
              <w:t>价</w:t>
            </w:r>
            <w:r>
              <w:rPr>
                <w:rFonts w:hint="eastAsia" w:ascii="宋体" w:hAnsi="宋体" w:eastAsia="宋体" w:cs="宋体"/>
                <w:b/>
                <w:bCs/>
                <w:color w:val="auto"/>
                <w:spacing w:val="0"/>
                <w:sz w:val="24"/>
                <w:szCs w:val="24"/>
                <w:lang w:val="en-US" w:eastAsia="zh-CN"/>
              </w:rPr>
              <w:t>池州</w:t>
            </w:r>
            <w:r>
              <w:rPr>
                <w:rFonts w:hint="eastAsia" w:ascii="宋体" w:hAnsi="宋体" w:eastAsia="宋体" w:cs="宋体"/>
                <w:b/>
                <w:bCs/>
                <w:color w:val="auto"/>
                <w:spacing w:val="0"/>
                <w:sz w:val="24"/>
                <w:szCs w:val="24"/>
                <w:lang w:val="en-US"/>
              </w:rPr>
              <w:t>市</w:t>
            </w:r>
            <w:r>
              <w:rPr>
                <w:rFonts w:hint="eastAsia" w:ascii="宋体" w:hAnsi="宋体" w:cs="宋体"/>
                <w:b/>
                <w:bCs/>
                <w:color w:val="auto"/>
                <w:spacing w:val="0"/>
                <w:sz w:val="24"/>
                <w:szCs w:val="24"/>
                <w:lang w:eastAsia="zh-CN"/>
              </w:rPr>
              <w:t>“</w:t>
            </w:r>
            <w:r>
              <w:rPr>
                <w:rFonts w:hint="eastAsia" w:ascii="宋体" w:hAnsi="宋体" w:eastAsia="宋体" w:cs="宋体"/>
                <w:b/>
                <w:bCs/>
                <w:color w:val="auto"/>
                <w:spacing w:val="0"/>
                <w:sz w:val="24"/>
                <w:szCs w:val="24"/>
              </w:rPr>
              <w:t>三线一单</w:t>
            </w:r>
            <w:r>
              <w:rPr>
                <w:rFonts w:hint="eastAsia" w:ascii="宋体" w:hAnsi="宋体" w:cs="宋体"/>
                <w:b/>
                <w:bCs/>
                <w:color w:val="auto"/>
                <w:spacing w:val="0"/>
                <w:sz w:val="24"/>
                <w:szCs w:val="24"/>
                <w:lang w:eastAsia="zh-CN"/>
              </w:rPr>
              <w:t>”</w:t>
            </w:r>
            <w:r>
              <w:rPr>
                <w:rFonts w:hint="eastAsia" w:ascii="宋体" w:hAnsi="宋体" w:eastAsia="宋体" w:cs="宋体"/>
                <w:b/>
                <w:bCs/>
                <w:color w:val="auto"/>
                <w:spacing w:val="0"/>
                <w:sz w:val="24"/>
                <w:szCs w:val="24"/>
              </w:rPr>
              <w:t>编制文本</w:t>
            </w:r>
            <w:r>
              <w:rPr>
                <w:rFonts w:hint="eastAsia"/>
                <w:b/>
                <w:bCs/>
                <w:color w:val="auto"/>
                <w:spacing w:val="0"/>
                <w:sz w:val="24"/>
                <w:szCs w:val="24"/>
                <w:lang w:eastAsia="zh-CN"/>
              </w:rPr>
              <w:t>”、“关于印发《生态环境分区管控管理暂行规定》的通知（</w:t>
            </w:r>
            <w:r>
              <w:rPr>
                <w:rFonts w:hint="eastAsia"/>
                <w:b/>
                <w:bCs/>
                <w:color w:val="auto"/>
                <w:spacing w:val="0"/>
                <w:sz w:val="24"/>
                <w:szCs w:val="24"/>
                <w:lang w:val="en-US" w:eastAsia="zh-CN"/>
              </w:rPr>
              <w:t>环环评〔2024〕41号文</w:t>
            </w:r>
            <w:r>
              <w:rPr>
                <w:rFonts w:hint="eastAsia"/>
                <w:b/>
                <w:bCs/>
                <w:color w:val="auto"/>
                <w:spacing w:val="0"/>
                <w:sz w:val="24"/>
                <w:szCs w:val="24"/>
                <w:lang w:eastAsia="zh-CN"/>
              </w:rPr>
              <w:t>）”</w:t>
            </w:r>
            <w:r>
              <w:rPr>
                <w:rFonts w:hint="eastAsia" w:ascii="宋体" w:hAnsi="宋体" w:eastAsia="宋体" w:cs="宋体"/>
                <w:b/>
                <w:bCs/>
                <w:color w:val="auto"/>
                <w:spacing w:val="0"/>
                <w:position w:val="0"/>
                <w:sz w:val="24"/>
                <w:szCs w:val="24"/>
                <w:lang w:eastAsia="zh-CN"/>
              </w:rPr>
              <w:t>符合性</w:t>
            </w:r>
            <w:r>
              <w:rPr>
                <w:b/>
                <w:bCs/>
                <w:color w:val="auto"/>
                <w:spacing w:val="0"/>
                <w:position w:val="0"/>
                <w:sz w:val="24"/>
                <w:szCs w:val="24"/>
              </w:rPr>
              <w:t>分析</w:t>
            </w:r>
          </w:p>
          <w:p w14:paraId="0C2C4A7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eastAsia" w:ascii="Times New Roman" w:hAnsi="Times New Roman" w:eastAsia="宋体" w:cs="Times New Roman"/>
                <w:color w:val="auto"/>
                <w:spacing w:val="0"/>
                <w:position w:val="0"/>
                <w:sz w:val="24"/>
              </w:rPr>
            </w:pPr>
            <w:r>
              <w:rPr>
                <w:rFonts w:hint="eastAsia" w:ascii="Times New Roman" w:hAnsi="Times New Roman" w:eastAsia="宋体" w:cs="Times New Roman"/>
                <w:color w:val="auto"/>
                <w:spacing w:val="0"/>
                <w:position w:val="0"/>
                <w:sz w:val="24"/>
              </w:rPr>
              <w:t>《“十四五”环境影响评价改革实施方案》要求以生态保护红线、环境质量底线、资源利用上线和环境准入负面清单为手段，强化空间、总量、准入环境管理。《关于以改善环境质量为核心加强环境影响评价管理的通知》要求切实加强环境影响评价管理，落实“生态保护红线、环境质量底线、资源利用上线和环境准入负面清单”约束。</w:t>
            </w:r>
          </w:p>
          <w:p w14:paraId="16AAC2C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eastAsia" w:ascii="Times New Roman" w:hAnsi="Times New Roman" w:eastAsia="宋体" w:cs="Times New Roman"/>
                <w:color w:val="auto"/>
                <w:spacing w:val="0"/>
                <w:position w:val="0"/>
                <w:sz w:val="24"/>
              </w:rPr>
            </w:pPr>
            <w:r>
              <w:rPr>
                <w:rFonts w:hint="eastAsia" w:ascii="Times New Roman" w:hAnsi="Times New Roman" w:eastAsia="宋体" w:cs="Times New Roman"/>
                <w:color w:val="auto"/>
                <w:spacing w:val="0"/>
                <w:position w:val="0"/>
                <w:sz w:val="24"/>
              </w:rPr>
              <w:t>根据《安徽省生态环境厅关于印发安徽省“三线一单”生态环境分区管控管理办法</w:t>
            </w:r>
            <w:r>
              <w:rPr>
                <w:rFonts w:hint="eastAsia" w:cs="Times New Roman"/>
                <w:color w:val="auto"/>
                <w:spacing w:val="0"/>
                <w:position w:val="0"/>
                <w:sz w:val="24"/>
                <w:lang w:eastAsia="zh-CN"/>
              </w:rPr>
              <w:t>（</w:t>
            </w:r>
            <w:r>
              <w:rPr>
                <w:rFonts w:hint="eastAsia" w:ascii="Times New Roman" w:hAnsi="Times New Roman" w:eastAsia="宋体" w:cs="Times New Roman"/>
                <w:color w:val="auto"/>
                <w:spacing w:val="0"/>
                <w:position w:val="0"/>
                <w:sz w:val="24"/>
              </w:rPr>
              <w:t>暂行）的通知》的要求，在建设项目环评中，做好与“三线一单”生态环境分区管控</w:t>
            </w:r>
            <w:r>
              <w:rPr>
                <w:rFonts w:hint="eastAsia" w:ascii="Times New Roman" w:hAnsi="Times New Roman" w:eastAsia="宋体" w:cs="Times New Roman"/>
                <w:color w:val="auto"/>
                <w:spacing w:val="0"/>
                <w:position w:val="0"/>
                <w:sz w:val="24"/>
                <w:lang w:eastAsia="zh-CN"/>
              </w:rPr>
              <w:t>符合性</w:t>
            </w:r>
            <w:r>
              <w:rPr>
                <w:rFonts w:hint="eastAsia" w:ascii="Times New Roman" w:hAnsi="Times New Roman" w:eastAsia="宋体" w:cs="Times New Roman"/>
                <w:color w:val="auto"/>
                <w:spacing w:val="0"/>
                <w:position w:val="0"/>
                <w:sz w:val="24"/>
              </w:rPr>
              <w:t>分析，充分论证是否符合生态环境准入清单要求，对不符合的依法不予审批。现就本项目与《长江经济带战略环境评价池州市“三线一单”》要求符合性分析如下。</w:t>
            </w:r>
          </w:p>
          <w:p w14:paraId="31D195B9">
            <w:pPr>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ascii="Times New Roman" w:hAnsi="Times New Roman" w:eastAsia="宋体" w:cs="Times New Roman"/>
                <w:color w:val="auto"/>
                <w:spacing w:val="0"/>
                <w:position w:val="0"/>
                <w:sz w:val="24"/>
                <w:lang w:eastAsia="zh-CN"/>
              </w:rPr>
            </w:pPr>
          </w:p>
          <w:p w14:paraId="62C7FCF8">
            <w:pPr>
              <w:pStyle w:val="6"/>
              <w:rPr>
                <w:rFonts w:hint="eastAsia" w:ascii="Times New Roman" w:hAnsi="Times New Roman" w:eastAsia="宋体" w:cs="Times New Roman"/>
                <w:color w:val="auto"/>
                <w:spacing w:val="0"/>
                <w:position w:val="0"/>
                <w:sz w:val="24"/>
                <w:lang w:eastAsia="zh-CN"/>
              </w:rPr>
            </w:pPr>
          </w:p>
          <w:p w14:paraId="0ED80FFF">
            <w:pPr>
              <w:rPr>
                <w:rFonts w:hint="eastAsia" w:ascii="Times New Roman" w:hAnsi="Times New Roman" w:eastAsia="宋体" w:cs="Times New Roman"/>
                <w:color w:val="auto"/>
                <w:spacing w:val="0"/>
                <w:position w:val="0"/>
                <w:sz w:val="24"/>
                <w:lang w:eastAsia="zh-CN"/>
              </w:rPr>
            </w:pPr>
          </w:p>
          <w:p w14:paraId="37FF4EE2">
            <w:pPr>
              <w:pStyle w:val="6"/>
              <w:rPr>
                <w:rFonts w:hint="eastAsia" w:ascii="Times New Roman" w:hAnsi="Times New Roman" w:eastAsia="宋体" w:cs="Times New Roman"/>
                <w:color w:val="auto"/>
                <w:spacing w:val="0"/>
                <w:position w:val="0"/>
                <w:sz w:val="24"/>
                <w:lang w:eastAsia="zh-CN"/>
              </w:rPr>
            </w:pPr>
          </w:p>
          <w:p w14:paraId="2DDB82F9">
            <w:pPr>
              <w:rPr>
                <w:rFonts w:hint="eastAsia" w:ascii="Times New Roman" w:hAnsi="Times New Roman" w:eastAsia="宋体" w:cs="Times New Roman"/>
                <w:color w:val="auto"/>
                <w:spacing w:val="0"/>
                <w:position w:val="0"/>
                <w:sz w:val="24"/>
                <w:lang w:eastAsia="zh-CN"/>
              </w:rPr>
            </w:pPr>
          </w:p>
          <w:p w14:paraId="49D174CA">
            <w:pPr>
              <w:pStyle w:val="6"/>
              <w:rPr>
                <w:rFonts w:hint="eastAsia" w:ascii="Times New Roman" w:hAnsi="Times New Roman" w:eastAsia="宋体" w:cs="Times New Roman"/>
                <w:color w:val="auto"/>
                <w:spacing w:val="0"/>
                <w:position w:val="0"/>
                <w:sz w:val="24"/>
                <w:lang w:eastAsia="zh-CN"/>
              </w:rPr>
            </w:pPr>
          </w:p>
          <w:p w14:paraId="0FA0C0DD">
            <w:pPr>
              <w:rPr>
                <w:rFonts w:hint="eastAsia"/>
                <w:color w:val="auto"/>
                <w:lang w:val="en-US" w:eastAsia="zh-CN"/>
              </w:rPr>
            </w:pPr>
          </w:p>
          <w:p w14:paraId="58562470">
            <w:pPr>
              <w:rPr>
                <w:rFonts w:hint="eastAsia"/>
                <w:color w:val="auto"/>
                <w:lang w:val="en-US" w:eastAsia="zh-CN"/>
              </w:rPr>
            </w:pPr>
          </w:p>
          <w:p w14:paraId="3529C6AD">
            <w:pPr>
              <w:rPr>
                <w:rFonts w:hint="eastAsia"/>
                <w:color w:val="auto"/>
                <w:lang w:val="en-US" w:eastAsia="zh-CN"/>
              </w:rPr>
            </w:pPr>
          </w:p>
          <w:p w14:paraId="100249EA">
            <w:pPr>
              <w:rPr>
                <w:rFonts w:hint="eastAsia"/>
                <w:color w:val="auto"/>
                <w:lang w:val="en-US" w:eastAsia="zh-CN"/>
              </w:rPr>
            </w:pPr>
          </w:p>
          <w:p w14:paraId="0DCE103D">
            <w:pPr>
              <w:rPr>
                <w:rFonts w:hint="eastAsia"/>
                <w:color w:val="auto"/>
                <w:lang w:val="en-US" w:eastAsia="zh-CN"/>
              </w:rPr>
            </w:pPr>
          </w:p>
          <w:p w14:paraId="7C8FEC0F">
            <w:pPr>
              <w:rPr>
                <w:rFonts w:hint="eastAsia"/>
                <w:color w:val="auto"/>
                <w:lang w:val="en-US" w:eastAsia="zh-CN"/>
              </w:rPr>
            </w:pPr>
          </w:p>
          <w:p w14:paraId="6FF2B009">
            <w:pPr>
              <w:rPr>
                <w:rFonts w:hint="eastAsia"/>
                <w:color w:val="auto"/>
                <w:lang w:val="en-US" w:eastAsia="zh-CN"/>
              </w:rPr>
            </w:pPr>
          </w:p>
          <w:p w14:paraId="4935DE3B">
            <w:pPr>
              <w:rPr>
                <w:rFonts w:hint="eastAsia"/>
                <w:color w:val="auto"/>
                <w:lang w:val="en-US" w:eastAsia="zh-CN"/>
              </w:rPr>
            </w:pPr>
          </w:p>
          <w:p w14:paraId="7B90D21F">
            <w:pPr>
              <w:rPr>
                <w:rFonts w:hint="eastAsia"/>
                <w:color w:val="auto"/>
                <w:lang w:val="en-US" w:eastAsia="zh-CN"/>
              </w:rPr>
            </w:pPr>
          </w:p>
          <w:p w14:paraId="47B0AD62">
            <w:pPr>
              <w:rPr>
                <w:rFonts w:hint="eastAsia"/>
                <w:color w:val="auto"/>
                <w:lang w:val="en-US" w:eastAsia="zh-CN"/>
              </w:rPr>
            </w:pPr>
          </w:p>
          <w:p w14:paraId="2F2E6D68">
            <w:pPr>
              <w:rPr>
                <w:rFonts w:hint="eastAsia"/>
                <w:color w:val="auto"/>
                <w:lang w:val="en-US" w:eastAsia="zh-CN"/>
              </w:rPr>
            </w:pPr>
          </w:p>
          <w:p w14:paraId="5F7FC7F8">
            <w:pPr>
              <w:rPr>
                <w:rFonts w:hint="eastAsia"/>
                <w:color w:val="auto"/>
                <w:lang w:val="en-US" w:eastAsia="zh-CN"/>
              </w:rPr>
            </w:pPr>
          </w:p>
          <w:p w14:paraId="0949B9BC">
            <w:pPr>
              <w:rPr>
                <w:rFonts w:hint="eastAsia"/>
                <w:color w:val="auto"/>
                <w:lang w:val="en-US" w:eastAsia="zh-CN"/>
              </w:rPr>
            </w:pPr>
          </w:p>
          <w:p w14:paraId="2C7F826E">
            <w:pPr>
              <w:rPr>
                <w:rFonts w:hint="eastAsia"/>
                <w:color w:val="auto"/>
                <w:lang w:val="en-US" w:eastAsia="zh-CN"/>
              </w:rPr>
            </w:pPr>
          </w:p>
          <w:p w14:paraId="51D3F897">
            <w:pPr>
              <w:rPr>
                <w:rFonts w:hint="eastAsia"/>
                <w:color w:val="auto"/>
                <w:lang w:val="en-US" w:eastAsia="zh-CN"/>
              </w:rPr>
            </w:pPr>
          </w:p>
          <w:p w14:paraId="1FF2E554">
            <w:pPr>
              <w:rPr>
                <w:rFonts w:hint="default"/>
                <w:color w:val="auto"/>
                <w:lang w:val="en-US" w:eastAsia="zh-CN"/>
              </w:rPr>
            </w:pPr>
          </w:p>
          <w:p w14:paraId="3105A1D5">
            <w:pPr>
              <w:rPr>
                <w:rFonts w:hint="eastAsia"/>
                <w:color w:val="auto"/>
                <w:lang w:val="en-US" w:eastAsia="zh-CN"/>
              </w:rPr>
            </w:pPr>
          </w:p>
          <w:p w14:paraId="754DB83A">
            <w:pPr>
              <w:rPr>
                <w:rFonts w:hint="eastAsia"/>
                <w:color w:val="auto"/>
                <w:lang w:val="en-US" w:eastAsia="zh-CN"/>
              </w:rPr>
            </w:pPr>
          </w:p>
          <w:p w14:paraId="2903FBC3">
            <w:pPr>
              <w:rPr>
                <w:rFonts w:hint="eastAsia"/>
                <w:color w:val="auto"/>
                <w:lang w:val="en-US" w:eastAsia="zh-CN"/>
              </w:rPr>
            </w:pPr>
          </w:p>
          <w:p w14:paraId="3C8C888D">
            <w:pPr>
              <w:rPr>
                <w:rFonts w:hint="eastAsia"/>
                <w:color w:val="auto"/>
                <w:lang w:val="en-US" w:eastAsia="zh-CN"/>
              </w:rPr>
            </w:pPr>
          </w:p>
          <w:p w14:paraId="7F362BF6">
            <w:pPr>
              <w:rPr>
                <w:rFonts w:hint="eastAsia"/>
                <w:color w:val="auto"/>
                <w:lang w:val="en-US" w:eastAsia="zh-CN"/>
              </w:rPr>
            </w:pPr>
          </w:p>
          <w:p w14:paraId="674F6BA8">
            <w:pPr>
              <w:rPr>
                <w:rFonts w:hint="eastAsia"/>
                <w:color w:val="auto"/>
                <w:lang w:val="en-US" w:eastAsia="zh-CN"/>
              </w:rPr>
            </w:pPr>
          </w:p>
          <w:p w14:paraId="217E1235">
            <w:pPr>
              <w:rPr>
                <w:rFonts w:hint="eastAsia"/>
                <w:color w:val="auto"/>
                <w:lang w:val="en-US" w:eastAsia="zh-CN"/>
              </w:rPr>
            </w:pPr>
          </w:p>
          <w:p w14:paraId="25655076">
            <w:pPr>
              <w:rPr>
                <w:rFonts w:hint="eastAsia"/>
                <w:color w:val="auto"/>
                <w:lang w:val="en-US" w:eastAsia="zh-CN"/>
              </w:rPr>
            </w:pPr>
          </w:p>
          <w:p w14:paraId="52BC1AFD">
            <w:pPr>
              <w:rPr>
                <w:rFonts w:hint="eastAsia"/>
                <w:color w:val="auto"/>
                <w:lang w:val="en-US" w:eastAsia="zh-CN"/>
              </w:rPr>
            </w:pPr>
          </w:p>
          <w:p w14:paraId="765475D9">
            <w:pPr>
              <w:rPr>
                <w:rFonts w:hint="eastAsia"/>
                <w:color w:val="auto"/>
                <w:lang w:val="en-US" w:eastAsia="zh-CN"/>
              </w:rPr>
            </w:pPr>
          </w:p>
          <w:p w14:paraId="3FA2D39C">
            <w:pPr>
              <w:rPr>
                <w:rFonts w:hint="eastAsia" w:cs="Times New Roman"/>
                <w:color w:val="auto"/>
                <w:spacing w:val="0"/>
                <w:position w:val="0"/>
                <w:lang w:val="en-US" w:eastAsia="zh-CN"/>
              </w:rPr>
            </w:pPr>
          </w:p>
          <w:p w14:paraId="7BB2C4DB">
            <w:pPr>
              <w:rPr>
                <w:rFonts w:hint="eastAsia" w:cs="Times New Roman"/>
                <w:color w:val="auto"/>
                <w:spacing w:val="0"/>
                <w:position w:val="0"/>
                <w:lang w:val="en-US" w:eastAsia="zh-CN"/>
              </w:rPr>
            </w:pPr>
          </w:p>
          <w:p w14:paraId="43B5742E">
            <w:pPr>
              <w:rPr>
                <w:rFonts w:hint="default" w:ascii="Times New Roman" w:hAnsi="Times New Roman" w:cs="Times New Roman"/>
                <w:color w:val="auto"/>
                <w:spacing w:val="0"/>
                <w:position w:val="0"/>
                <w:lang w:val="en-US" w:eastAsia="zh-CN"/>
              </w:rPr>
            </w:pPr>
          </w:p>
        </w:tc>
      </w:tr>
    </w:tbl>
    <w:p w14:paraId="3BF6EB84">
      <w:pPr>
        <w:autoSpaceDE w:val="0"/>
        <w:autoSpaceDN w:val="0"/>
        <w:adjustRightInd w:val="0"/>
        <w:snapToGrid w:val="0"/>
        <w:jc w:val="center"/>
        <w:rPr>
          <w:rFonts w:hint="default" w:ascii="Times New Roman" w:hAnsi="Times New Roman" w:cs="Times New Roman"/>
          <w:b/>
          <w:bCs/>
          <w:color w:val="auto"/>
          <w:spacing w:val="0"/>
          <w:kern w:val="0"/>
          <w:position w:val="0"/>
          <w:sz w:val="24"/>
        </w:rPr>
        <w:sectPr>
          <w:footerReference r:id="rId5" w:type="default"/>
          <w:pgSz w:w="11906" w:h="16838"/>
          <w:pgMar w:top="1440" w:right="1080" w:bottom="1440" w:left="1080" w:header="851" w:footer="1077" w:gutter="0"/>
          <w:pgBorders>
            <w:top w:val="none" w:sz="0" w:space="0"/>
            <w:left w:val="none" w:sz="0" w:space="0"/>
            <w:bottom w:val="none" w:sz="0" w:space="0"/>
            <w:right w:val="none" w:sz="0" w:space="0"/>
          </w:pgBorders>
          <w:pgNumType w:fmt="decimal" w:start="1"/>
          <w:cols w:space="720" w:num="1"/>
          <w:docGrid w:linePitch="312" w:charSpace="0"/>
        </w:sectPr>
      </w:pPr>
    </w:p>
    <w:tbl>
      <w:tblPr>
        <w:tblStyle w:val="26"/>
        <w:tblW w:w="1377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0"/>
        <w:gridCol w:w="12859"/>
      </w:tblGrid>
      <w:tr w14:paraId="2DC4FA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76" w:hRule="atLeast"/>
          <w:jc w:val="center"/>
        </w:trPr>
        <w:tc>
          <w:tcPr>
            <w:tcW w:w="920" w:type="dxa"/>
            <w:vAlign w:val="center"/>
          </w:tcPr>
          <w:p w14:paraId="14B1F37E">
            <w:pPr>
              <w:autoSpaceDE w:val="0"/>
              <w:autoSpaceDN w:val="0"/>
              <w:adjustRightInd w:val="0"/>
              <w:snapToGrid w:val="0"/>
              <w:jc w:val="center"/>
              <w:rPr>
                <w:rFonts w:hint="default" w:ascii="Times New Roman" w:hAnsi="Times New Roman" w:cs="Times New Roman"/>
                <w:b/>
                <w:bCs/>
                <w:color w:val="000000" w:themeColor="text1"/>
                <w:spacing w:val="0"/>
                <w:w w:val="100"/>
                <w:kern w:val="0"/>
                <w:position w:val="0"/>
                <w:sz w:val="24"/>
                <w14:textFill>
                  <w14:solidFill>
                    <w14:schemeClr w14:val="tx1"/>
                  </w14:solidFill>
                </w14:textFill>
              </w:rPr>
            </w:pPr>
            <w:r>
              <w:rPr>
                <w:rFonts w:hint="default" w:ascii="Times New Roman" w:hAnsi="Times New Roman" w:cs="Times New Roman"/>
                <w:b/>
                <w:bCs/>
                <w:color w:val="000000" w:themeColor="text1"/>
                <w:spacing w:val="0"/>
                <w:w w:val="100"/>
                <w:kern w:val="0"/>
                <w:position w:val="0"/>
                <w:sz w:val="24"/>
                <w14:textFill>
                  <w14:solidFill>
                    <w14:schemeClr w14:val="tx1"/>
                  </w14:solidFill>
                </w14:textFill>
              </w:rPr>
              <w:t>其他符合性分析</w:t>
            </w:r>
          </w:p>
        </w:tc>
        <w:tc>
          <w:tcPr>
            <w:tcW w:w="12859" w:type="dxa"/>
            <w:vAlign w:val="top"/>
          </w:tcPr>
          <w:p w14:paraId="09D6F534">
            <w:pPr>
              <w:keepNext w:val="0"/>
              <w:keepLines w:val="0"/>
              <w:pageBreakBefore w:val="0"/>
              <w:widowControl w:val="0"/>
              <w:kinsoku/>
              <w:wordWrap/>
              <w:overflowPunct/>
              <w:topLinePunct w:val="0"/>
              <w:autoSpaceDE w:val="0"/>
              <w:autoSpaceDN w:val="0"/>
              <w:bidi w:val="0"/>
              <w:adjustRightInd w:val="0"/>
              <w:snapToGrid w:val="0"/>
              <w:spacing w:line="480" w:lineRule="exact"/>
              <w:jc w:val="center"/>
              <w:textAlignment w:val="auto"/>
              <w:rPr>
                <w:rFonts w:hint="default" w:ascii="Times New Roman" w:hAnsi="Times New Roman" w:cs="Times New Roman"/>
                <w:b/>
                <w:bCs/>
                <w:color w:val="000000" w:themeColor="text1"/>
                <w:spacing w:val="0"/>
                <w:w w:val="100"/>
                <w:kern w:val="0"/>
                <w:position w:val="0"/>
                <w:sz w:val="24"/>
                <w14:textFill>
                  <w14:solidFill>
                    <w14:schemeClr w14:val="tx1"/>
                  </w14:solidFill>
                </w14:textFill>
              </w:rPr>
            </w:pPr>
            <w:r>
              <w:rPr>
                <w:rFonts w:hint="default" w:ascii="Times New Roman" w:hAnsi="Times New Roman" w:cs="Times New Roman"/>
                <w:b/>
                <w:bCs/>
                <w:color w:val="000000" w:themeColor="text1"/>
                <w:spacing w:val="0"/>
                <w:w w:val="100"/>
                <w:position w:val="0"/>
                <w:szCs w:val="21"/>
                <w14:textFill>
                  <w14:solidFill>
                    <w14:schemeClr w14:val="tx1"/>
                  </w14:solidFill>
                </w14:textFill>
              </w:rPr>
              <w:t>表1-</w:t>
            </w:r>
            <w:r>
              <w:rPr>
                <w:rFonts w:hint="eastAsia" w:cs="Times New Roman"/>
                <w:b/>
                <w:bCs/>
                <w:color w:val="000000" w:themeColor="text1"/>
                <w:spacing w:val="0"/>
                <w:w w:val="100"/>
                <w:position w:val="0"/>
                <w:szCs w:val="21"/>
                <w:lang w:val="en-US" w:eastAsia="zh-CN"/>
                <w14:textFill>
                  <w14:solidFill>
                    <w14:schemeClr w14:val="tx1"/>
                  </w14:solidFill>
                </w14:textFill>
              </w:rPr>
              <w:t>5</w:t>
            </w:r>
            <w:r>
              <w:rPr>
                <w:rFonts w:hint="default" w:ascii="Times New Roman" w:hAnsi="Times New Roman" w:cs="Times New Roman"/>
                <w:b/>
                <w:bCs/>
                <w:color w:val="000000" w:themeColor="text1"/>
                <w:spacing w:val="0"/>
                <w:w w:val="100"/>
                <w:position w:val="0"/>
                <w:szCs w:val="21"/>
                <w14:textFill>
                  <w14:solidFill>
                    <w14:schemeClr w14:val="tx1"/>
                  </w14:solidFill>
                </w14:textFill>
              </w:rPr>
              <w:t xml:space="preserve">  </w:t>
            </w:r>
            <w:r>
              <w:rPr>
                <w:rFonts w:hint="eastAsia" w:cs="Times New Roman"/>
                <w:b/>
                <w:bCs/>
                <w:color w:val="000000" w:themeColor="text1"/>
                <w:spacing w:val="0"/>
                <w:w w:val="100"/>
                <w:position w:val="0"/>
                <w:szCs w:val="21"/>
                <w:lang w:eastAsia="zh-CN"/>
                <w14:textFill>
                  <w14:solidFill>
                    <w14:schemeClr w14:val="tx1"/>
                  </w14:solidFill>
                </w14:textFill>
              </w:rPr>
              <w:t>“</w:t>
            </w:r>
            <w:r>
              <w:rPr>
                <w:rFonts w:hint="default" w:ascii="Times New Roman" w:hAnsi="Times New Roman" w:cs="Times New Roman"/>
                <w:b/>
                <w:bCs/>
                <w:color w:val="000000" w:themeColor="text1"/>
                <w:spacing w:val="0"/>
                <w:w w:val="100"/>
                <w:position w:val="0"/>
                <w:szCs w:val="21"/>
                <w14:textFill>
                  <w14:solidFill>
                    <w14:schemeClr w14:val="tx1"/>
                  </w14:solidFill>
                </w14:textFill>
              </w:rPr>
              <w:t>三线一单</w:t>
            </w:r>
            <w:r>
              <w:rPr>
                <w:rFonts w:hint="eastAsia" w:cs="Times New Roman"/>
                <w:b/>
                <w:bCs/>
                <w:color w:val="000000" w:themeColor="text1"/>
                <w:spacing w:val="0"/>
                <w:w w:val="100"/>
                <w:position w:val="0"/>
                <w:szCs w:val="21"/>
                <w:lang w:eastAsia="zh-CN"/>
                <w14:textFill>
                  <w14:solidFill>
                    <w14:schemeClr w14:val="tx1"/>
                  </w14:solidFill>
                </w14:textFill>
              </w:rPr>
              <w:t>”符合性</w:t>
            </w:r>
            <w:r>
              <w:rPr>
                <w:rFonts w:hint="default" w:ascii="Times New Roman" w:hAnsi="Times New Roman" w:cs="Times New Roman"/>
                <w:b/>
                <w:bCs/>
                <w:color w:val="000000" w:themeColor="text1"/>
                <w:spacing w:val="0"/>
                <w:w w:val="100"/>
                <w:position w:val="0"/>
                <w:szCs w:val="21"/>
                <w14:textFill>
                  <w14:solidFill>
                    <w14:schemeClr w14:val="tx1"/>
                  </w14:solidFill>
                </w14:textFill>
              </w:rPr>
              <w:t>分析</w:t>
            </w:r>
          </w:p>
          <w:tbl>
            <w:tblPr>
              <w:tblStyle w:val="27"/>
              <w:tblW w:w="12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6684"/>
              <w:gridCol w:w="4839"/>
            </w:tblGrid>
            <w:tr w14:paraId="3675D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7700" w:type="dxa"/>
                  <w:gridSpan w:val="2"/>
                  <w:vAlign w:val="center"/>
                </w:tcPr>
                <w:p w14:paraId="168989DC">
                  <w:pPr>
                    <w:jc w:val="center"/>
                    <w:rPr>
                      <w:rFonts w:hint="default" w:ascii="Times New Roman" w:hAnsi="Times New Roman" w:cs="Times New Roman"/>
                      <w:b/>
                      <w:bCs/>
                      <w:color w:val="000000" w:themeColor="text1"/>
                      <w:spacing w:val="0"/>
                      <w:w w:val="100"/>
                      <w:kern w:val="0"/>
                      <w:position w:val="0"/>
                      <w:szCs w:val="21"/>
                      <w14:textFill>
                        <w14:solidFill>
                          <w14:schemeClr w14:val="tx1"/>
                        </w14:solidFill>
                      </w14:textFill>
                    </w:rPr>
                  </w:pPr>
                  <w:r>
                    <w:rPr>
                      <w:rFonts w:hint="default" w:ascii="Times New Roman" w:hAnsi="Times New Roman" w:cs="Times New Roman"/>
                      <w:b/>
                      <w:bCs/>
                      <w:color w:val="000000" w:themeColor="text1"/>
                      <w:spacing w:val="0"/>
                      <w:w w:val="100"/>
                      <w:kern w:val="0"/>
                      <w:position w:val="0"/>
                      <w:szCs w:val="21"/>
                      <w14:textFill>
                        <w14:solidFill>
                          <w14:schemeClr w14:val="tx1"/>
                        </w14:solidFill>
                      </w14:textFill>
                    </w:rPr>
                    <w:t>三线一单</w:t>
                  </w:r>
                </w:p>
              </w:tc>
              <w:tc>
                <w:tcPr>
                  <w:tcW w:w="4839" w:type="dxa"/>
                  <w:vAlign w:val="center"/>
                </w:tcPr>
                <w:p w14:paraId="357A78B7">
                  <w:pPr>
                    <w:jc w:val="center"/>
                    <w:rPr>
                      <w:rFonts w:hint="default" w:ascii="Times New Roman" w:hAnsi="Times New Roman" w:cs="Times New Roman"/>
                      <w:b/>
                      <w:bCs/>
                      <w:color w:val="000000" w:themeColor="text1"/>
                      <w:spacing w:val="0"/>
                      <w:w w:val="100"/>
                      <w:kern w:val="0"/>
                      <w:position w:val="0"/>
                      <w:szCs w:val="21"/>
                      <w14:textFill>
                        <w14:solidFill>
                          <w14:schemeClr w14:val="tx1"/>
                        </w14:solidFill>
                      </w14:textFill>
                    </w:rPr>
                  </w:pPr>
                  <w:r>
                    <w:rPr>
                      <w:rFonts w:hint="default" w:ascii="Times New Roman" w:hAnsi="Times New Roman" w:cs="Times New Roman"/>
                      <w:b/>
                      <w:bCs/>
                      <w:color w:val="000000" w:themeColor="text1"/>
                      <w:spacing w:val="0"/>
                      <w:w w:val="100"/>
                      <w:kern w:val="0"/>
                      <w:position w:val="0"/>
                      <w:szCs w:val="21"/>
                      <w14:textFill>
                        <w14:solidFill>
                          <w14:schemeClr w14:val="tx1"/>
                        </w14:solidFill>
                      </w14:textFill>
                    </w:rPr>
                    <w:t>符合性分析</w:t>
                  </w:r>
                </w:p>
              </w:tc>
            </w:tr>
            <w:tr w14:paraId="79EBE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jc w:val="center"/>
              </w:trPr>
              <w:tc>
                <w:tcPr>
                  <w:tcW w:w="1016" w:type="dxa"/>
                  <w:vAlign w:val="center"/>
                </w:tcPr>
                <w:p w14:paraId="629404D2">
                  <w:pPr>
                    <w:jc w:val="center"/>
                    <w:rPr>
                      <w:rFonts w:hint="default" w:ascii="Times New Roman" w:hAnsi="Times New Roman" w:cs="Times New Roman"/>
                      <w:color w:val="000000" w:themeColor="text1"/>
                      <w:spacing w:val="0"/>
                      <w:w w:val="100"/>
                      <w:kern w:val="0"/>
                      <w:position w:val="0"/>
                      <w:szCs w:val="21"/>
                      <w14:textFill>
                        <w14:solidFill>
                          <w14:schemeClr w14:val="tx1"/>
                        </w14:solidFill>
                      </w14:textFill>
                    </w:rPr>
                  </w:pPr>
                  <w:r>
                    <w:rPr>
                      <w:rFonts w:hint="default" w:ascii="Times New Roman" w:hAnsi="Times New Roman" w:cs="Times New Roman"/>
                      <w:color w:val="000000" w:themeColor="text1"/>
                      <w:spacing w:val="0"/>
                      <w:w w:val="100"/>
                      <w:kern w:val="0"/>
                      <w:position w:val="0"/>
                      <w:szCs w:val="21"/>
                      <w14:textFill>
                        <w14:solidFill>
                          <w14:schemeClr w14:val="tx1"/>
                        </w14:solidFill>
                      </w14:textFill>
                    </w:rPr>
                    <w:t>生态保护红线</w:t>
                  </w:r>
                </w:p>
              </w:tc>
              <w:tc>
                <w:tcPr>
                  <w:tcW w:w="6684" w:type="dxa"/>
                  <w:vAlign w:val="center"/>
                </w:tcPr>
                <w:p w14:paraId="6389E419">
                  <w:pPr>
                    <w:pStyle w:val="72"/>
                    <w:spacing w:line="240" w:lineRule="auto"/>
                    <w:ind w:firstLine="420"/>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pP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根据《关于在全国开展“三区三线”划定工作的函》</w:t>
                  </w:r>
                  <w:r>
                    <w:rPr>
                      <w:rFonts w:hint="eastAsia" w:cs="Times New Roman"/>
                      <w:color w:val="000000" w:themeColor="text1"/>
                      <w:spacing w:val="0"/>
                      <w:w w:val="100"/>
                      <w:position w:val="0"/>
                      <w:sz w:val="21"/>
                      <w:szCs w:val="21"/>
                      <w:lang w:val="en-US" w:eastAsia="zh-CN"/>
                      <w14:textFill>
                        <w14:solidFill>
                          <w14:schemeClr w14:val="tx1"/>
                        </w14:solidFill>
                      </w14:textFill>
                    </w:rPr>
                    <w:t>（</w:t>
                  </w: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自然资函〔2022〕47号）和《关于印发安徽省“三区三线”划定工作方案的通知》</w:t>
                  </w:r>
                  <w:r>
                    <w:rPr>
                      <w:rFonts w:hint="eastAsia" w:cs="Times New Roman"/>
                      <w:color w:val="000000" w:themeColor="text1"/>
                      <w:spacing w:val="0"/>
                      <w:w w:val="100"/>
                      <w:position w:val="0"/>
                      <w:sz w:val="21"/>
                      <w:szCs w:val="21"/>
                      <w:lang w:val="en-US" w:eastAsia="zh-CN"/>
                      <w14:textFill>
                        <w14:solidFill>
                          <w14:schemeClr w14:val="tx1"/>
                        </w14:solidFill>
                      </w14:textFill>
                    </w:rPr>
                    <w:t>（</w:t>
                  </w: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皖自然资〔2022〕194号），池州市生态保护红线更新后面积为2640.17km</w:t>
                  </w:r>
                  <w:r>
                    <w:rPr>
                      <w:rFonts w:hint="default" w:ascii="Times New Roman" w:hAnsi="Times New Roman" w:cs="Times New Roman"/>
                      <w:color w:val="000000" w:themeColor="text1"/>
                      <w:spacing w:val="0"/>
                      <w:w w:val="100"/>
                      <w:position w:val="0"/>
                      <w:sz w:val="21"/>
                      <w:szCs w:val="21"/>
                      <w:vertAlign w:val="superscript"/>
                      <w:lang w:val="en-US"/>
                      <w14:textFill>
                        <w14:solidFill>
                          <w14:schemeClr w14:val="tx1"/>
                        </w14:solidFill>
                      </w14:textFill>
                    </w:rPr>
                    <w:t>2</w:t>
                  </w: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，占全市国土面积的31.56%。池州市生态保护红线空间格局呈现为东部山区集中连片多，南北两翼分散的特点，其主要生态功能为水源涵养、水土保持和生物多样性维持。</w:t>
                  </w:r>
                </w:p>
              </w:tc>
              <w:tc>
                <w:tcPr>
                  <w:tcW w:w="4839" w:type="dxa"/>
                  <w:vAlign w:val="center"/>
                </w:tcPr>
                <w:p w14:paraId="3C007DEE">
                  <w:pPr>
                    <w:pStyle w:val="72"/>
                    <w:spacing w:line="240" w:lineRule="auto"/>
                    <w:rPr>
                      <w:rFonts w:hint="default" w:ascii="Times New Roman" w:hAnsi="Times New Roman" w:eastAsia="宋体" w:cs="Times New Roman"/>
                      <w:color w:val="000000" w:themeColor="text1"/>
                      <w:spacing w:val="0"/>
                      <w:w w:val="100"/>
                      <w:position w:val="0"/>
                      <w:sz w:val="21"/>
                      <w:szCs w:val="21"/>
                      <w:lang w:val="en-US" w:eastAsia="zh-CN"/>
                      <w14:textFill>
                        <w14:solidFill>
                          <w14:schemeClr w14:val="tx1"/>
                        </w14:solidFill>
                      </w14:textFill>
                    </w:rPr>
                  </w:pPr>
                  <w:r>
                    <w:rPr>
                      <w:rFonts w:hint="eastAsia"/>
                      <w:color w:val="000000" w:themeColor="text1"/>
                      <w:spacing w:val="0"/>
                      <w:w w:val="100"/>
                      <w:sz w:val="21"/>
                      <w:szCs w:val="21"/>
                      <w14:textFill>
                        <w14:solidFill>
                          <w14:schemeClr w14:val="tx1"/>
                        </w14:solidFill>
                      </w14:textFill>
                    </w:rPr>
                    <w:t>本项目位于</w:t>
                  </w:r>
                  <w:r>
                    <w:rPr>
                      <w:rFonts w:hint="eastAsia"/>
                      <w:color w:val="000000" w:themeColor="text1"/>
                      <w:spacing w:val="0"/>
                      <w:w w:val="100"/>
                      <w:position w:val="0"/>
                      <w:sz w:val="21"/>
                      <w:szCs w:val="21"/>
                      <w:lang w:val="en-US" w:eastAsia="zh-CN"/>
                      <w14:textFill>
                        <w14:solidFill>
                          <w14:schemeClr w14:val="tx1"/>
                        </w14:solidFill>
                      </w14:textFill>
                    </w:rPr>
                    <w:t>皖江江南新兴产业集中区租赁万凯产业园7#厂房</w:t>
                  </w:r>
                  <w:r>
                    <w:rPr>
                      <w:rFonts w:hint="eastAsia"/>
                      <w:color w:val="000000" w:themeColor="text1"/>
                      <w:spacing w:val="0"/>
                      <w:w w:val="100"/>
                      <w:sz w:val="21"/>
                      <w:szCs w:val="21"/>
                      <w14:textFill>
                        <w14:solidFill>
                          <w14:schemeClr w14:val="tx1"/>
                        </w14:solidFill>
                      </w14:textFill>
                    </w:rPr>
                    <w:t>，用地类型为工业用地，对照</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安徽省“三线一单”公众服务平台</w:t>
                  </w:r>
                  <w:r>
                    <w:rPr>
                      <w:rFonts w:hint="eastAsia" w:cs="Times New Roman"/>
                      <w:color w:val="000000" w:themeColor="text1"/>
                      <w:spacing w:val="0"/>
                      <w:w w:val="100"/>
                      <w:sz w:val="21"/>
                      <w:szCs w:val="21"/>
                      <w:lang w:eastAsia="zh-CN"/>
                      <w14:textFill>
                        <w14:solidFill>
                          <w14:schemeClr w14:val="tx1"/>
                        </w14:solidFill>
                      </w14:textFill>
                    </w:rPr>
                    <w:t>、池州市国土空间总体规划（2021-2035年）</w:t>
                  </w:r>
                  <w:r>
                    <w:rPr>
                      <w:rFonts w:hint="eastAsia" w:cs="Times New Roman"/>
                      <w:color w:val="000000" w:themeColor="text1"/>
                      <w:spacing w:val="0"/>
                      <w:w w:val="100"/>
                      <w:sz w:val="21"/>
                      <w:szCs w:val="21"/>
                      <w:lang w:val="en-US" w:eastAsia="zh-CN"/>
                      <w14:textFill>
                        <w14:solidFill>
                          <w14:schemeClr w14:val="tx1"/>
                        </w14:solidFill>
                      </w14:textFill>
                    </w:rPr>
                    <w:t>中</w:t>
                  </w:r>
                  <w:r>
                    <w:rPr>
                      <w:rFonts w:hint="eastAsia" w:cs="Times New Roman"/>
                      <w:color w:val="000000" w:themeColor="text1"/>
                      <w:spacing w:val="0"/>
                      <w:w w:val="100"/>
                      <w:sz w:val="21"/>
                      <w:szCs w:val="21"/>
                      <w:lang w:eastAsia="zh-CN"/>
                      <w14:textFill>
                        <w14:solidFill>
                          <w14:schemeClr w14:val="tx1"/>
                        </w14:solidFill>
                      </w14:textFill>
                    </w:rPr>
                    <w:t>市域国土空间控制线规划图（</w:t>
                  </w:r>
                  <w:r>
                    <w:rPr>
                      <w:rFonts w:hint="eastAsia" w:cs="Times New Roman"/>
                      <w:color w:val="000000" w:themeColor="text1"/>
                      <w:spacing w:val="0"/>
                      <w:w w:val="100"/>
                      <w:sz w:val="21"/>
                      <w:szCs w:val="21"/>
                      <w:lang w:val="en-US" w:eastAsia="zh-CN"/>
                      <w14:textFill>
                        <w14:solidFill>
                          <w14:schemeClr w14:val="tx1"/>
                        </w14:solidFill>
                      </w14:textFill>
                    </w:rPr>
                    <w:t>附图9</w:t>
                  </w:r>
                  <w:r>
                    <w:rPr>
                      <w:rFonts w:hint="eastAsia" w:cs="Times New Roman"/>
                      <w:color w:val="000000" w:themeColor="text1"/>
                      <w:spacing w:val="0"/>
                      <w:w w:val="100"/>
                      <w:sz w:val="21"/>
                      <w:szCs w:val="21"/>
                      <w:lang w:eastAsia="zh-CN"/>
                      <w14:textFill>
                        <w14:solidFill>
                          <w14:schemeClr w14:val="tx1"/>
                        </w14:solidFill>
                      </w14:textFill>
                    </w:rPr>
                    <w:t>）</w:t>
                  </w:r>
                  <w:r>
                    <w:rPr>
                      <w:rFonts w:hint="eastAsia"/>
                      <w:color w:val="000000" w:themeColor="text1"/>
                      <w:spacing w:val="0"/>
                      <w:w w:val="100"/>
                      <w:sz w:val="21"/>
                      <w:szCs w:val="21"/>
                      <w14:textFill>
                        <w14:solidFill>
                          <w14:schemeClr w14:val="tx1"/>
                        </w14:solidFill>
                      </w14:textFill>
                    </w:rPr>
                    <w:t>以及现场勘察可知，本项目不在自然保护区、风景名胜区、森林公园、重要湿地、饮用水源保护区等生态保护红线范围内，项目符合生态保护红线管控要求。</w:t>
                  </w:r>
                </w:p>
              </w:tc>
            </w:tr>
            <w:tr w14:paraId="1943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jc w:val="center"/>
              </w:trPr>
              <w:tc>
                <w:tcPr>
                  <w:tcW w:w="1016" w:type="dxa"/>
                  <w:vMerge w:val="restart"/>
                  <w:vAlign w:val="center"/>
                </w:tcPr>
                <w:p w14:paraId="6B183359">
                  <w:pPr>
                    <w:jc w:val="center"/>
                    <w:rPr>
                      <w:rFonts w:hint="default" w:ascii="Times New Roman" w:hAnsi="Times New Roman" w:cs="Times New Roman"/>
                      <w:color w:val="000000" w:themeColor="text1"/>
                      <w:spacing w:val="0"/>
                      <w:w w:val="100"/>
                      <w:kern w:val="0"/>
                      <w:position w:val="0"/>
                      <w:szCs w:val="21"/>
                      <w14:textFill>
                        <w14:solidFill>
                          <w14:schemeClr w14:val="tx1"/>
                        </w14:solidFill>
                      </w14:textFill>
                    </w:rPr>
                  </w:pPr>
                  <w:r>
                    <w:rPr>
                      <w:rFonts w:hint="default" w:ascii="Times New Roman" w:hAnsi="Times New Roman" w:cs="Times New Roman"/>
                      <w:color w:val="000000" w:themeColor="text1"/>
                      <w:spacing w:val="0"/>
                      <w:w w:val="100"/>
                      <w:kern w:val="0"/>
                      <w:position w:val="0"/>
                      <w:szCs w:val="21"/>
                      <w14:textFill>
                        <w14:solidFill>
                          <w14:schemeClr w14:val="tx1"/>
                        </w14:solidFill>
                      </w14:textFill>
                    </w:rPr>
                    <w:t>环境质量底线</w:t>
                  </w:r>
                </w:p>
              </w:tc>
              <w:tc>
                <w:tcPr>
                  <w:tcW w:w="6684" w:type="dxa"/>
                  <w:vAlign w:val="center"/>
                </w:tcPr>
                <w:p w14:paraId="16A7EE45">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1）</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水环境质量底线及分区管控</w:t>
                  </w:r>
                </w:p>
                <w:p w14:paraId="67DE9C7B">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对照池州市水环境管控分区图，本项目位于水环境工业污染重点管控区，具体管控要求：</w:t>
                  </w:r>
                </w:p>
                <w:p w14:paraId="7E27E570">
                  <w:pPr>
                    <w:pStyle w:val="72"/>
                    <w:spacing w:line="240" w:lineRule="auto"/>
                    <w:ind w:firstLine="420"/>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依据《中华人民共和国水污染防治法》《水污染防治行动计划》《安徽省水污染防治工作方案》及池州市水污染防治工作方案对重点管控区实施管控</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依据《长江经济带工业园区水污染整治专项行动工作方案》、池州市相关开发区规划、规划环评及审查意见相关要求对开发区实施管控</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落实《安徽省“十四五”生态环境保护规划》《安徽省“十四五”节能减排实施方案》《池州市“十四五”生态环境保护规划》《池州市“十四五”水生态环境保护专项规划》《池州市“十四五”节能减排方案》《池州市水污染防治工作方案》等要求</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新建、改建和扩建项目水污染物实施“等量替代”。</w:t>
                  </w:r>
                </w:p>
              </w:tc>
              <w:tc>
                <w:tcPr>
                  <w:tcW w:w="4839" w:type="dxa"/>
                  <w:vAlign w:val="center"/>
                </w:tcPr>
                <w:p w14:paraId="79818C36">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①</w:t>
                  </w:r>
                  <w:r>
                    <w:rPr>
                      <w:rFonts w:hint="default" w:ascii="Times New Roman" w:hAnsi="Times New Roman" w:eastAsia="宋体" w:cs="Times New Roman"/>
                      <w:caps w:val="0"/>
                      <w:smallCaps w:val="0"/>
                      <w:color w:val="auto"/>
                      <w:spacing w:val="0"/>
                      <w:w w:val="100"/>
                      <w:position w:val="0"/>
                      <w:sz w:val="21"/>
                      <w:szCs w:val="21"/>
                      <w:lang w:val="en-US" w:eastAsia="zh-CN"/>
                    </w:rPr>
                    <w:t>雨污分流制，</w:t>
                  </w:r>
                  <w:r>
                    <w:rPr>
                      <w:rFonts w:hint="eastAsia" w:ascii="Times New Roman" w:hAnsi="Times New Roman" w:eastAsia="宋体" w:cs="Times New Roman"/>
                      <w:caps w:val="0"/>
                      <w:smallCaps w:val="0"/>
                      <w:color w:val="auto"/>
                      <w:spacing w:val="0"/>
                      <w:w w:val="100"/>
                      <w:position w:val="0"/>
                      <w:sz w:val="21"/>
                      <w:szCs w:val="21"/>
                      <w:lang w:val="en-US" w:eastAsia="zh-CN"/>
                    </w:rPr>
                    <w:t>雨水经雨水沟渠汇入园区雨水管网。项目碱洗废水、洗砂废水经车间沉淀池沉淀后回用，不外排；</w:t>
                  </w:r>
                  <w:r>
                    <w:rPr>
                      <w:rFonts w:hint="eastAsia" w:cs="Times New Roman"/>
                      <w:caps w:val="0"/>
                      <w:smallCaps w:val="0"/>
                      <w:color w:val="auto"/>
                      <w:spacing w:val="0"/>
                      <w:w w:val="100"/>
                      <w:position w:val="0"/>
                      <w:sz w:val="21"/>
                      <w:szCs w:val="21"/>
                      <w:lang w:val="en-US" w:eastAsia="zh-CN"/>
                    </w:rPr>
                    <w:t>地面冲洗废水、喷淋塔定期排水经沉淀池处理后与化粪池收集的生活污水一同纳管排放</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p>
                <w:p w14:paraId="3BC89683">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②根据《</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2024年池州市生态环境状况公报</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》，本项目所在区域地表水环境质量良好。</w:t>
                  </w:r>
                </w:p>
              </w:tc>
            </w:tr>
            <w:tr w14:paraId="07A1D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16" w:type="dxa"/>
                  <w:vMerge w:val="continue"/>
                  <w:vAlign w:val="center"/>
                </w:tcPr>
                <w:p w14:paraId="3A7036BC">
                  <w:pPr>
                    <w:jc w:val="center"/>
                    <w:rPr>
                      <w:rFonts w:hint="default" w:ascii="Times New Roman" w:hAnsi="Times New Roman" w:cs="Times New Roman"/>
                      <w:color w:val="000000" w:themeColor="text1"/>
                      <w:spacing w:val="0"/>
                      <w:w w:val="100"/>
                      <w:kern w:val="0"/>
                      <w:position w:val="0"/>
                      <w:szCs w:val="21"/>
                      <w14:textFill>
                        <w14:solidFill>
                          <w14:schemeClr w14:val="tx1"/>
                        </w14:solidFill>
                      </w14:textFill>
                    </w:rPr>
                  </w:pPr>
                </w:p>
              </w:tc>
              <w:tc>
                <w:tcPr>
                  <w:tcW w:w="6684" w:type="dxa"/>
                  <w:vAlign w:val="center"/>
                </w:tcPr>
                <w:p w14:paraId="2B3B1C33">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2</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）大气环境质量底线及分区管控</w:t>
                  </w:r>
                </w:p>
                <w:p w14:paraId="32B47751">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对照</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池州市</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大气环境管控分区图，</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本项目位于大气环境受体敏感重点管控区。具体管控要求：</w:t>
                  </w:r>
                </w:p>
                <w:p w14:paraId="7BE4F435">
                  <w:pPr>
                    <w:pStyle w:val="72"/>
                    <w:spacing w:line="240" w:lineRule="auto"/>
                    <w:ind w:firstLine="420"/>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落实《安徽省大气污染防治条例》《安徽省碳达峰实施方案的通知》《安徽省工业领域碳达峰实施方案》《安徽省城乡建设领域碳达峰实施方案》《关于进一步加强新上“两高”项目管理的通知》《安徽省挥发性有机物污染整治工作方案》《关于进一步加强建设项目新增大气污染物总量控制指标管理工作的通知》《安徽省“十四五”节能减排实施方案》《深入打好污染防治攻坚战行动方案》《池州市“十四五”节能减排方案》要求</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严格目标实施计划，加强环境监管，促进生态环境质量好转</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大气主要污染物总量指标实行区域内等量或倍量削减替代，执行特别排放标准的行业实施提标升级改造。</w:t>
                  </w:r>
                </w:p>
              </w:tc>
              <w:tc>
                <w:tcPr>
                  <w:tcW w:w="4839" w:type="dxa"/>
                  <w:vAlign w:val="center"/>
                </w:tcPr>
                <w:p w14:paraId="48EA9973">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①</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项目</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废气污染物经处理后，排放</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满足《危险废物焚烧污染控制标准》</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GB18484-2020）、《大气污染物综合排放标准》</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GB16297-1996）等要求限值，</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对周边环境影响较小，满足管控要求。</w:t>
                  </w:r>
                </w:p>
                <w:p w14:paraId="6B0DB33B">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②根据《</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2024年池州市生态环境状况公报</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》，项目区属于达标区。</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根据环境质量现状检测结果，区域大气环境质量良好。</w:t>
                  </w:r>
                </w:p>
              </w:tc>
            </w:tr>
            <w:tr w14:paraId="17D23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016" w:type="dxa"/>
                  <w:vMerge w:val="continue"/>
                  <w:vAlign w:val="center"/>
                </w:tcPr>
                <w:p w14:paraId="6609BA6D">
                  <w:pPr>
                    <w:jc w:val="center"/>
                    <w:rPr>
                      <w:rFonts w:hint="default" w:ascii="Times New Roman" w:hAnsi="Times New Roman" w:cs="Times New Roman"/>
                      <w:color w:val="000000" w:themeColor="text1"/>
                      <w:spacing w:val="0"/>
                      <w:w w:val="100"/>
                      <w:kern w:val="0"/>
                      <w:position w:val="0"/>
                      <w:szCs w:val="21"/>
                      <w14:textFill>
                        <w14:solidFill>
                          <w14:schemeClr w14:val="tx1"/>
                        </w14:solidFill>
                      </w14:textFill>
                    </w:rPr>
                  </w:pPr>
                </w:p>
              </w:tc>
              <w:tc>
                <w:tcPr>
                  <w:tcW w:w="6684" w:type="dxa"/>
                  <w:shd w:val="clear" w:color="auto" w:fill="auto"/>
                  <w:vAlign w:val="center"/>
                </w:tcPr>
                <w:p w14:paraId="1EF23C60">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3</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土壤环境风险防控底线及分区管</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控。</w:t>
                  </w:r>
                </w:p>
                <w:p w14:paraId="61695503">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对照</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池州市</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土壤</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环境管控分区图</w:t>
                  </w:r>
                  <w:r>
                    <w:rPr>
                      <w:rFonts w:hint="eastAsia"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本项目位于</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一般</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管控区。</w:t>
                  </w:r>
                </w:p>
              </w:tc>
              <w:tc>
                <w:tcPr>
                  <w:tcW w:w="4839" w:type="dxa"/>
                  <w:vAlign w:val="center"/>
                </w:tcPr>
                <w:p w14:paraId="20EF4FB9">
                  <w:pPr>
                    <w:pStyle w:val="72"/>
                    <w:spacing w:line="240" w:lineRule="auto"/>
                    <w:ind w:firstLine="420"/>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pP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项目严格落实分区防渗，</w:t>
                  </w:r>
                  <w:r>
                    <w:rPr>
                      <w:rFonts w:hint="eastAsia" w:cs="Times New Roman"/>
                      <w:color w:val="000000" w:themeColor="text1"/>
                      <w:spacing w:val="0"/>
                      <w:w w:val="100"/>
                      <w:position w:val="0"/>
                      <w:sz w:val="21"/>
                      <w:szCs w:val="21"/>
                      <w:lang w:val="en-US" w:eastAsia="zh-CN"/>
                      <w14:textFill>
                        <w14:solidFill>
                          <w14:schemeClr w14:val="tx1"/>
                        </w14:solidFill>
                      </w14:textFill>
                    </w:rPr>
                    <w:t>对土壤和地下水的影响较小</w:t>
                  </w: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w:t>
                  </w:r>
                </w:p>
              </w:tc>
            </w:tr>
            <w:tr w14:paraId="00FAD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016" w:type="dxa"/>
                  <w:vMerge w:val="restart"/>
                  <w:vAlign w:val="center"/>
                </w:tcPr>
                <w:p w14:paraId="7726DF6D">
                  <w:pPr>
                    <w:jc w:val="center"/>
                    <w:rPr>
                      <w:rFonts w:hint="default" w:ascii="Times New Roman" w:hAnsi="Times New Roman" w:cs="Times New Roman"/>
                      <w:color w:val="000000" w:themeColor="text1"/>
                      <w:spacing w:val="0"/>
                      <w:w w:val="100"/>
                      <w:kern w:val="0"/>
                      <w:position w:val="0"/>
                      <w:szCs w:val="21"/>
                      <w14:textFill>
                        <w14:solidFill>
                          <w14:schemeClr w14:val="tx1"/>
                        </w14:solidFill>
                      </w14:textFill>
                    </w:rPr>
                  </w:pPr>
                  <w:r>
                    <w:rPr>
                      <w:rFonts w:hint="default" w:ascii="Times New Roman" w:hAnsi="Times New Roman" w:cs="Times New Roman"/>
                      <w:color w:val="000000" w:themeColor="text1"/>
                      <w:spacing w:val="0"/>
                      <w:w w:val="100"/>
                      <w:kern w:val="0"/>
                      <w:position w:val="0"/>
                      <w:szCs w:val="21"/>
                      <w14:textFill>
                        <w14:solidFill>
                          <w14:schemeClr w14:val="tx1"/>
                        </w14:solidFill>
                      </w14:textFill>
                    </w:rPr>
                    <w:t>资源利用上线</w:t>
                  </w:r>
                </w:p>
              </w:tc>
              <w:tc>
                <w:tcPr>
                  <w:tcW w:w="6684" w:type="dxa"/>
                  <w:shd w:val="clear" w:color="auto" w:fill="auto"/>
                  <w:vAlign w:val="center"/>
                </w:tcPr>
                <w:p w14:paraId="0A78D969">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1）</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煤炭资源利用上线及分区管控</w:t>
                  </w:r>
                </w:p>
                <w:p w14:paraId="41BEB483">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对照</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池州市高污染燃料禁燃区分布图</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，项目位于</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一般管控区</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，具体管控要求：落实《安徽省“十四五”节能减排实施方案》《池州市“十四五”生态环境保护规划》《池州市“十四五”节能减排方案》要求。</w:t>
                  </w:r>
                </w:p>
              </w:tc>
              <w:tc>
                <w:tcPr>
                  <w:tcW w:w="4839" w:type="dxa"/>
                  <w:vAlign w:val="center"/>
                </w:tcPr>
                <w:p w14:paraId="32730104">
                  <w:pPr>
                    <w:pStyle w:val="72"/>
                    <w:spacing w:line="240" w:lineRule="auto"/>
                    <w:ind w:firstLine="420"/>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pP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本项目</w:t>
                  </w:r>
                  <w:r>
                    <w:rPr>
                      <w:rFonts w:hint="default" w:ascii="Times New Roman" w:hAnsi="Times New Roman" w:cs="Times New Roman"/>
                      <w:color w:val="000000" w:themeColor="text1"/>
                      <w:spacing w:val="0"/>
                      <w:w w:val="100"/>
                      <w:position w:val="0"/>
                      <w:sz w:val="21"/>
                      <w:szCs w:val="21"/>
                      <w:lang w:val="en-US" w:eastAsia="zh-CN"/>
                      <w14:textFill>
                        <w14:solidFill>
                          <w14:schemeClr w14:val="tx1"/>
                        </w14:solidFill>
                      </w14:textFill>
                    </w:rPr>
                    <w:t>使用电能</w:t>
                  </w:r>
                  <w:r>
                    <w:rPr>
                      <w:rFonts w:hint="eastAsia" w:cs="Times New Roman"/>
                      <w:color w:val="000000" w:themeColor="text1"/>
                      <w:spacing w:val="0"/>
                      <w:w w:val="100"/>
                      <w:position w:val="0"/>
                      <w:sz w:val="21"/>
                      <w:szCs w:val="21"/>
                      <w:lang w:val="en-US" w:eastAsia="zh-CN"/>
                      <w14:textFill>
                        <w14:solidFill>
                          <w14:schemeClr w14:val="tx1"/>
                        </w14:solidFill>
                      </w14:textFill>
                    </w:rPr>
                    <w:t>、热解产生的热解油和不凝气以及少量柴油，</w:t>
                  </w: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不涉及高污染燃料使用。</w:t>
                  </w:r>
                </w:p>
              </w:tc>
            </w:tr>
            <w:tr w14:paraId="142A6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1016" w:type="dxa"/>
                  <w:vMerge w:val="continue"/>
                  <w:vAlign w:val="center"/>
                </w:tcPr>
                <w:p w14:paraId="0437F3A4">
                  <w:pPr>
                    <w:jc w:val="center"/>
                    <w:rPr>
                      <w:rFonts w:hint="default" w:ascii="Times New Roman" w:hAnsi="Times New Roman" w:cs="Times New Roman"/>
                      <w:color w:val="000000" w:themeColor="text1"/>
                      <w:spacing w:val="0"/>
                      <w:w w:val="100"/>
                      <w:kern w:val="0"/>
                      <w:position w:val="0"/>
                      <w:szCs w:val="21"/>
                      <w14:textFill>
                        <w14:solidFill>
                          <w14:schemeClr w14:val="tx1"/>
                        </w14:solidFill>
                      </w14:textFill>
                    </w:rPr>
                  </w:pPr>
                </w:p>
              </w:tc>
              <w:tc>
                <w:tcPr>
                  <w:tcW w:w="6684" w:type="dxa"/>
                  <w:shd w:val="clear" w:color="auto" w:fill="auto"/>
                  <w:vAlign w:val="center"/>
                </w:tcPr>
                <w:p w14:paraId="349D3F38">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2）水资源利用上线及分区管控</w:t>
                  </w:r>
                </w:p>
                <w:p w14:paraId="1841A8D1">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根据池州市水资源条件和《安徽省“三线一单”》划定成果，池州市水资源管控区个数为4个。具体管控要求：</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落实《安徽省2025年用水总量和用水效率控制指标的函》《池州市水利发展“十四五”规划》《池州市“十四五”节能减排方案》《关于落实池州市“十四五”用水总量和强度双控目标的通知》等要求</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p>
              </w:tc>
              <w:tc>
                <w:tcPr>
                  <w:tcW w:w="4839" w:type="dxa"/>
                  <w:shd w:val="clear" w:color="auto" w:fill="auto"/>
                  <w:vAlign w:val="center"/>
                </w:tcPr>
                <w:p w14:paraId="5ABD9C02">
                  <w:pPr>
                    <w:pStyle w:val="72"/>
                    <w:spacing w:line="240" w:lineRule="auto"/>
                    <w:ind w:firstLine="420" w:firstLineChars="200"/>
                    <w:rPr>
                      <w:rFonts w:hint="default" w:ascii="Times New Roman" w:hAnsi="Times New Roman" w:eastAsia="宋体" w:cs="Times New Roman"/>
                      <w:color w:val="000000" w:themeColor="text1"/>
                      <w:spacing w:val="0"/>
                      <w:w w:val="100"/>
                      <w:kern w:val="0"/>
                      <w:position w:val="0"/>
                      <w:sz w:val="21"/>
                      <w:szCs w:val="21"/>
                      <w:shd w:val="clear" w:color="auto" w:fill="FFFFFF"/>
                      <w:lang w:val="en-US" w:eastAsia="zh-CN" w:bidi="ar-SA"/>
                      <w14:textFill>
                        <w14:solidFill>
                          <w14:schemeClr w14:val="tx1"/>
                        </w14:solidFill>
                      </w14:textFill>
                    </w:rPr>
                  </w:pP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本项目总体使用新鲜用水量较少，对区域水资源影响较小，满足管控要求。</w:t>
                  </w:r>
                </w:p>
              </w:tc>
            </w:tr>
            <w:tr w14:paraId="55C5C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016" w:type="dxa"/>
                  <w:vMerge w:val="continue"/>
                  <w:vAlign w:val="center"/>
                </w:tcPr>
                <w:p w14:paraId="42FE6EB0">
                  <w:pPr>
                    <w:jc w:val="center"/>
                    <w:rPr>
                      <w:rFonts w:hint="default" w:ascii="Times New Roman" w:hAnsi="Times New Roman" w:cs="Times New Roman"/>
                      <w:color w:val="000000" w:themeColor="text1"/>
                      <w:spacing w:val="0"/>
                      <w:w w:val="100"/>
                      <w:kern w:val="0"/>
                      <w:position w:val="0"/>
                      <w:szCs w:val="21"/>
                      <w14:textFill>
                        <w14:solidFill>
                          <w14:schemeClr w14:val="tx1"/>
                        </w14:solidFill>
                      </w14:textFill>
                    </w:rPr>
                  </w:pPr>
                </w:p>
              </w:tc>
              <w:tc>
                <w:tcPr>
                  <w:tcW w:w="6684" w:type="dxa"/>
                  <w:shd w:val="clear" w:color="auto" w:fill="auto"/>
                  <w:vAlign w:val="center"/>
                </w:tcPr>
                <w:p w14:paraId="379024CC">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3）土地资源利用上线及分区管控</w:t>
                  </w:r>
                </w:p>
                <w:p w14:paraId="09666D2E">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池州市1个重点管控区，4个一般管控区</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落实《池州市国土空间总体规划》</w:t>
                  </w:r>
                  <w:r>
                    <w:rPr>
                      <w:rFonts w:hint="eastAsia"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2021-2035年）等要求。</w:t>
                  </w:r>
                </w:p>
              </w:tc>
              <w:tc>
                <w:tcPr>
                  <w:tcW w:w="4839" w:type="dxa"/>
                  <w:vAlign w:val="center"/>
                </w:tcPr>
                <w:p w14:paraId="46AC29A0">
                  <w:pPr>
                    <w:pStyle w:val="72"/>
                    <w:spacing w:line="240" w:lineRule="auto"/>
                    <w:ind w:firstLine="420"/>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pP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本项目符合</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《池州市国土空间总体规划》</w:t>
                  </w:r>
                  <w:r>
                    <w:rPr>
                      <w:rFonts w:hint="eastAsia"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2021-2035年）</w:t>
                  </w: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w:t>
                  </w:r>
                </w:p>
              </w:tc>
            </w:tr>
            <w:tr w14:paraId="0540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016" w:type="dxa"/>
                  <w:vMerge w:val="continue"/>
                  <w:vAlign w:val="center"/>
                </w:tcPr>
                <w:p w14:paraId="1ED3FC34">
                  <w:pPr>
                    <w:jc w:val="center"/>
                    <w:rPr>
                      <w:rFonts w:hint="default" w:ascii="Times New Roman" w:hAnsi="Times New Roman" w:cs="Times New Roman"/>
                      <w:color w:val="000000" w:themeColor="text1"/>
                      <w:spacing w:val="0"/>
                      <w:w w:val="100"/>
                      <w:kern w:val="0"/>
                      <w:position w:val="0"/>
                      <w:szCs w:val="21"/>
                      <w14:textFill>
                        <w14:solidFill>
                          <w14:schemeClr w14:val="tx1"/>
                        </w14:solidFill>
                      </w14:textFill>
                    </w:rPr>
                  </w:pPr>
                </w:p>
              </w:tc>
              <w:tc>
                <w:tcPr>
                  <w:tcW w:w="6684" w:type="dxa"/>
                  <w:shd w:val="clear" w:color="auto" w:fill="auto"/>
                  <w:vAlign w:val="center"/>
                </w:tcPr>
                <w:p w14:paraId="63910095">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4）岸线资源利用上线及分区管控</w:t>
                  </w:r>
                </w:p>
                <w:p w14:paraId="21B47D9D">
                  <w:pPr>
                    <w:keepNext w:val="0"/>
                    <w:keepLines w:val="0"/>
                    <w:pageBreakBefore w:val="0"/>
                    <w:widowControl w:val="0"/>
                    <w:kinsoku/>
                    <w:wordWrap/>
                    <w:overflowPunct/>
                    <w:topLinePunct/>
                    <w:autoSpaceDE/>
                    <w:autoSpaceDN/>
                    <w:bidi w:val="0"/>
                    <w:adjustRightInd w:val="0"/>
                    <w:snapToGrid w:val="0"/>
                    <w:spacing w:line="240" w:lineRule="auto"/>
                    <w:ind w:firstLine="420" w:firstLineChars="200"/>
                    <w:jc w:val="both"/>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池州市全市共划定长江岸线长度189km，其中优先保护岸线116.14km，重点管控岸线66.64km，一般管控岸线6.22km。</w:t>
                  </w:r>
                </w:p>
              </w:tc>
              <w:tc>
                <w:tcPr>
                  <w:tcW w:w="4839" w:type="dxa"/>
                  <w:vAlign w:val="center"/>
                </w:tcPr>
                <w:p w14:paraId="681B956D">
                  <w:pPr>
                    <w:pStyle w:val="72"/>
                    <w:spacing w:line="240" w:lineRule="auto"/>
                    <w:ind w:firstLine="420"/>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pP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本项目距离长江</w:t>
                  </w:r>
                  <w:r>
                    <w:rPr>
                      <w:rFonts w:hint="eastAsia" w:cs="Times New Roman"/>
                      <w:color w:val="000000" w:themeColor="text1"/>
                      <w:spacing w:val="0"/>
                      <w:w w:val="100"/>
                      <w:position w:val="0"/>
                      <w:sz w:val="21"/>
                      <w:szCs w:val="21"/>
                      <w:lang w:val="en-US" w:eastAsia="zh-CN"/>
                      <w14:textFill>
                        <w14:solidFill>
                          <w14:schemeClr w14:val="tx1"/>
                        </w14:solidFill>
                      </w14:textFill>
                    </w:rPr>
                    <w:t>岸线</w:t>
                  </w:r>
                  <w:r>
                    <w:rPr>
                      <w:rFonts w:hint="eastAsia" w:cs="Times New Roman"/>
                      <w:caps w:val="0"/>
                      <w:smallCaps w:val="0"/>
                      <w:color w:val="auto"/>
                      <w:spacing w:val="0"/>
                      <w:w w:val="100"/>
                      <w:position w:val="0"/>
                      <w:sz w:val="21"/>
                      <w:szCs w:val="21"/>
                      <w:highlight w:val="none"/>
                      <w:lang w:val="en-US" w:eastAsia="zh-CN"/>
                    </w:rPr>
                    <w:t>3.8km</w:t>
                  </w:r>
                  <w:r>
                    <w:rPr>
                      <w:rFonts w:hint="default" w:ascii="Times New Roman" w:hAnsi="Times New Roman" w:eastAsia="宋体" w:cs="Times New Roman"/>
                      <w:caps w:val="0"/>
                      <w:smallCaps w:val="0"/>
                      <w:color w:val="auto"/>
                      <w:spacing w:val="0"/>
                      <w:w w:val="100"/>
                      <w:position w:val="0"/>
                      <w:sz w:val="21"/>
                      <w:szCs w:val="21"/>
                      <w:highlight w:val="none"/>
                    </w:rPr>
                    <w:t>，</w:t>
                  </w:r>
                  <w:r>
                    <w:rPr>
                      <w:rFonts w:hint="eastAsia" w:cs="Times New Roman"/>
                      <w:caps w:val="0"/>
                      <w:smallCaps w:val="0"/>
                      <w:color w:val="auto"/>
                      <w:spacing w:val="0"/>
                      <w:w w:val="100"/>
                      <w:position w:val="0"/>
                      <w:sz w:val="21"/>
                      <w:szCs w:val="21"/>
                      <w:highlight w:val="none"/>
                      <w:lang w:val="en-US" w:eastAsia="zh-CN"/>
                    </w:rPr>
                    <w:t>距离九华河岸线距离1.14km</w:t>
                  </w: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w:t>
                  </w:r>
                </w:p>
              </w:tc>
            </w:tr>
            <w:tr w14:paraId="6C0C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016" w:type="dxa"/>
                  <w:vAlign w:val="center"/>
                </w:tcPr>
                <w:p w14:paraId="7B13F33E">
                  <w:pPr>
                    <w:jc w:val="center"/>
                    <w:rPr>
                      <w:rFonts w:hint="default" w:ascii="Times New Roman" w:hAnsi="Times New Roman" w:cs="Times New Roman"/>
                      <w:color w:val="000000" w:themeColor="text1"/>
                      <w:spacing w:val="0"/>
                      <w:w w:val="100"/>
                      <w:kern w:val="0"/>
                      <w:position w:val="0"/>
                      <w:szCs w:val="21"/>
                      <w:lang w:val="zh-CN"/>
                      <w14:textFill>
                        <w14:solidFill>
                          <w14:schemeClr w14:val="tx1"/>
                        </w14:solidFill>
                      </w14:textFill>
                    </w:rPr>
                  </w:pPr>
                  <w:r>
                    <w:rPr>
                      <w:rFonts w:hint="default" w:ascii="Times New Roman" w:hAnsi="Times New Roman" w:cs="Times New Roman"/>
                      <w:color w:val="000000" w:themeColor="text1"/>
                      <w:spacing w:val="0"/>
                      <w:w w:val="100"/>
                      <w:kern w:val="0"/>
                      <w:position w:val="0"/>
                      <w:szCs w:val="21"/>
                      <w14:textFill>
                        <w14:solidFill>
                          <w14:schemeClr w14:val="tx1"/>
                        </w14:solidFill>
                      </w14:textFill>
                    </w:rPr>
                    <w:t>环境准入负面清单</w:t>
                  </w:r>
                </w:p>
              </w:tc>
              <w:tc>
                <w:tcPr>
                  <w:tcW w:w="11523" w:type="dxa"/>
                  <w:gridSpan w:val="2"/>
                  <w:vAlign w:val="center"/>
                </w:tcPr>
                <w:p w14:paraId="2527D78A">
                  <w:pPr>
                    <w:pStyle w:val="72"/>
                    <w:keepNext w:val="0"/>
                    <w:keepLines w:val="0"/>
                    <w:pageBreakBefore w:val="0"/>
                    <w:widowControl w:val="0"/>
                    <w:numPr>
                      <w:ilvl w:val="0"/>
                      <w:numId w:val="3"/>
                    </w:numPr>
                    <w:kinsoku/>
                    <w:wordWrap/>
                    <w:overflowPunct/>
                    <w:autoSpaceDE/>
                    <w:autoSpaceDN/>
                    <w:bidi w:val="0"/>
                    <w:adjustRightInd w:val="0"/>
                    <w:snapToGrid w:val="0"/>
                    <w:spacing w:line="240" w:lineRule="auto"/>
                    <w:ind w:firstLine="424"/>
                    <w:jc w:val="both"/>
                    <w:textAlignment w:val="auto"/>
                    <w:rPr>
                      <w:rFonts w:hint="eastAsia" w:ascii="Times New Roman" w:hAnsi="Times New Roman" w:eastAsia="宋体" w:cs="Times New Roman"/>
                      <w:caps w:val="0"/>
                      <w:color w:val="000000" w:themeColor="text1"/>
                      <w:spacing w:val="0"/>
                      <w:w w:val="100"/>
                      <w:positio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对照</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集中区产业准入负面清单、</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《关于发布长江经济带发展负面清单指南</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试行）的通知》</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推动长江经济带发展领导小组办公室文件第89号）、《关于印发安徽省长江经济带发展负面清单实施细则</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试行）的通知》</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皖长江办</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〔2019〕</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18号），本项目与相关负面清单的符合性分析见表</w:t>
                  </w:r>
                  <w:r>
                    <w:rPr>
                      <w:rFonts w:hint="eastAsia" w:ascii="Times New Roman" w:hAnsi="Times New Roman" w:eastAsia="宋体" w:cs="Times New Roman"/>
                      <w:caps w:val="0"/>
                      <w:color w:val="000000" w:themeColor="text1"/>
                      <w:spacing w:val="0"/>
                      <w:w w:val="100"/>
                      <w:position w:val="0"/>
                      <w:sz w:val="21"/>
                      <w:szCs w:val="21"/>
                      <w:lang w:val="en-US" w:eastAsia="zh-CN"/>
                      <w14:textFill>
                        <w14:solidFill>
                          <w14:schemeClr w14:val="tx1"/>
                        </w14:solidFill>
                      </w14:textFill>
                    </w:rPr>
                    <w:t>1-</w:t>
                  </w:r>
                  <w:r>
                    <w:rPr>
                      <w:rFonts w:hint="eastAsia" w:cs="Times New Roman"/>
                      <w:caps w:val="0"/>
                      <w:color w:val="000000" w:themeColor="text1"/>
                      <w:spacing w:val="0"/>
                      <w:w w:val="100"/>
                      <w:position w:val="0"/>
                      <w:sz w:val="21"/>
                      <w:szCs w:val="21"/>
                      <w:lang w:val="en-US" w:eastAsia="zh-CN"/>
                      <w14:textFill>
                        <w14:solidFill>
                          <w14:schemeClr w14:val="tx1"/>
                        </w14:solidFill>
                      </w14:textFill>
                    </w:rPr>
                    <w:t>6</w:t>
                  </w:r>
                  <w:r>
                    <w:rPr>
                      <w:rFonts w:hint="eastAsia" w:ascii="Times New Roman" w:hAnsi="Times New Roman" w:eastAsia="宋体" w:cs="Times New Roman"/>
                      <w:caps w:val="0"/>
                      <w:color w:val="000000" w:themeColor="text1"/>
                      <w:spacing w:val="0"/>
                      <w:w w:val="100"/>
                      <w:position w:val="0"/>
                      <w:sz w:val="21"/>
                      <w:szCs w:val="21"/>
                      <w:lang w:val="en-US" w:eastAsia="zh-CN"/>
                      <w14:textFill>
                        <w14:solidFill>
                          <w14:schemeClr w14:val="tx1"/>
                        </w14:solidFill>
                      </w14:textFill>
                    </w:rPr>
                    <w:t>。</w:t>
                  </w:r>
                </w:p>
                <w:p w14:paraId="5DFC5716">
                  <w:pPr>
                    <w:pStyle w:val="72"/>
                    <w:spacing w:line="240" w:lineRule="auto"/>
                    <w:ind w:firstLine="420"/>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pPr>
                  <w:r>
                    <w:rPr>
                      <w:rFonts w:hint="eastAsia"/>
                      <w:caps w:val="0"/>
                      <w:color w:val="000000" w:themeColor="text1"/>
                      <w:spacing w:val="0"/>
                      <w:w w:val="100"/>
                      <w:position w:val="0"/>
                      <w:sz w:val="21"/>
                      <w:szCs w:val="21"/>
                      <w:lang w:val="en-US" w:eastAsia="zh-CN"/>
                      <w14:textFill>
                        <w14:solidFill>
                          <w14:schemeClr w14:val="tx1"/>
                        </w14:solidFill>
                      </w14:textFill>
                    </w:rPr>
                    <w:t>（2）</w:t>
                  </w:r>
                  <w:r>
                    <w:rPr>
                      <w:caps w:val="0"/>
                      <w:color w:val="000000" w:themeColor="text1"/>
                      <w:spacing w:val="0"/>
                      <w:w w:val="100"/>
                      <w:position w:val="0"/>
                      <w:sz w:val="21"/>
                      <w:szCs w:val="21"/>
                      <w:lang w:val="en-US"/>
                      <w14:textFill>
                        <w14:solidFill>
                          <w14:schemeClr w14:val="tx1"/>
                        </w14:solidFill>
                      </w14:textFill>
                    </w:rPr>
                    <w:t>经查询</w:t>
                  </w:r>
                  <w:r>
                    <w:rPr>
                      <w:caps w:val="0"/>
                      <w:color w:val="000000" w:themeColor="text1"/>
                      <w:spacing w:val="0"/>
                      <w:w w:val="100"/>
                      <w:position w:val="0"/>
                      <w:sz w:val="21"/>
                      <w:szCs w:val="21"/>
                      <w:u w:val="single"/>
                      <w:lang w:val="en-US"/>
                      <w14:textFill>
                        <w14:solidFill>
                          <w14:schemeClr w14:val="tx1"/>
                        </w14:solidFill>
                      </w14:textFill>
                    </w:rPr>
                    <w:t>安徽省</w:t>
                  </w:r>
                  <w:r>
                    <w:rPr>
                      <w:rFonts w:hint="eastAsia"/>
                      <w:caps w:val="0"/>
                      <w:color w:val="000000" w:themeColor="text1"/>
                      <w:spacing w:val="0"/>
                      <w:w w:val="100"/>
                      <w:position w:val="0"/>
                      <w:sz w:val="21"/>
                      <w:szCs w:val="21"/>
                      <w:u w:val="single"/>
                      <w:lang w:val="en-US" w:eastAsia="zh-CN"/>
                      <w14:textFill>
                        <w14:solidFill>
                          <w14:schemeClr w14:val="tx1"/>
                        </w14:solidFill>
                      </w14:textFill>
                    </w:rPr>
                    <w:t>“</w:t>
                  </w:r>
                  <w:r>
                    <w:rPr>
                      <w:caps w:val="0"/>
                      <w:color w:val="000000" w:themeColor="text1"/>
                      <w:spacing w:val="0"/>
                      <w:w w:val="100"/>
                      <w:position w:val="0"/>
                      <w:sz w:val="21"/>
                      <w:szCs w:val="21"/>
                      <w:u w:val="single"/>
                      <w:lang w:val="en-US"/>
                      <w14:textFill>
                        <w14:solidFill>
                          <w14:schemeClr w14:val="tx1"/>
                        </w14:solidFill>
                      </w14:textFill>
                    </w:rPr>
                    <w:t>三线一单</w:t>
                  </w:r>
                  <w:r>
                    <w:rPr>
                      <w:rFonts w:hint="eastAsia"/>
                      <w:caps w:val="0"/>
                      <w:color w:val="000000" w:themeColor="text1"/>
                      <w:spacing w:val="0"/>
                      <w:w w:val="100"/>
                      <w:position w:val="0"/>
                      <w:sz w:val="21"/>
                      <w:szCs w:val="21"/>
                      <w:u w:val="single"/>
                      <w:lang w:val="en-US" w:eastAsia="zh-CN"/>
                      <w14:textFill>
                        <w14:solidFill>
                          <w14:schemeClr w14:val="tx1"/>
                        </w14:solidFill>
                      </w14:textFill>
                    </w:rPr>
                    <w:t>”</w:t>
                  </w:r>
                  <w:r>
                    <w:rPr>
                      <w:caps w:val="0"/>
                      <w:color w:val="000000" w:themeColor="text1"/>
                      <w:spacing w:val="0"/>
                      <w:w w:val="100"/>
                      <w:position w:val="0"/>
                      <w:sz w:val="21"/>
                      <w:szCs w:val="21"/>
                      <w:u w:val="single"/>
                      <w:lang w:val="en-US"/>
                      <w14:textFill>
                        <w14:solidFill>
                          <w14:schemeClr w14:val="tx1"/>
                        </w14:solidFill>
                      </w14:textFill>
                    </w:rPr>
                    <w:t>公众服务平台</w:t>
                  </w:r>
                  <w:r>
                    <w:rPr>
                      <w:rFonts w:hint="eastAsia"/>
                      <w:caps w:val="0"/>
                      <w:color w:val="000000" w:themeColor="text1"/>
                      <w:spacing w:val="0"/>
                      <w:w w:val="100"/>
                      <w:position w:val="0"/>
                      <w:sz w:val="21"/>
                      <w:szCs w:val="21"/>
                      <w:u w:val="single"/>
                      <w:lang w:val="en-US" w:eastAsia="zh-CN"/>
                      <w14:textFill>
                        <w14:solidFill>
                          <w14:schemeClr w14:val="tx1"/>
                        </w14:solidFill>
                      </w14:textFill>
                    </w:rPr>
                    <w:t>（</w:t>
                  </w:r>
                  <w:r>
                    <w:rPr>
                      <w:caps w:val="0"/>
                      <w:color w:val="000000" w:themeColor="text1"/>
                      <w:spacing w:val="0"/>
                      <w:w w:val="100"/>
                      <w:position w:val="0"/>
                      <w:sz w:val="21"/>
                      <w:szCs w:val="21"/>
                      <w:u w:val="single"/>
                      <w:lang w:val="en-US"/>
                      <w14:textFill>
                        <w14:solidFill>
                          <w14:schemeClr w14:val="tx1"/>
                        </w14:solidFill>
                      </w14:textFill>
                    </w:rPr>
                    <w:t>http</w:t>
                  </w:r>
                  <w:r>
                    <w:rPr>
                      <w:rFonts w:hint="eastAsia"/>
                      <w:caps w:val="0"/>
                      <w:color w:val="000000" w:themeColor="text1"/>
                      <w:spacing w:val="0"/>
                      <w:w w:val="100"/>
                      <w:position w:val="0"/>
                      <w:sz w:val="21"/>
                      <w:szCs w:val="21"/>
                      <w:u w:val="single"/>
                      <w:lang w:val="en-US"/>
                      <w14:textFill>
                        <w14:solidFill>
                          <w14:schemeClr w14:val="tx1"/>
                        </w14:solidFill>
                      </w14:textFill>
                    </w:rPr>
                    <w:t>：</w:t>
                  </w:r>
                  <w:r>
                    <w:rPr>
                      <w:caps w:val="0"/>
                      <w:color w:val="000000" w:themeColor="text1"/>
                      <w:spacing w:val="0"/>
                      <w:w w:val="100"/>
                      <w:position w:val="0"/>
                      <w:sz w:val="21"/>
                      <w:szCs w:val="21"/>
                      <w:u w:val="single"/>
                      <w:lang w:val="en-US"/>
                      <w14:textFill>
                        <w14:solidFill>
                          <w14:schemeClr w14:val="tx1"/>
                        </w14:solidFill>
                      </w14:textFill>
                    </w:rPr>
                    <w:t>//39.145.8.156</w:t>
                  </w:r>
                  <w:r>
                    <w:rPr>
                      <w:rFonts w:hint="eastAsia"/>
                      <w:caps w:val="0"/>
                      <w:color w:val="000000" w:themeColor="text1"/>
                      <w:spacing w:val="0"/>
                      <w:w w:val="100"/>
                      <w:position w:val="0"/>
                      <w:sz w:val="21"/>
                      <w:szCs w:val="21"/>
                      <w:u w:val="single"/>
                      <w:lang w:val="en-US"/>
                      <w14:textFill>
                        <w14:solidFill>
                          <w14:schemeClr w14:val="tx1"/>
                        </w14:solidFill>
                      </w14:textFill>
                    </w:rPr>
                    <w:t>：</w:t>
                  </w:r>
                  <w:r>
                    <w:rPr>
                      <w:caps w:val="0"/>
                      <w:color w:val="000000" w:themeColor="text1"/>
                      <w:spacing w:val="0"/>
                      <w:w w:val="100"/>
                      <w:position w:val="0"/>
                      <w:sz w:val="21"/>
                      <w:szCs w:val="21"/>
                      <w:u w:val="single"/>
                      <w:lang w:val="en-US"/>
                      <w14:textFill>
                        <w14:solidFill>
                          <w14:schemeClr w14:val="tx1"/>
                        </w14:solidFill>
                      </w14:textFill>
                    </w:rPr>
                    <w:t>1509/ah/public/#/home）</w:t>
                  </w:r>
                  <w:r>
                    <w:rPr>
                      <w:rFonts w:hint="eastAsia"/>
                      <w:caps w:val="0"/>
                      <w:color w:val="000000" w:themeColor="text1"/>
                      <w:spacing w:val="0"/>
                      <w:w w:val="100"/>
                      <w:position w:val="0"/>
                      <w:sz w:val="21"/>
                      <w:szCs w:val="21"/>
                      <w:lang w:val="en-US" w:eastAsia="zh-CN"/>
                      <w14:textFill>
                        <w14:solidFill>
                          <w14:schemeClr w14:val="tx1"/>
                        </w14:solidFill>
                      </w14:textFill>
                    </w:rPr>
                    <w:t>，</w:t>
                  </w:r>
                  <w:r>
                    <w:rPr>
                      <w:caps w:val="0"/>
                      <w:color w:val="000000" w:themeColor="text1"/>
                      <w:spacing w:val="0"/>
                      <w:w w:val="100"/>
                      <w:position w:val="0"/>
                      <w:sz w:val="21"/>
                      <w:szCs w:val="21"/>
                      <w:lang w:val="en-US"/>
                      <w14:textFill>
                        <w14:solidFill>
                          <w14:schemeClr w14:val="tx1"/>
                        </w14:solidFill>
                      </w14:textFill>
                    </w:rPr>
                    <w:t>项目所在区域属于</w:t>
                  </w:r>
                  <w:r>
                    <w:rPr>
                      <w:rFonts w:hint="eastAsia"/>
                      <w:caps w:val="0"/>
                      <w:color w:val="000000" w:themeColor="text1"/>
                      <w:spacing w:val="0"/>
                      <w:w w:val="100"/>
                      <w:position w:val="0"/>
                      <w:sz w:val="21"/>
                      <w:szCs w:val="21"/>
                      <w:lang w:val="en-US" w:eastAsia="zh-CN"/>
                      <w14:textFill>
                        <w14:solidFill>
                          <w14:schemeClr w14:val="tx1"/>
                        </w14:solidFill>
                      </w14:textFill>
                    </w:rPr>
                    <w:t>重点</w:t>
                  </w:r>
                  <w:r>
                    <w:rPr>
                      <w:caps w:val="0"/>
                      <w:color w:val="000000" w:themeColor="text1"/>
                      <w:spacing w:val="0"/>
                      <w:w w:val="100"/>
                      <w:position w:val="0"/>
                      <w:sz w:val="21"/>
                      <w:szCs w:val="21"/>
                      <w:lang w:val="en-US"/>
                      <w14:textFill>
                        <w14:solidFill>
                          <w14:schemeClr w14:val="tx1"/>
                        </w14:solidFill>
                      </w14:textFill>
                    </w:rPr>
                    <w:t>管控单元</w:t>
                  </w:r>
                  <w:r>
                    <w:rPr>
                      <w:rFonts w:hint="eastAsia"/>
                      <w:caps w:val="0"/>
                      <w:color w:val="000000" w:themeColor="text1"/>
                      <w:spacing w:val="0"/>
                      <w:w w:val="100"/>
                      <w:position w:val="0"/>
                      <w:sz w:val="21"/>
                      <w:szCs w:val="21"/>
                      <w:lang w:val="en-US" w:eastAsia="zh-CN"/>
                      <w14:textFill>
                        <w14:solidFill>
                          <w14:schemeClr w14:val="tx1"/>
                        </w14:solidFill>
                      </w14:textFill>
                    </w:rPr>
                    <w:t>（</w:t>
                  </w:r>
                  <w:r>
                    <w:rPr>
                      <w:caps w:val="0"/>
                      <w:color w:val="000000" w:themeColor="text1"/>
                      <w:spacing w:val="0"/>
                      <w:w w:val="100"/>
                      <w:position w:val="0"/>
                      <w:sz w:val="21"/>
                      <w:szCs w:val="21"/>
                      <w:lang w:val="en-US"/>
                      <w14:textFill>
                        <w14:solidFill>
                          <w14:schemeClr w14:val="tx1"/>
                        </w14:solidFill>
                      </w14:textFill>
                    </w:rPr>
                    <w:t>环境管控单元编码：</w:t>
                  </w:r>
                  <w:r>
                    <w:rPr>
                      <w:rFonts w:hint="default" w:ascii="Times New Roman" w:hAnsi="Times New Roman" w:cs="Times New Roman"/>
                      <w:color w:val="000000" w:themeColor="text1"/>
                      <w:spacing w:val="0"/>
                      <w:w w:val="100"/>
                      <w:position w:val="0"/>
                      <w:sz w:val="21"/>
                      <w:szCs w:val="21"/>
                      <w:lang w:val="en-US"/>
                      <w14:textFill>
                        <w14:solidFill>
                          <w14:schemeClr w14:val="tx1"/>
                        </w14:solidFill>
                      </w14:textFill>
                    </w:rPr>
                    <w:t>ZH34170220006</w:t>
                  </w:r>
                  <w:r>
                    <w:rPr>
                      <w:caps w:val="0"/>
                      <w:color w:val="000000" w:themeColor="text1"/>
                      <w:spacing w:val="0"/>
                      <w:w w:val="100"/>
                      <w:position w:val="0"/>
                      <w:sz w:val="21"/>
                      <w:szCs w:val="21"/>
                      <w:lang w:val="en-US"/>
                      <w14:textFill>
                        <w14:solidFill>
                          <w14:schemeClr w14:val="tx1"/>
                        </w14:solidFill>
                      </w14:textFill>
                    </w:rPr>
                    <w:t>）</w:t>
                  </w:r>
                  <w:r>
                    <w:rPr>
                      <w:rFonts w:hint="eastAsia"/>
                      <w:caps w:val="0"/>
                      <w:color w:val="000000" w:themeColor="text1"/>
                      <w:spacing w:val="0"/>
                      <w:w w:val="100"/>
                      <w:position w:val="0"/>
                      <w:sz w:val="21"/>
                      <w:szCs w:val="21"/>
                      <w:lang w:val="en-US" w:eastAsia="zh-CN"/>
                      <w14:textFill>
                        <w14:solidFill>
                          <w14:schemeClr w14:val="tx1"/>
                        </w14:solidFill>
                      </w14:textFill>
                    </w:rPr>
                    <w:t>，符合重点管控单元“空间布局约束”、“</w:t>
                  </w:r>
                  <w:r>
                    <w:rPr>
                      <w:color w:val="000000" w:themeColor="text1"/>
                      <w:spacing w:val="0"/>
                      <w:w w:val="100"/>
                      <w:sz w:val="21"/>
                      <w:szCs w:val="21"/>
                      <w14:textFill>
                        <w14:solidFill>
                          <w14:schemeClr w14:val="tx1"/>
                        </w14:solidFill>
                      </w14:textFill>
                    </w:rPr>
                    <w:t>污染物排放管控</w:t>
                  </w:r>
                  <w:r>
                    <w:rPr>
                      <w:rFonts w:hint="eastAsia"/>
                      <w:caps w:val="0"/>
                      <w:color w:val="000000" w:themeColor="text1"/>
                      <w:spacing w:val="0"/>
                      <w:w w:val="100"/>
                      <w:position w:val="0"/>
                      <w:sz w:val="21"/>
                      <w:szCs w:val="21"/>
                      <w:lang w:val="en-US" w:eastAsia="zh-CN"/>
                      <w14:textFill>
                        <w14:solidFill>
                          <w14:schemeClr w14:val="tx1"/>
                        </w14:solidFill>
                      </w14:textFill>
                    </w:rPr>
                    <w:t>”、“</w:t>
                  </w:r>
                  <w:r>
                    <w:rPr>
                      <w:color w:val="000000" w:themeColor="text1"/>
                      <w:spacing w:val="0"/>
                      <w:w w:val="100"/>
                      <w:sz w:val="21"/>
                      <w:szCs w:val="21"/>
                      <w14:textFill>
                        <w14:solidFill>
                          <w14:schemeClr w14:val="tx1"/>
                        </w14:solidFill>
                      </w14:textFill>
                    </w:rPr>
                    <w:t>资源开发效率要求</w:t>
                  </w:r>
                  <w:r>
                    <w:rPr>
                      <w:rFonts w:hint="eastAsia"/>
                      <w:caps w:val="0"/>
                      <w:color w:val="000000" w:themeColor="text1"/>
                      <w:spacing w:val="0"/>
                      <w:w w:val="100"/>
                      <w:position w:val="0"/>
                      <w:sz w:val="21"/>
                      <w:szCs w:val="21"/>
                      <w:lang w:val="en-US" w:eastAsia="zh-CN"/>
                      <w14:textFill>
                        <w14:solidFill>
                          <w14:schemeClr w14:val="tx1"/>
                        </w14:solidFill>
                      </w14:textFill>
                    </w:rPr>
                    <w:t>”等管控内容。</w:t>
                  </w:r>
                </w:p>
              </w:tc>
            </w:tr>
          </w:tbl>
          <w:p w14:paraId="58327123">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pPr>
          </w:p>
          <w:p w14:paraId="771637C8">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pPr>
          </w:p>
          <w:p w14:paraId="437CE07D">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pPr>
          </w:p>
          <w:p w14:paraId="6F4C59C8">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宋体" w:cs="Times New Roman"/>
                <w:b/>
                <w:bCs/>
                <w:caps w:val="0"/>
                <w:color w:val="000000" w:themeColor="text1"/>
                <w:spacing w:val="0"/>
                <w:w w:val="100"/>
                <w:kern w:val="2"/>
                <w:position w:val="0"/>
                <w:sz w:val="21"/>
                <w:szCs w:val="21"/>
                <w:lang w:val="en-US" w:eastAsia="zh-CN"/>
                <w14:textFill>
                  <w14:solidFill>
                    <w14:schemeClr w14:val="tx1"/>
                  </w14:solidFill>
                </w14:textFill>
              </w:rPr>
            </w:pPr>
            <w:r>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表</w:t>
            </w:r>
            <w:r>
              <w:rPr>
                <w:rFonts w:hint="eastAsia"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1-</w:t>
            </w:r>
            <w:r>
              <w:rPr>
                <w:rFonts w:hint="eastAsia" w:cs="Times New Roman"/>
                <w:b/>
                <w:bCs/>
                <w:caps w:val="0"/>
                <w:color w:val="000000" w:themeColor="text1"/>
                <w:spacing w:val="0"/>
                <w:w w:val="100"/>
                <w:kern w:val="2"/>
                <w:position w:val="0"/>
                <w:sz w:val="21"/>
                <w:szCs w:val="21"/>
                <w:lang w:val="en-US" w:eastAsia="zh-CN"/>
                <w14:textFill>
                  <w14:solidFill>
                    <w14:schemeClr w14:val="tx1"/>
                  </w14:solidFill>
                </w14:textFill>
              </w:rPr>
              <w:t>6</w:t>
            </w:r>
            <w:r>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 xml:space="preserve">  </w:t>
            </w:r>
            <w:r>
              <w:rPr>
                <w:rFonts w:hint="eastAsia" w:cs="Times New Roman"/>
                <w:b/>
                <w:bCs/>
                <w:caps w:val="0"/>
                <w:color w:val="000000" w:themeColor="text1"/>
                <w:spacing w:val="0"/>
                <w:w w:val="100"/>
                <w:kern w:val="2"/>
                <w:position w:val="0"/>
                <w:sz w:val="21"/>
                <w:szCs w:val="21"/>
                <w:lang w:val="en-US" w:eastAsia="zh-CN"/>
                <w14:textFill>
                  <w14:solidFill>
                    <w14:schemeClr w14:val="tx1"/>
                  </w14:solidFill>
                </w14:textFill>
              </w:rPr>
              <w:t>环境准入</w:t>
            </w:r>
            <w:r>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清单</w:t>
            </w:r>
            <w:r>
              <w:rPr>
                <w:rFonts w:hint="eastAsia" w:cs="Times New Roman"/>
                <w:b/>
                <w:bCs/>
                <w:caps w:val="0"/>
                <w:color w:val="000000" w:themeColor="text1"/>
                <w:spacing w:val="0"/>
                <w:w w:val="100"/>
                <w:kern w:val="2"/>
                <w:position w:val="0"/>
                <w:sz w:val="21"/>
                <w:szCs w:val="21"/>
                <w:lang w:val="en-US" w:eastAsia="zh-CN"/>
                <w14:textFill>
                  <w14:solidFill>
                    <w14:schemeClr w14:val="tx1"/>
                  </w14:solidFill>
                </w14:textFill>
              </w:rPr>
              <w:t>符合性</w:t>
            </w:r>
            <w:r>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分析</w:t>
            </w:r>
          </w:p>
          <w:tbl>
            <w:tblPr>
              <w:tblStyle w:val="27"/>
              <w:tblW w:w="12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399"/>
              <w:gridCol w:w="6890"/>
              <w:gridCol w:w="2759"/>
              <w:gridCol w:w="889"/>
            </w:tblGrid>
            <w:tr w14:paraId="7C138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696" w:type="dxa"/>
                  <w:noWrap w:val="0"/>
                  <w:vAlign w:val="center"/>
                </w:tcPr>
                <w:p w14:paraId="00F3FD4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val="0"/>
                      <w:bCs w:val="0"/>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t>序号</w:t>
                  </w:r>
                </w:p>
              </w:tc>
              <w:tc>
                <w:tcPr>
                  <w:tcW w:w="8289" w:type="dxa"/>
                  <w:gridSpan w:val="2"/>
                  <w:noWrap w:val="0"/>
                  <w:vAlign w:val="center"/>
                </w:tcPr>
                <w:p w14:paraId="01E57F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pacing w:val="0"/>
                      <w:w w:val="100"/>
                      <w:kern w:val="0"/>
                      <w:sz w:val="21"/>
                      <w:szCs w:val="21"/>
                      <w:lang w:val="en-US" w:eastAsia="zh-CN" w:bidi="ar"/>
                      <w14:textFill>
                        <w14:solidFill>
                          <w14:schemeClr w14:val="tx1"/>
                        </w14:solidFill>
                      </w14:textFill>
                    </w:rPr>
                    <w:t>政策文件要求</w:t>
                  </w:r>
                </w:p>
              </w:tc>
              <w:tc>
                <w:tcPr>
                  <w:tcW w:w="2759" w:type="dxa"/>
                  <w:noWrap w:val="0"/>
                  <w:vAlign w:val="center"/>
                </w:tcPr>
                <w:p w14:paraId="7410C7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t>本项目情况</w:t>
                  </w:r>
                </w:p>
              </w:tc>
              <w:tc>
                <w:tcPr>
                  <w:tcW w:w="889" w:type="dxa"/>
                  <w:noWrap w:val="0"/>
                  <w:vAlign w:val="center"/>
                </w:tcPr>
                <w:p w14:paraId="586735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t>符合性</w:t>
                  </w:r>
                </w:p>
              </w:tc>
            </w:tr>
            <w:tr w14:paraId="2D95F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696" w:type="dxa"/>
                  <w:noWrap w:val="0"/>
                  <w:vAlign w:val="center"/>
                </w:tcPr>
                <w:p w14:paraId="0D30B4B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t>1</w:t>
                  </w:r>
                </w:p>
              </w:tc>
              <w:tc>
                <w:tcPr>
                  <w:tcW w:w="1399" w:type="dxa"/>
                  <w:noWrap w:val="0"/>
                  <w:vAlign w:val="center"/>
                </w:tcPr>
                <w:p w14:paraId="2531EAD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kern w:val="0"/>
                      <w:sz w:val="21"/>
                      <w:szCs w:val="21"/>
                      <w:lang w:val="en-US" w:eastAsia="zh-CN" w:bidi="ar"/>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集中区产业准入负面清单</w:t>
                  </w:r>
                </w:p>
              </w:tc>
              <w:tc>
                <w:tcPr>
                  <w:tcW w:w="6890" w:type="dxa"/>
                  <w:noWrap w:val="0"/>
                  <w:vAlign w:val="center"/>
                </w:tcPr>
                <w:p w14:paraId="25AEB645">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1）机械电子产业：</w:t>
                  </w:r>
                </w:p>
                <w:p w14:paraId="28E98CA7">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①禁止引入表面处理中心以外的电镀生产工艺</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其他必须配套电镀工序的企业，应严格控制其镀种和在电镀中心以外布局，其选址需经过充分环境影响论证）</w:t>
                  </w:r>
                  <w:r>
                    <w:rPr>
                      <w:rFonts w:hint="eastAsia" w:cs="Times New Roman"/>
                      <w:color w:val="000000" w:themeColor="text1"/>
                      <w:spacing w:val="0"/>
                      <w:w w:val="100"/>
                      <w:sz w:val="21"/>
                      <w:szCs w:val="21"/>
                      <w:lang w:val="en-US" w:eastAsia="zh-CN"/>
                      <w14:textFill>
                        <w14:solidFill>
                          <w14:schemeClr w14:val="tx1"/>
                        </w14:solidFill>
                      </w14:textFill>
                    </w:rPr>
                    <w:t>；</w:t>
                  </w:r>
                </w:p>
                <w:p w14:paraId="779223BD">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②禁止引入国家产业指导目录中非鼓励类铅酸电池项目。</w:t>
                  </w:r>
                </w:p>
                <w:p w14:paraId="4230E21E">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3）新型材料产业：</w:t>
                  </w:r>
                </w:p>
                <w:p w14:paraId="6DE3ECEB">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①禁止引入能耗物耗高、环境污染大、产出效益低的国家或省规定禁止的其他落后工艺</w:t>
                  </w:r>
                  <w:r>
                    <w:rPr>
                      <w:rFonts w:hint="eastAsia" w:cs="Times New Roman"/>
                      <w:color w:val="000000" w:themeColor="text1"/>
                      <w:spacing w:val="0"/>
                      <w:w w:val="100"/>
                      <w:sz w:val="21"/>
                      <w:szCs w:val="21"/>
                      <w:lang w:val="en-US" w:eastAsia="zh-CN"/>
                      <w14:textFill>
                        <w14:solidFill>
                          <w14:schemeClr w14:val="tx1"/>
                        </w14:solidFill>
                      </w14:textFill>
                    </w:rPr>
                    <w:t>；</w:t>
                  </w:r>
                </w:p>
                <w:p w14:paraId="65DA1343">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②禁止引入表面处理中心以外的电镀生产工艺</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其他必须配套电镀工序的企业，应严格控制其镀种和在电镀中心以外布局，其选址需经过充分环境影响论证）</w:t>
                  </w:r>
                  <w:r>
                    <w:rPr>
                      <w:rFonts w:hint="eastAsia" w:cs="Times New Roman"/>
                      <w:color w:val="000000" w:themeColor="text1"/>
                      <w:spacing w:val="0"/>
                      <w:w w:val="100"/>
                      <w:sz w:val="21"/>
                      <w:szCs w:val="21"/>
                      <w:lang w:val="en-US" w:eastAsia="zh-CN"/>
                      <w14:textFill>
                        <w14:solidFill>
                          <w14:schemeClr w14:val="tx1"/>
                        </w14:solidFill>
                      </w14:textFill>
                    </w:rPr>
                    <w:t>；</w:t>
                  </w:r>
                </w:p>
                <w:p w14:paraId="20F6F8A7">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③禁止引入多晶硅、单晶硅制造等前道生产工序</w:t>
                  </w:r>
                  <w:r>
                    <w:rPr>
                      <w:rFonts w:hint="eastAsia" w:cs="Times New Roman"/>
                      <w:color w:val="000000" w:themeColor="text1"/>
                      <w:spacing w:val="0"/>
                      <w:w w:val="100"/>
                      <w:sz w:val="21"/>
                      <w:szCs w:val="21"/>
                      <w:lang w:val="en-US" w:eastAsia="zh-CN"/>
                      <w14:textFill>
                        <w14:solidFill>
                          <w14:schemeClr w14:val="tx1"/>
                        </w14:solidFill>
                      </w14:textFill>
                    </w:rPr>
                    <w:t>；</w:t>
                  </w:r>
                </w:p>
                <w:p w14:paraId="3F83EE0D">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④禁止引入酸、碱、肥料、农药以及化学合成制药等污染严重的化工项目，为集中区内项目上下游配套、污染较轻的，以及单纯混合和分装的复配项目需经项目环评阶段充分论证后方可准入</w:t>
                  </w:r>
                  <w:r>
                    <w:rPr>
                      <w:rFonts w:hint="eastAsia" w:cs="Times New Roman"/>
                      <w:color w:val="000000" w:themeColor="text1"/>
                      <w:spacing w:val="0"/>
                      <w:w w:val="100"/>
                      <w:sz w:val="21"/>
                      <w:szCs w:val="21"/>
                      <w:lang w:val="en-US" w:eastAsia="zh-CN"/>
                      <w14:textFill>
                        <w14:solidFill>
                          <w14:schemeClr w14:val="tx1"/>
                        </w14:solidFill>
                      </w14:textFill>
                    </w:rPr>
                    <w:t>；</w:t>
                  </w:r>
                </w:p>
                <w:p w14:paraId="4C059D9B">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⑤从严控制规模效益差、能源资源消耗大、环境影响严重的项目进入，包括钢铁、有色金属原矿冶炼、石化、焦化、水泥、原浆造纸、制革、平板玻璃和非金属矿原矿加工等项目。</w:t>
                  </w:r>
                </w:p>
                <w:p w14:paraId="24B1C328">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2）大健康产业</w:t>
                  </w:r>
                </w:p>
                <w:p w14:paraId="000524BC">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①禁止引入《产业结构调整指导目录》等产业政策中限制类和淘汰类设备和工艺</w:t>
                  </w:r>
                  <w:r>
                    <w:rPr>
                      <w:rFonts w:hint="eastAsia" w:cs="Times New Roman"/>
                      <w:color w:val="000000" w:themeColor="text1"/>
                      <w:spacing w:val="0"/>
                      <w:w w:val="100"/>
                      <w:sz w:val="21"/>
                      <w:szCs w:val="21"/>
                      <w:lang w:val="en-US" w:eastAsia="zh-CN"/>
                      <w14:textFill>
                        <w14:solidFill>
                          <w14:schemeClr w14:val="tx1"/>
                        </w14:solidFill>
                      </w14:textFill>
                    </w:rPr>
                    <w:t>；</w:t>
                  </w:r>
                </w:p>
                <w:p w14:paraId="718ABB79">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②禁止引入涉及化学合成工序的制药类项目。</w:t>
                  </w:r>
                </w:p>
              </w:tc>
              <w:tc>
                <w:tcPr>
                  <w:tcW w:w="2759" w:type="dxa"/>
                  <w:noWrap w:val="0"/>
                  <w:vAlign w:val="center"/>
                </w:tcPr>
                <w:p w14:paraId="135AE446">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1）本项目属于《产业结构调整指导目录</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2024年本</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r>
                    <w:rPr>
                      <w:rFonts w:hint="eastAsia" w:cs="Times New Roman"/>
                      <w:color w:val="000000" w:themeColor="text1"/>
                      <w:spacing w:val="0"/>
                      <w:w w:val="100"/>
                      <w:sz w:val="21"/>
                      <w:szCs w:val="21"/>
                      <w:lang w:val="en-US" w:eastAsia="zh-CN"/>
                      <w14:textFill>
                        <w14:solidFill>
                          <w14:schemeClr w14:val="tx1"/>
                        </w14:solidFill>
                      </w14:textFill>
                    </w:rPr>
                    <w:t>中的鼓励类</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2）本项目不属于钢铁、有色金属原矿冶炼、石化、焦化、水泥、原浆造纸、制革、平板玻璃和非金属矿原矿加工等项目，不属于电镀项目，不属于高污染高能耗、工艺技术门槛低、产品附加值低的项目，生产工艺、设备、污染治理技术等均符合环保相关要求。</w:t>
                  </w:r>
                </w:p>
              </w:tc>
              <w:tc>
                <w:tcPr>
                  <w:tcW w:w="889" w:type="dxa"/>
                  <w:noWrap w:val="0"/>
                  <w:vAlign w:val="center"/>
                </w:tcPr>
                <w:p w14:paraId="6D0ED3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t>符合</w:t>
                  </w:r>
                </w:p>
              </w:tc>
            </w:tr>
            <w:tr w14:paraId="7A06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696" w:type="dxa"/>
                  <w:noWrap w:val="0"/>
                  <w:vAlign w:val="center"/>
                </w:tcPr>
                <w:p w14:paraId="761D7FB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t>2</w:t>
                  </w:r>
                </w:p>
              </w:tc>
              <w:tc>
                <w:tcPr>
                  <w:tcW w:w="1399" w:type="dxa"/>
                  <w:noWrap w:val="0"/>
                  <w:vAlign w:val="center"/>
                </w:tcPr>
                <w:p w14:paraId="547D618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kern w:val="0"/>
                      <w:sz w:val="21"/>
                      <w:szCs w:val="21"/>
                      <w:lang w:val="en-US" w:eastAsia="zh-CN" w:bidi="ar"/>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长江经济带发展负面清单指南</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试行，2022年版）</w:t>
                  </w:r>
                </w:p>
              </w:tc>
              <w:tc>
                <w:tcPr>
                  <w:tcW w:w="6890" w:type="dxa"/>
                  <w:noWrap w:val="0"/>
                  <w:vAlign w:val="center"/>
                </w:tcPr>
                <w:p w14:paraId="3D8E2106">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1.禁止建设不符合全国和省级港口布局规划以及港口总体规划的码头项目，禁止建设不符合《长江干线过江通道布局规划》的过长江通道项目。</w:t>
                  </w:r>
                </w:p>
                <w:p w14:paraId="5325DD1A">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2.禁止在自然保护区核心区、缓冲区的岸线和河段范围内投资建设旅游和生产经营项目。禁止在风景名胜区核心景区的岸线和河段范围内投资建设与风景名</w:t>
                  </w:r>
                  <w:r>
                    <w:rPr>
                      <w:rFonts w:hint="eastAsia" w:cs="Times New Roman"/>
                      <w:color w:val="000000" w:themeColor="text1"/>
                      <w:spacing w:val="0"/>
                      <w:w w:val="100"/>
                      <w:sz w:val="21"/>
                      <w:szCs w:val="21"/>
                      <w:lang w:val="en-US" w:eastAsia="zh-CN"/>
                      <w14:textFill>
                        <w14:solidFill>
                          <w14:schemeClr w14:val="tx1"/>
                        </w14:solidFill>
                      </w14:textFill>
                    </w:rPr>
                    <w:t>胜区</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资源保护无关的项目。</w:t>
                  </w:r>
                </w:p>
                <w:p w14:paraId="4D557647">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3.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p w14:paraId="79133268">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4.禁止在水产种质资源保护区的岸线和河段范围内新建围湖造田、围海造地或围填海等投资建设项目。禁止在国家湿地公园的岸线和河段范围内挖沙、采矿，以及任何不符合主体功能定位的投资建设项目。</w:t>
                  </w:r>
                </w:p>
                <w:p w14:paraId="318D6729">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5.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p w14:paraId="22B262B0">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6.禁止未经许可在长江干支流及湖泊新设、改设或扩大排污。</w:t>
                  </w:r>
                </w:p>
                <w:p w14:paraId="220892C2">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7.禁止在“一江一口两湖七河”和332个水生生物保护区开展生产性捕捞。</w:t>
                  </w:r>
                </w:p>
                <w:p w14:paraId="2E524E69">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8.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的改建除外。</w:t>
                  </w:r>
                </w:p>
                <w:p w14:paraId="0246479B">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9.禁止在合规园区外新建、扩建钢铁、石化、化工、焦化、建材、有色、制浆造纸等高污染项目。</w:t>
                  </w:r>
                </w:p>
                <w:p w14:paraId="5DCB8D81">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10.禁止新建、扩建不符合国家石化、现代煤化工等产业布局规划的项目。</w:t>
                  </w:r>
                </w:p>
                <w:p w14:paraId="54C505E8">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11.禁止新建、扩建法律法规和相关政策明令禁止的落后产能项目。禁止新建、扩建不符合国家产能置换要求的严重过剩产能行业的项目。禁止新建、扩建不符合要求的高耗能高排放项目。</w:t>
                  </w:r>
                </w:p>
                <w:p w14:paraId="3FD5F3F6">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12．法律法规及相关政策文件有更加严格规定的从其规定。</w:t>
                  </w:r>
                </w:p>
              </w:tc>
              <w:tc>
                <w:tcPr>
                  <w:tcW w:w="2759" w:type="dxa"/>
                  <w:noWrap w:val="0"/>
                  <w:vAlign w:val="center"/>
                </w:tcPr>
                <w:p w14:paraId="362A9BF7">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1）</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项目不涉及自然保护区核心区、缓冲区的岸线和河段范围</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不涉及风景名胜区的岸线和河段范围</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不涉及饮用水水源一级保护区的岸线和河段范围</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不涉及饮用水水源二级保护区的岸线和河段范围。</w:t>
                  </w:r>
                </w:p>
                <w:p w14:paraId="1C6565C7">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）项目距离</w:t>
                  </w:r>
                  <w:r>
                    <w:rPr>
                      <w:rFonts w:hint="default" w:ascii="Times New Roman" w:hAnsi="Times New Roman" w:eastAsia="宋体" w:cs="Times New Roman"/>
                      <w:caps w:val="0"/>
                      <w:smallCaps w:val="0"/>
                      <w:color w:val="auto"/>
                      <w:spacing w:val="0"/>
                      <w:w w:val="100"/>
                      <w:position w:val="0"/>
                      <w:sz w:val="21"/>
                      <w:szCs w:val="21"/>
                      <w:highlight w:val="none"/>
                    </w:rPr>
                    <w:t>长江</w:t>
                  </w:r>
                  <w:r>
                    <w:rPr>
                      <w:rFonts w:hint="eastAsia" w:cs="Times New Roman"/>
                      <w:caps w:val="0"/>
                      <w:smallCaps w:val="0"/>
                      <w:color w:val="auto"/>
                      <w:spacing w:val="0"/>
                      <w:w w:val="100"/>
                      <w:position w:val="0"/>
                      <w:sz w:val="21"/>
                      <w:szCs w:val="21"/>
                      <w:highlight w:val="none"/>
                      <w:lang w:val="en-US" w:eastAsia="zh-CN"/>
                    </w:rPr>
                    <w:t>岸线3.8km</w:t>
                  </w:r>
                  <w:r>
                    <w:rPr>
                      <w:rFonts w:hint="default" w:ascii="Times New Roman" w:hAnsi="Times New Roman" w:eastAsia="宋体" w:cs="Times New Roman"/>
                      <w:caps w:val="0"/>
                      <w:smallCaps w:val="0"/>
                      <w:color w:val="auto"/>
                      <w:spacing w:val="0"/>
                      <w:w w:val="100"/>
                      <w:position w:val="0"/>
                      <w:sz w:val="21"/>
                      <w:szCs w:val="21"/>
                      <w:highlight w:val="none"/>
                    </w:rPr>
                    <w:t>，</w:t>
                  </w:r>
                  <w:r>
                    <w:rPr>
                      <w:rFonts w:hint="eastAsia" w:cs="Times New Roman"/>
                      <w:caps w:val="0"/>
                      <w:smallCaps w:val="0"/>
                      <w:color w:val="auto"/>
                      <w:spacing w:val="0"/>
                      <w:w w:val="100"/>
                      <w:position w:val="0"/>
                      <w:sz w:val="21"/>
                      <w:szCs w:val="21"/>
                      <w:highlight w:val="none"/>
                      <w:lang w:val="en-US" w:eastAsia="zh-CN"/>
                    </w:rPr>
                    <w:t>距离九华河岸线距离1.14km</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，不属于两高项目，不属于</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尾矿库、冶炼渣库和磷石膏库项目。</w:t>
                  </w:r>
                </w:p>
                <w:p w14:paraId="7BAEA2C6">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）项目选址位于皖江江南新兴产业集中区。</w:t>
                  </w:r>
                  <w:r>
                    <w:rPr>
                      <w:rFonts w:hint="eastAsia" w:cs="Times New Roman"/>
                      <w:color w:val="000000" w:themeColor="text1"/>
                      <w:spacing w:val="0"/>
                      <w:w w:val="100"/>
                      <w:sz w:val="21"/>
                      <w:szCs w:val="21"/>
                      <w:lang w:val="en-US" w:eastAsia="zh-CN"/>
                      <w14:textFill>
                        <w14:solidFill>
                          <w14:schemeClr w14:val="tx1"/>
                        </w14:solidFill>
                      </w14:textFill>
                    </w:rPr>
                    <w:t>项目</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建设符合《安徽省江南产业集中区总体规划</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2010-2030年</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）、《安徽省江南产业集中区产业发展规划</w:t>
                  </w:r>
                  <w:r>
                    <w:rPr>
                      <w:rFonts w:hint="eastAsia"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2019-2030）》</w:t>
                  </w:r>
                  <w:r>
                    <w:rPr>
                      <w:rFonts w:hint="eastAsia" w:ascii="Times New Roman" w:hAnsi="Times New Roman" w:eastAsia="宋体" w:cs="Times New Roman"/>
                      <w:color w:val="000000" w:themeColor="text1"/>
                      <w:spacing w:val="0"/>
                      <w:w w:val="100"/>
                      <w:sz w:val="21"/>
                      <w:szCs w:val="21"/>
                      <w:lang w:val="zh-CN"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用地属于工业用地。</w:t>
                  </w:r>
                </w:p>
              </w:tc>
              <w:tc>
                <w:tcPr>
                  <w:tcW w:w="889" w:type="dxa"/>
                  <w:noWrap w:val="0"/>
                  <w:vAlign w:val="center"/>
                </w:tcPr>
                <w:p w14:paraId="51D3BA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t>符合</w:t>
                  </w:r>
                </w:p>
              </w:tc>
            </w:tr>
          </w:tbl>
          <w:p w14:paraId="59710272">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cs="Times New Roman"/>
                <w:b/>
                <w:bCs/>
                <w:caps w:val="0"/>
                <w:color w:val="000000" w:themeColor="text1"/>
                <w:spacing w:val="0"/>
                <w:w w:val="100"/>
                <w:kern w:val="2"/>
                <w:position w:val="0"/>
                <w:sz w:val="21"/>
                <w:szCs w:val="21"/>
                <w:lang w:val="en-US" w:eastAsia="zh-CN"/>
                <w14:textFill>
                  <w14:solidFill>
                    <w14:schemeClr w14:val="tx1"/>
                  </w14:solidFill>
                </w14:textFill>
              </w:rPr>
            </w:pPr>
            <w:r>
              <w:rPr>
                <w:rFonts w:hint="eastAsia" w:cs="Times New Roman"/>
                <w:b/>
                <w:bCs/>
                <w:caps w:val="0"/>
                <w:color w:val="000000" w:themeColor="text1"/>
                <w:spacing w:val="0"/>
                <w:w w:val="100"/>
                <w:kern w:val="2"/>
                <w:position w:val="0"/>
                <w:sz w:val="21"/>
                <w:szCs w:val="21"/>
                <w:lang w:val="en-US" w:eastAsia="zh-CN"/>
                <w14:textFill>
                  <w14:solidFill>
                    <w14:schemeClr w14:val="tx1"/>
                  </w14:solidFill>
                </w14:textFill>
              </w:rPr>
              <w:t>表1-7  重点管控单元空间布局约束分析一览表</w:t>
            </w:r>
          </w:p>
          <w:tbl>
            <w:tblPr>
              <w:tblStyle w:val="27"/>
              <w:tblW w:w="12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10383"/>
              <w:gridCol w:w="1257"/>
            </w:tblGrid>
            <w:tr w14:paraId="76229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78" w:type="dxa"/>
                  <w:vAlign w:val="center"/>
                </w:tcPr>
                <w:p w14:paraId="650C4D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sz w:val="21"/>
                      <w:szCs w:val="21"/>
                      <w:lang w:val="en-US" w:eastAsia="zh-CN"/>
                      <w14:textFill>
                        <w14:solidFill>
                          <w14:schemeClr w14:val="tx1"/>
                        </w14:solidFill>
                      </w14:textFill>
                    </w:rPr>
                  </w:pPr>
                  <w:r>
                    <w:rPr>
                      <w:rFonts w:hint="eastAsia" w:eastAsia="宋体" w:cs="Times New Roman"/>
                      <w:b/>
                      <w:bCs/>
                      <w:color w:val="000000" w:themeColor="text1"/>
                      <w:spacing w:val="0"/>
                      <w:w w:val="100"/>
                      <w:sz w:val="21"/>
                      <w:szCs w:val="21"/>
                      <w:lang w:val="en-US" w:eastAsia="zh-CN"/>
                      <w14:textFill>
                        <w14:solidFill>
                          <w14:schemeClr w14:val="tx1"/>
                        </w14:solidFill>
                      </w14:textFill>
                    </w:rPr>
                    <w:t>管控类别</w:t>
                  </w:r>
                </w:p>
              </w:tc>
              <w:tc>
                <w:tcPr>
                  <w:tcW w:w="10383" w:type="dxa"/>
                  <w:vAlign w:val="center"/>
                </w:tcPr>
                <w:p w14:paraId="69760C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sz w:val="21"/>
                      <w:szCs w:val="21"/>
                      <w:lang w:val="en-US"/>
                      <w14:textFill>
                        <w14:solidFill>
                          <w14:schemeClr w14:val="tx1"/>
                        </w14:solidFill>
                      </w14:textFill>
                    </w:rPr>
                  </w:pPr>
                  <w:r>
                    <w:rPr>
                      <w:rFonts w:hint="eastAsia" w:eastAsia="宋体" w:cs="Times New Roman"/>
                      <w:b/>
                      <w:bCs/>
                      <w:color w:val="000000" w:themeColor="text1"/>
                      <w:spacing w:val="0"/>
                      <w:w w:val="100"/>
                      <w:sz w:val="21"/>
                      <w:szCs w:val="21"/>
                      <w:lang w:val="en-US" w:eastAsia="zh-CN"/>
                      <w14:textFill>
                        <w14:solidFill>
                          <w14:schemeClr w14:val="tx1"/>
                        </w14:solidFill>
                      </w14:textFill>
                    </w:rPr>
                    <w:t>管控要求</w:t>
                  </w:r>
                </w:p>
              </w:tc>
              <w:tc>
                <w:tcPr>
                  <w:tcW w:w="1257" w:type="dxa"/>
                  <w:vAlign w:val="center"/>
                </w:tcPr>
                <w:p w14:paraId="6025E9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b/>
                      <w:bCs/>
                      <w:color w:val="000000" w:themeColor="text1"/>
                      <w:spacing w:val="0"/>
                      <w:w w:val="100"/>
                      <w:sz w:val="21"/>
                      <w:szCs w:val="21"/>
                      <w:lang w:val="en-US" w:eastAsia="zh-CN"/>
                      <w14:textFill>
                        <w14:solidFill>
                          <w14:schemeClr w14:val="tx1"/>
                        </w14:solidFill>
                      </w14:textFill>
                    </w:rPr>
                    <w:t>符合性分析</w:t>
                  </w:r>
                </w:p>
              </w:tc>
            </w:tr>
            <w:tr w14:paraId="4D4AD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78" w:type="dxa"/>
                  <w:vMerge w:val="restart"/>
                  <w:shd w:val="clear" w:color="auto" w:fill="auto"/>
                  <w:vAlign w:val="center"/>
                </w:tcPr>
                <w:p w14:paraId="48CF81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pPr>
                  <w:r>
                    <w:rPr>
                      <w:rFonts w:hint="eastAsia" w:eastAsia="宋体" w:cs="Times New Roman"/>
                      <w:b/>
                      <w:bCs/>
                      <w:color w:val="000000" w:themeColor="text1"/>
                      <w:spacing w:val="0"/>
                      <w:w w:val="100"/>
                      <w:sz w:val="21"/>
                      <w:szCs w:val="21"/>
                      <w:lang w:val="en-US" w:eastAsia="zh-CN"/>
                      <w14:textFill>
                        <w14:solidFill>
                          <w14:schemeClr w14:val="tx1"/>
                        </w14:solidFill>
                      </w14:textFill>
                    </w:rPr>
                    <w:t>空间布局约束</w:t>
                  </w:r>
                </w:p>
              </w:tc>
              <w:tc>
                <w:tcPr>
                  <w:tcW w:w="10383" w:type="dxa"/>
                  <w:shd w:val="clear" w:color="auto" w:fill="auto"/>
                  <w:vAlign w:val="center"/>
                </w:tcPr>
                <w:p w14:paraId="4926F9F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3FF1664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 xml:space="preserve">1严格城市规划蓝线管理，城市规划区范围内应保留一定比例的水域面积 </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现有水域面积不得减少。新建项目一律不得违规占用水域。</w:t>
                  </w:r>
                </w:p>
                <w:p w14:paraId="19BEE1C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2落实磷石膏综合利用途径，综合利用不畅的可利用现有磷石膏库堆存</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不得新建、扩建磷石膏库</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暂存场除外</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w:t>
                  </w:r>
                </w:p>
                <w:p w14:paraId="03D7FC1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允许开发建设活动的特殊要求：</w:t>
                  </w:r>
                </w:p>
                <w:p w14:paraId="3A8D785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3坚持以水定城、以水定地、以水定人、以水定产，严格控制缺水地区、水污染严重地区和敏感区域高耗水、高污染行业发展，鼓励推动高耗水企业向水资源条件允许的工业园区集中。</w:t>
                  </w:r>
                </w:p>
                <w:p w14:paraId="7FD2E80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4引导石化、化工、钢铁、建材、有色金属等重点行业合理布局，提高化工、有色金属、农副食品加工、印染、制革、原料药制造、电镀等行业集聚水平。</w:t>
                  </w:r>
                </w:p>
                <w:p w14:paraId="67F9B75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5严格控制缺水地区、水污染严重地区和敏感区域高耗水、高污染行业发展，鼓励推动高耗水企业向水资源条件允许的工业园区集中。</w:t>
                  </w:r>
                </w:p>
                <w:p w14:paraId="6ACB21F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6新建、扩建磷化工项目应布设在依法合规设立的化工园区或具有化工定位的产业园区内，所在化工园区或产业园区应依法开展规划环境影响评价工作，磷化工建设项目应符合园区规划及规划环评要求。</w:t>
                  </w:r>
                </w:p>
                <w:p w14:paraId="59059AF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不符合空间布局要求活动的退出要求：</w:t>
                  </w:r>
                </w:p>
                <w:p w14:paraId="4401374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7持续开展涉水“散乱污”企业清理整治，严把能耗、环保等标准，促使 一批达不到标准或淘汰类产能的企业，依法依规关停退出。</w:t>
                  </w:r>
                </w:p>
                <w:p w14:paraId="46152EE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8推动污染企业退出。城市建成区内现有钢铁、有色金属、造纸、印染、原料药制造、化工等污染较重的企业应有序搬迁改造或依法关闭。</w:t>
                  </w:r>
                </w:p>
                <w:p w14:paraId="23A53A1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9严格水域岸线用途管制，土地开发利用应按照有关法律法规和技术标准要求，留足河道、湖泊的管理和保护范围，非法挤占的应限期退出。</w:t>
                  </w:r>
                </w:p>
                <w:p w14:paraId="29D4714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10国家禁止新建不符合国家产业政策的小型造纸、制革、印染、染料、炼焦、炼硫、炼砷、炼汞、炼油、电镀、农药、石棉、水泥、玻璃、钢铁、火电以及其他严重污染水环境的生产项目。</w:t>
                  </w:r>
                </w:p>
                <w:p w14:paraId="2C0586B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35D2DE7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查明河道两岸和水体周边所有排污口，对污水直排的排污口实施截污纳管，实现旱季污水不入河。严格实施排污许可和排水许可制度，加强入河排污口监督监测。加强对小餐饮、理发店、洗车店等排污的执法管理，加大对乱排、偷排行为的整治和处罚力度。</w:t>
                  </w:r>
                </w:p>
                <w:p w14:paraId="2318738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城市建成区排放污水的工业企业应依法持有排污许可证，并严格按证排污。排入城镇水体的工业污水应符合相关行业标准及地方标准要求，严禁任何企业、单位超标和超总量排污，对超标或超总量的排污单位一律限制生产或停产整顿。</w:t>
                  </w:r>
                </w:p>
                <w:p w14:paraId="078FC69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3科学确定城市河道疏浚范围和清淤深度，妥善处理底泥，严禁清淤底泥沿岸随意堆放或作为水体治理工程回填土，防止二次污染。</w:t>
                  </w:r>
                </w:p>
                <w:p w14:paraId="548B4D9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4严肃执法监督，严格执行排污许可、排水许可制度，严禁生活污水和工业废水直排水体。严防道路冲洗污水、洗车冲洗污水、餐饮泔水、施工排水等污水进入雨水口。</w:t>
                  </w:r>
                </w:p>
                <w:p w14:paraId="02B8074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允许开发建设活动的特殊要求：</w:t>
                  </w:r>
                </w:p>
                <w:p w14:paraId="410349D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5积极推行低影响开发建设模式，建设滞、渗、蓄、用、排相结合的雨水收集利用设施，加快海绵城市建设。新建城区可渗透地面占总硬化地面面积比例要达到40%以上。</w:t>
                  </w:r>
                </w:p>
                <w:p w14:paraId="085F3EB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不符合空间布局要求活动的退出要求：</w:t>
                  </w:r>
                </w:p>
                <w:p w14:paraId="02BF443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6加快对河道两岸违法建设的清理。对河道湖泊绿线范围内的岸线进行排查、清理，重点治理河湖水域岸线乱建、乱占行为。对硬质驳岸的非行洪 河道、渠道，有计划实施生态修复与改造。</w:t>
                  </w:r>
                </w:p>
              </w:tc>
              <w:tc>
                <w:tcPr>
                  <w:tcW w:w="1257" w:type="dxa"/>
                  <w:shd w:val="clear" w:color="auto" w:fill="auto"/>
                  <w:vAlign w:val="center"/>
                </w:tcPr>
                <w:p w14:paraId="59A0AD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项目不涉及</w:t>
                  </w:r>
                </w:p>
              </w:tc>
            </w:tr>
            <w:tr w14:paraId="6F9C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78" w:type="dxa"/>
                  <w:vMerge w:val="continue"/>
                  <w:shd w:val="clear" w:color="auto" w:fill="auto"/>
                  <w:vAlign w:val="center"/>
                </w:tcPr>
                <w:p w14:paraId="083E51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pPr>
                </w:p>
              </w:tc>
              <w:tc>
                <w:tcPr>
                  <w:tcW w:w="10383" w:type="dxa"/>
                  <w:shd w:val="clear" w:color="auto" w:fill="auto"/>
                  <w:vAlign w:val="center"/>
                </w:tcPr>
                <w:p w14:paraId="06AD8E4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377B4DA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1在城市城区及其近郊禁止新建、扩建钢铁、有色、石化、水泥、化工等重污染企业。</w:t>
                  </w:r>
                </w:p>
                <w:p w14:paraId="757F895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2禁止新建燃料类煤气发生炉</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园区现有企业统一建设的清洁煤制气中心除外）。</w:t>
                  </w:r>
                </w:p>
                <w:p w14:paraId="617B765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3严禁新增钢铁、焦化、电解铝、铸造、水泥和平板玻璃等产能</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严格执行钢铁、水泥、平板玻璃等行业产能置换实施办法。</w:t>
                  </w:r>
                </w:p>
                <w:p w14:paraId="1079ED8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4严格执行国家关于“两高”产业准入目录和产能总量控制政策措施。严禁新增钢铁、焦化、电解铝、铸造、水泥和平板玻璃等产能</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新、改、扩建涉及大宗物料运输的建设项目，原则上不得采用公路运输。</w:t>
                  </w:r>
                </w:p>
                <w:p w14:paraId="53E73DA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7非电行业新建项目，禁止配套建设自备纯凝、抽凝燃煤电站。</w:t>
                  </w:r>
                </w:p>
                <w:p w14:paraId="6A31976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8在城市建成区及居民区、医院、学校等环境敏感区域，严禁现场露天灰土拌合。</w:t>
                  </w:r>
                </w:p>
                <w:p w14:paraId="7DF6E03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9严格控制新增“两高”项目审批，认真分析评估拟建项目必要性、可行性和对产业高质量发展、能耗双控、碳排放和环境质量的影响，严格审查项目是否符合产业政策、产业规划、“三线一单”、规划环评要求，是否依法依规落实产能置换、能耗置换、煤炭消费减量替代、污染物排放区域削减等要求。对已建成投产的存量“两高”项目，有节能减排潜力的加快改造升级，属于落后产能的加快淘汰。</w:t>
                  </w:r>
                </w:p>
                <w:p w14:paraId="333FD34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10禁止建设生产和使用高挥发性有机物含量涂料、油墨、胶粘剂、清洗剂等项目。</w:t>
                  </w:r>
                </w:p>
                <w:p w14:paraId="1D20CA7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11禁止新建不符合国家规定的燃煤发电机组、燃油发电机组和燃煤热电机组。</w:t>
                  </w:r>
                </w:p>
                <w:p w14:paraId="260ED61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12禁止新建、扩建分散燃煤供热锅炉。</w:t>
                  </w:r>
                </w:p>
                <w:p w14:paraId="3B48DEB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13在城市规划区内禁止新建、扩建大气污染严重的建设项目。</w:t>
                  </w:r>
                </w:p>
                <w:p w14:paraId="69AABF1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14禁止高灰分、高硫分煤炭进入市场。新建煤矿应当同步建设煤炭洗选设施，已建成的煤矿所采煤炭属于高灰分、高硫分的，应当在国家和省规定 的期限内建成配套的煤炭洗选设施，使煤炭中的灰分、硫分达到规定的标准。</w:t>
                  </w:r>
                </w:p>
                <w:p w14:paraId="2F27F27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15禁止在人口集中地区、机场周围、交通干线附近以及当地人民政府划定的区域露天焚烧秸秆、落叶、垃圾等产生烟尘污染的物质。</w:t>
                  </w:r>
                </w:p>
                <w:p w14:paraId="1FF2362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16在燃气管网和集中供热管网覆盖的区域，不得新建、扩建、改建燃烧煤炭、重油、渣油的供热设施</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原有分散的中小型燃煤供热锅炉应当限期拆除。</w:t>
                  </w:r>
                </w:p>
                <w:p w14:paraId="1CE6128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17禁止在居民住宅楼、未配套设立专用烟道的商住综合楼、商住综合楼内与居住层相邻的商业楼层内新建、改建、扩建产生油烟、异味、废气的饮食服务项目。</w:t>
                  </w:r>
                </w:p>
                <w:p w14:paraId="79593D4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18任何单位和个人不得在政府划定的禁止露天烧烤区域内露天烧烤食品或者为露天烧烤食品提供场地。</w:t>
                  </w:r>
                </w:p>
                <w:p w14:paraId="6EB0D31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19在机关、学校、医院、居民住宅区等人口集中地区和其他依法需要特殊保护的区域内，禁止从事下列生产活动：</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1）橡胶制品生产、经营性喷漆、制骨胶、制骨粉、屠宰、畜禽养殖、生物发酵等产生恶臭、有毒有害 气体的生产经营活动</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2）露天焚烧油毡、沥青、橡胶、塑料、皮革、垃圾或者其他可能产生恶臭、有毒有害气体的活动。</w:t>
                  </w:r>
                </w:p>
                <w:p w14:paraId="57BF50B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20严禁钢铁、水泥、电解铝、平板玻璃等行业新增产能，对确有必要新建的必须实施等量或减量置换。</w:t>
                  </w:r>
                </w:p>
                <w:p w14:paraId="057D781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21禁止淘汰落后类的产业进入开发区。</w:t>
                  </w:r>
                </w:p>
                <w:p w14:paraId="23B6F7B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22从事餐饮服务业的经营活动，不得有下列行为：</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一）未经处理直接排放、倾倒废弃油脂和含油废物</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二）在居民住宅楼、未配套设立专用烟道的商住综合楼以及商住综合楼内与居住层相邻的商业楼层内新建、改建、扩建产生油烟、异味、废气的餐饮服务项目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三）在当地人民政府禁止的区域内露天烧烤食品或者为露天烧烤食品提供场所。</w:t>
                  </w:r>
                </w:p>
              </w:tc>
              <w:tc>
                <w:tcPr>
                  <w:tcW w:w="1257" w:type="dxa"/>
                  <w:shd w:val="clear" w:color="auto" w:fill="auto"/>
                  <w:vAlign w:val="center"/>
                </w:tcPr>
                <w:p w14:paraId="265330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default"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项目选址位于皖江江南新兴产业集中区</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t>不属于</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重污染</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t>企业</w:t>
                  </w:r>
                  <w:r>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w:t>
                  </w:r>
                </w:p>
                <w:p w14:paraId="7389BF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p>
              </w:tc>
            </w:tr>
            <w:tr w14:paraId="3AEC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78" w:type="dxa"/>
                  <w:vMerge w:val="continue"/>
                  <w:shd w:val="clear" w:color="auto" w:fill="auto"/>
                  <w:vAlign w:val="center"/>
                </w:tcPr>
                <w:p w14:paraId="06DE7D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pPr>
                </w:p>
              </w:tc>
              <w:tc>
                <w:tcPr>
                  <w:tcW w:w="10383" w:type="dxa"/>
                  <w:shd w:val="clear" w:color="auto" w:fill="auto"/>
                  <w:vAlign w:val="center"/>
                </w:tcPr>
                <w:p w14:paraId="2D90ABF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限制开发建设活动的要求：</w:t>
                  </w:r>
                </w:p>
                <w:p w14:paraId="4FB1699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23加大钢铁、铸造、炼焦、建材、电解铝等产能压减力度。</w:t>
                  </w:r>
                </w:p>
                <w:p w14:paraId="6FC10E9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24严格资源节约和环保准入门槛，转入项目必须符合国家产业政策、资源节约和污染物排放强度要求，避免产业转移中的资源浪费和污染扩散。</w:t>
                  </w:r>
                </w:p>
                <w:p w14:paraId="44D58B6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25对污染治理不规范的露天矿山，依法责令停产整治，整治完成并经相关部门组织验收合格后方可恢复生产。</w:t>
                  </w:r>
                </w:p>
                <w:p w14:paraId="1496D23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26加大落后产能淘汰和过剩产能压减力度。严防“地条钢”死灰复燃。</w:t>
                  </w:r>
                </w:p>
                <w:p w14:paraId="20A5A8D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7</w:t>
                  </w:r>
                  <w:r>
                    <w:rPr>
                      <w:rFonts w:hint="default" w:ascii="Times New Roman" w:hAnsi="Times New Roman" w:eastAsia="宋体" w:cs="Times New Roman"/>
                      <w:color w:val="000000" w:themeColor="text1"/>
                      <w:spacing w:val="0"/>
                      <w:w w:val="100"/>
                      <w:sz w:val="21"/>
                      <w:szCs w:val="21"/>
                      <w14:textFill>
                        <w14:solidFill>
                          <w14:schemeClr w14:val="tx1"/>
                        </w14:solidFill>
                      </w14:textFill>
                    </w:rPr>
                    <w:t>重点区域钢铁、水泥、焦化、石化、化工、有色等行业，二氧化硫、氮氧化物、颗粒物、挥发性有机物</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VOCs）排放全面执行大气污染物特别排放限值。</w:t>
                  </w:r>
                </w:p>
                <w:p w14:paraId="106489F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8</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加大工业涂装、包装印刷等行业低挥发性有机物含量原辅材料替代力度</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严格执行涂料、油墨、胶粘剂、清洗剂挥发性有机物含量限值标准，确保生产、销售、进口、使用符合标准的产品。</w:t>
                  </w:r>
                </w:p>
                <w:p w14:paraId="062180A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29</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严格合理控制煤炭消费增长，大气污染防治重点区域内新建、改扩建用煤项目严格实施煤炭消费等量或减量替代。</w:t>
                  </w:r>
                </w:p>
                <w:p w14:paraId="734E532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0</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推动钢铁行业碳达峰。严格执行产能置换，严禁新增产能，依法依规淘汰落后产能。</w:t>
                  </w:r>
                </w:p>
                <w:p w14:paraId="4A2496B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1</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优化产能规模和布局，引导化工企业向产业园区转移，提高集聚发展水平。</w:t>
                  </w:r>
                </w:p>
                <w:p w14:paraId="0E86C25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不符合空间布局要求活动的退出要求：</w:t>
                  </w:r>
                </w:p>
                <w:p w14:paraId="2CB2BE0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2</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加快城市建成区、重点流域的重污染企业和危险化学品企业搬迁改造</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加快推进危险化学品生产企业搬迁改造工程。</w:t>
                  </w:r>
                </w:p>
                <w:p w14:paraId="064FF8B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3</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对城区内已建重污染企业要结合产业结构调整实施搬迁改造。</w:t>
                  </w:r>
                </w:p>
                <w:p w14:paraId="3149068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城市规划区内已建的大气污染严重的建设项目应当搬迁、改造，城市建成区应当在规定的时间内完成重污染企业搬迁、改造或者关闭退出。</w:t>
                  </w:r>
                </w:p>
                <w:p w14:paraId="4F0BA85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5</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严格执行环境保护法律法规，对超过大气和水等污染物排放标准排污</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以及超过重点污染物总量控制指标排污的企业，责令限制生产、停产整治等</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情节严重的，报经有批准权的地方政府批准，责令停业、关闭。依法打击违反固体废物管理法律法规行为。</w:t>
                  </w:r>
                </w:p>
                <w:p w14:paraId="756F879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6</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加快区域产业调整。加快城市建成区重污染企业搬迁改造或关闭退出</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城市钢铁企业要切实采取彻底关停、转型发展、就地改造、域外搬迁等方式，推动转型升级。加大现有化工园区整治力度。退城企业，逾期不退城的予以停产。</w:t>
                  </w:r>
                </w:p>
                <w:p w14:paraId="516D82F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7</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对不服从整改的餐饮企业，责令停业整治。依法关闭市、县</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区）人民 政府禁止区域内的露天餐饮、烧烤摊点，推广无炭烧烤。</w:t>
                  </w:r>
                </w:p>
                <w:p w14:paraId="0816392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8</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对违反资源环境法律法规、规划，污染环境、破坏生态、乱采滥挖的露天矿山，依法予以关闭</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对污染治理不规范的露天矿山，依法责令停产整治，对拒不停产或擅自恢复生产的依法强制关闭。</w:t>
                  </w:r>
                </w:p>
                <w:p w14:paraId="2E1405A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39</w:t>
                  </w:r>
                  <w:r>
                    <w:rPr>
                      <w:rFonts w:hint="default" w:ascii="Times New Roman" w:hAnsi="Times New Roman" w:eastAsia="宋体" w:cs="Times New Roman"/>
                      <w:color w:val="000000" w:themeColor="text1"/>
                      <w:spacing w:val="0"/>
                      <w:w w:val="100"/>
                      <w:sz w:val="21"/>
                      <w:szCs w:val="21"/>
                      <w14:textFill>
                        <w14:solidFill>
                          <w14:schemeClr w14:val="tx1"/>
                        </w14:solidFill>
                      </w14:textFill>
                    </w:rPr>
                    <w:t xml:space="preserve">对热效率低下、敞开未封闭，装备简易落后、自动化程度低，无组织排放突出，以及无治理设施或治理设施工艺落后等严重污染环境的工业炉窑 </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依法责令停业关闭。</w:t>
                  </w:r>
                </w:p>
                <w:p w14:paraId="3A361A0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0</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对以煤、石油焦、渣油、重油等为燃料的工业炉窑，加快使用清洁低碳能源以及利用工厂余热、电厂热力等进行替代。重点区域禁止掺烧高硫石 油焦</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硫含量大于3%）。玻璃行业全面禁止掺烧高硫石油焦。</w:t>
                  </w:r>
                </w:p>
                <w:p w14:paraId="13C0DB9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41</w:t>
                  </w:r>
                  <w:r>
                    <w:rPr>
                      <w:rFonts w:hint="default" w:ascii="Times New Roman" w:hAnsi="Times New Roman" w:eastAsia="宋体" w:cs="Times New Roman"/>
                      <w:color w:val="000000" w:themeColor="text1"/>
                      <w:spacing w:val="0"/>
                      <w:w w:val="100"/>
                      <w:sz w:val="21"/>
                      <w:szCs w:val="21"/>
                      <w14:textFill>
                        <w14:solidFill>
                          <w14:schemeClr w14:val="tx1"/>
                        </w14:solidFill>
                      </w14:textFill>
                    </w:rPr>
                    <w:t>重点区域取缔燃煤热风炉，基本淘汰热电联产供热管网覆盖范围内的燃煤加热、烘干炉</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窑）。加快推动铸造</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10吨/小时及以下）、岩棉等行  业冲天炉改为电炉。</w:t>
                  </w:r>
                </w:p>
                <w:p w14:paraId="406E42E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2</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严格执行水泥熟料、平板玻璃产能置换要求，实施水泥常态化错峰生产</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有序退出低效产能。推进燃煤窑炉清洁能源替代，逐步淘汰钢铁企业煤 气发生炉。</w:t>
                  </w:r>
                </w:p>
                <w:p w14:paraId="19A279C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其他空间布局约束要求：</w:t>
                  </w:r>
                </w:p>
                <w:p w14:paraId="3AE132D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3</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强化“散乱污”企业综合整治。全面开展“散乱污”企业及集群综合整 治行动。根据产业政策、产业布局规划，以及土地、环保、质量、安全、能耗等要求，制定“散乱污”企业及集群整治标准。按照“先停后治”的 原则，实施分类处置。</w:t>
                  </w:r>
                </w:p>
                <w:p w14:paraId="1FF7031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企业应当全面推进清洁生产，优先采用能源和原材料利用效率高、污染物排放量少的清洁生产技术、工艺和设备，淘汰严重污染大气环境质量的 产品、落后工艺和落后设备，减少大气污染物的产生和排放。</w:t>
                  </w:r>
                </w:p>
              </w:tc>
              <w:tc>
                <w:tcPr>
                  <w:tcW w:w="1257" w:type="dxa"/>
                  <w:shd w:val="clear" w:color="auto" w:fill="auto"/>
                  <w:vAlign w:val="center"/>
                </w:tcPr>
                <w:p w14:paraId="0A130C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项目不涉及</w:t>
                  </w:r>
                </w:p>
              </w:tc>
            </w:tr>
            <w:tr w14:paraId="26E4E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78" w:type="dxa"/>
                  <w:vMerge w:val="continue"/>
                  <w:shd w:val="clear" w:color="auto" w:fill="auto"/>
                  <w:vAlign w:val="center"/>
                </w:tcPr>
                <w:p w14:paraId="6F4A51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pPr>
                </w:p>
              </w:tc>
              <w:tc>
                <w:tcPr>
                  <w:tcW w:w="10383" w:type="dxa"/>
                  <w:shd w:val="clear" w:color="auto" w:fill="auto"/>
                  <w:vAlign w:val="center"/>
                </w:tcPr>
                <w:p w14:paraId="04BDD37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2BE358B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1禁止在长江</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安徽段）干支流一公里范围内新建、扩建化工园区和化工项目。已批未开工的项目，依法停止建设，支持重新选址。已经开工建设的项目，严格进行检查评估，不符合岸线规划和环保、安全要求的，全部依法依规停建搬迁。</w:t>
                  </w:r>
                </w:p>
                <w:p w14:paraId="7B61280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2禁止在长江干流岸线三公里范围内和主要支流岸线一公里范围内新建、改建、扩建尾矿库、冶炼渣库和磷石膏库，以提升安全、生态环境保护水平为目的的改建除外。</w:t>
                  </w:r>
                </w:p>
                <w:p w14:paraId="05F1347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3长江干流岸线5公里范围内严禁新建布局重化工园区。合规化工园区内</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严禁新批环境基础设施不完善或长期不能稳定运行的企业新建和扩建化工项目。</w:t>
                  </w:r>
                </w:p>
                <w:p w14:paraId="3F4E8F5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4长江干流岸线15公里范围内，严把各类项目准入门槛，严格执行环境保护标准，把主要污染物和重点重金属排放总量控制目标作为新</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改、扩</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 xml:space="preserve">建项目环评审批的前置条件，禁止建设没有环境容量和减排总量项目。 </w:t>
                  </w:r>
                </w:p>
                <w:p w14:paraId="13A1A5B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5</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1）禁止建设不符合全国和省级港口布局规划以及港口总体规划的码头项目，禁止建设不符合《长江干线过江通道布局规划》的过长江通道项目 。</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2）禁止在自然保护区核心区、缓冲区的岸线和河段范围内投资建设旅游和生产经营项目。禁止在风景名胜区核心景区的岸线和河段范围内投 资建设与风景名胜资源保护无关的项目。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3）禁止在饮用水水源一级保护区的岸线和河段范围内新建、改建、扩建与供水设施和保护水源无关的项目，以及网箱养殖、畜禽养殖、旅游等可能污染饮用水水体的投资建设 项目。禁止在饮用水水源二级保护区的岸线和河段范围内新建、改建、扩建排放污染物的投资建设项目。且禁止或者限制使用含磷洗涤剂、化肥、 农药以及限制种植养殖等措施。</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4）禁止在水产种质资源保护区的岸线和河段范围内新建围湖造田、围海造地或围填海等投资建设项目。禁止在国家湿地公园的岸线和河段范围内挖沙、采矿，以及任何不符合主体功能 定位的投资建设项目。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5）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 江河湖泊水功能区划》划定的河段及湖泊保护区、保留区内投资建设不利 于水资源及自然生态保护的项目。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6）禁止在长江干支流、重要湖泊岸线一公里范围内新建、扩建化工园区和化工项目。禁止在长江干流岸线三公里范围内和重要支流岸线一公里范围内新建、改建、扩建尾矿库、冶炼 渣库和磷石膏库，以提升安全、生态环境保护水平为目的的改建除外。</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7）禁止在合规园区外新建、扩建钢铁、石化、化工、焦化、建材、有色、制浆造纸等高污染项目。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8）禁止新建、扩建不符合国家石化、现代煤化工等产业布局规划的项目。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9）禁止新建、扩建法律法规和相关  政策明令禁止的落后产能项目。禁止新建、扩建不符合国家产能置换要求的严重过剩产能行业的项目。禁止新建、扩建不符合要求的高耗能高排放项目。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10）法律法规及相关政策文件有更加严格规定的从其规定。</w:t>
                  </w:r>
                </w:p>
                <w:p w14:paraId="1B4391D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6严禁毒鱼、电鱼等严重威胁珍稀鱼类资源的活动。严厉打击河道和湖泊非法采砂，加强对航道疏浚、城镇建设、岸线利用等涉水活动的规范管理。</w:t>
                  </w:r>
                </w:p>
                <w:p w14:paraId="552525C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7禁止在长江干流安徽段及华阳河、水阳江、皖河、青弋江、漳河、滁河干流以及菜子湖</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包括白兔湖、嬉子湖、长河）、巢湖</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包括巢湖主体、裕溪河）等 8 个主要支流和 44个全面禁捕水生生物保护区开展生产性捕捞</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638A37D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 xml:space="preserve">8禁止建设不符合全国和省港口布局规划以及港口总体规划的码头项目。码头建设项目需要使用港口岸线的，项目单位应当按照国家和省港口岸线 使用管理相关规定，办理港口岸线使用手续。未取得港口岸线使用许可的 </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不得开工建设。禁止建设不符合国家《长江干线过江通道布局规划》的过江通道项目。</w:t>
                  </w:r>
                </w:p>
                <w:p w14:paraId="68FE724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9禁止在自然保护区核心区、缓冲区的岸线和河段范围内投资建设旅游和生产经营项目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禁止违反风景名胜区规划，在风景名胜区的岸线和河段范围内设立各类开发区，在核心景区的岸线和河段范围内建设与风景名</w:t>
                  </w:r>
                  <w:r>
                    <w:rPr>
                      <w:rFonts w:hint="eastAsia" w:cs="Times New Roman"/>
                      <w:color w:val="000000" w:themeColor="text1"/>
                      <w:spacing w:val="0"/>
                      <w:w w:val="100"/>
                      <w:sz w:val="21"/>
                      <w:szCs w:val="21"/>
                      <w:lang w:eastAsia="zh-CN"/>
                      <w14:textFill>
                        <w14:solidFill>
                          <w14:schemeClr w14:val="tx1"/>
                        </w14:solidFill>
                      </w14:textFill>
                    </w:rPr>
                    <w:t>胜区</w:t>
                  </w:r>
                  <w:r>
                    <w:rPr>
                      <w:rFonts w:hint="default" w:ascii="Times New Roman" w:hAnsi="Times New Roman" w:eastAsia="宋体" w:cs="Times New Roman"/>
                      <w:color w:val="000000" w:themeColor="text1"/>
                      <w:spacing w:val="0"/>
                      <w:w w:val="100"/>
                      <w:sz w:val="21"/>
                      <w:szCs w:val="21"/>
                      <w14:textFill>
                        <w14:solidFill>
                          <w14:schemeClr w14:val="tx1"/>
                        </w14:solidFill>
                      </w14:textFill>
                    </w:rPr>
                    <w:t>资源保护无关的项目。</w:t>
                  </w:r>
                </w:p>
                <w:p w14:paraId="6A76DBA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10禁止在饮用水水源一级保护区的岸线和河段范围内新建、改建、扩建与供水设施和保护水源无关的建设项目，禁止从事网箱养殖、畜禽养殖、施用化肥农药的种植以及旅游等可能污染饮用水水体的投资建设项目，禁止设立工业废渣、生活垃圾及其他废弃物堆场，禁止设置排污口。禁止在饮用水水源二级保护区的岸线和河段范围内新建、改建、扩建排放污染物的项目，禁止设置排污口。</w:t>
                  </w:r>
                </w:p>
                <w:p w14:paraId="096020A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11禁止在水产种质资源保护区的岸线和河段范围内新建围湖</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河）造田</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地）等项目。</w:t>
                  </w:r>
                </w:p>
                <w:p w14:paraId="4E4E8D5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12除国家另有规定外，禁止在国家湿地公园的岸线和河段范围内挖沙、采矿，以及任何不符合主体功能定位的投资建设项目。</w:t>
                  </w:r>
                </w:p>
                <w:p w14:paraId="2DD2E2A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13禁止违法利用、占用长江流域河湖岸线。</w:t>
                  </w:r>
                </w:p>
                <w:p w14:paraId="69665B1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14禁止在《长江岸线保护和开发利用总体规划》划定的岸线保护区和保留区内投资建设除事关公共安全及公共利益的防洪护岸、河道治理、供水、 生态环境保护、航道整治、国家重要基础设施以外的项目。</w:t>
                  </w:r>
                </w:p>
                <w:p w14:paraId="2053624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15禁止在《全国重要江河湖泊水功能区划》划定的河段及湖泊保护区、保留区内投资建设不利于水资源及自然生态保护的项目。</w:t>
                  </w:r>
                </w:p>
                <w:p w14:paraId="272BEC9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16禁止未经许可在长江</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安徽段）干支流、湖泊新设、改设或扩大排污口</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0978D32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17禁止在合规园区外新建、扩建钢铁、石化、化工、焦化、建材、有色、制浆造纸等高污染项目</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7A0153E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 xml:space="preserve">18禁止新建、扩建不符合国家石化、现代煤化工等产业布局规划的项目。 </w:t>
                  </w:r>
                </w:p>
                <w:p w14:paraId="431C60B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19禁止新建、扩建法律法规和相关政策明令禁止的落后产能项目。严格执行国家《产业结构调整指导目录》淘汰类和限制类有关规定，禁止投资建设属于淘汰类的项目，禁止投资新建属于限制类的项目。对属于限制类的现有生产能力，允许企业在一定期限内采取措施改造升级。</w:t>
                  </w:r>
                </w:p>
                <w:p w14:paraId="1C93BE5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20禁止新建、扩建不符合国家产能置换要求的严重过剩产能行业的项目。 禁止新建、扩建不符合要求的高耗能高排放项目。</w:t>
                  </w:r>
                </w:p>
                <w:p w14:paraId="58490DB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21长江干流及主要支流岸线1公里范围内禁止新建、扩建磷矿、磷化工项目。</w:t>
                  </w:r>
                </w:p>
                <w:p w14:paraId="37DDD55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限制开发建设活动的要求：</w:t>
                  </w:r>
                </w:p>
                <w:p w14:paraId="5727B8F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22严控5公里范围内的新建项目。实施严格的化工项目市场准入制度，除提升安全环保节能水平以及质量升级的改扩建项目外，严格控制新建石油化工和煤化工等重化工、重污染项目。</w:t>
                  </w:r>
                </w:p>
                <w:p w14:paraId="53FD70F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23长江干流岸线15公里范围内新建工业项目原则上全部进园区，其中化工项目进化工园区或主导产业为化工的开发区。严把各类项目准入门槛，严格执行环境保护标准，把主要污染物和重点重金属排放总量控制目标作为 新</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改、扩</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建项目环评审批的前置条件。</w:t>
                  </w:r>
                </w:p>
                <w:p w14:paraId="3F9C74F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24实行化肥施用定额制，加快推广生物农药，严格农药销售使用管理，依法禁限用高毒农药。</w:t>
                  </w:r>
                </w:p>
                <w:p w14:paraId="6652C4B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25对需要实施管控的重大基础设施项目，要明确有关规划依据和管控要求</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如过长江干线通道项目应列入《长江干线过江通道布局规划》。长江干支流基础设施项目应按照《长江岸线保护和开发利用总体规划》和</w:t>
                  </w:r>
                  <w:r>
                    <w:rPr>
                      <w:rFonts w:hint="eastAsia" w:cs="Times New Roman"/>
                      <w:color w:val="000000" w:themeColor="text1"/>
                      <w:spacing w:val="0"/>
                      <w:w w:val="100"/>
                      <w:sz w:val="21"/>
                      <w:szCs w:val="21"/>
                      <w:lang w:eastAsia="zh-CN"/>
                      <w14:textFill>
                        <w14:solidFill>
                          <w14:schemeClr w14:val="tx1"/>
                        </w14:solidFill>
                      </w14:textFill>
                    </w:rPr>
                    <w:t>生态环境保护</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、岸线保护等要求，按指定开展项目前期论证并办理相关手续。</w:t>
                  </w:r>
                </w:p>
                <w:p w14:paraId="370E162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26推进重点领域减煤，严控新增耗煤项目，大气污染防治重点区域内新</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改、扩）建项目实施煤炭消费减量替代。</w:t>
                  </w:r>
                </w:p>
                <w:p w14:paraId="7098011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27加强水产养殖全过程管理，严格控制抗生素过度使用，养殖尾水禁止直 排入河</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湖），沿江、环巢湖等地规模水产养殖尾水实现有效处理或循环利用。</w:t>
                  </w:r>
                </w:p>
                <w:p w14:paraId="1D2783D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不符合空间布局要求活动的退出要求：</w:t>
                  </w:r>
                </w:p>
                <w:p w14:paraId="10298B6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28长江</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安徽段）干支流一公里范围内已批未开工的项目，依法停止建设</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支持重新选址。已经开工建设的项目，严格进行检查评估，不符合岸线 规划和环保、安全要求的，全部依法依规停建搬迁。</w:t>
                  </w:r>
                </w:p>
                <w:p w14:paraId="7FDC2BB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29长江干流岸线5公里范围内的重化工企业，经评估认定，难以就地改造提标的，依法依规搬入合规园区</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在建重化工项目，难以整改达标必须搬迁的，全部依法依规搬入合规园区。</w:t>
                  </w:r>
                </w:p>
                <w:p w14:paraId="4553CB6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30持续开展“散乱污”企业清理整治，对不符合产业政策和规划布局、未办理相关审批手续、不能稳定达标排放以及存在其他违法违规行为的企业</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分类实施关停取缔、整合搬迁、整改提升等措施。对关停取缔类企业</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按照“两断三清”标准整治到位。对整改提升类企业，按照“一企一案”要求实现污染防治设施稳定运行、达标排放。</w:t>
                  </w:r>
                </w:p>
                <w:p w14:paraId="76A177E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31以钢铁、煤炭、水泥、平板玻璃等行业为重点，严把能耗、环保、质量 、安全、技术等标准，严格常态化执法，促使一批达不到标准和生产不合格产品或淘汰类产能的企业，依法依规关停退出。</w:t>
                  </w:r>
                </w:p>
                <w:p w14:paraId="25BE313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32沿江5公里范围内，25度以上坡耕地一律依法依规退耕还林还草，实现植被全覆盖。</w:t>
                  </w:r>
                </w:p>
                <w:p w14:paraId="6585E69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其他空间布局约束要求：</w:t>
                  </w:r>
                </w:p>
                <w:p w14:paraId="22D61DD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33强化对水源周边可能影响水源安全的制药、化工、造纸、采选、制革、 印染、电镀、农药等重点行业企业的执法监管。</w:t>
                  </w:r>
                </w:p>
                <w:p w14:paraId="163A16D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34防范化解沿江水环境风险，优化沿江企业和码头布局，加快重污染企业 搬迁改造和关闭退出，严格储存、装卸危险化学品港口建设项目审批管理。</w:t>
                  </w:r>
                </w:p>
                <w:p w14:paraId="5D017C2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35长江流域地方生态环境部门对长江“三磷”专项排查整治行动中要求关 停取缔的“三磷”企业不予核发排污许可证，已经核发的应依法注销排污许可证</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对纳入规范整治且已核发排污许可证的企业，督促其完成整改并执行排污许可证相关要求。</w:t>
                  </w:r>
                </w:p>
              </w:tc>
              <w:tc>
                <w:tcPr>
                  <w:tcW w:w="1257" w:type="dxa"/>
                  <w:shd w:val="clear" w:color="auto" w:fill="auto"/>
                  <w:vAlign w:val="center"/>
                </w:tcPr>
                <w:p w14:paraId="124FEA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项目选址位于皖江江南新兴产业集中区，距离</w:t>
                  </w:r>
                  <w:r>
                    <w:rPr>
                      <w:rFonts w:hint="default" w:ascii="Times New Roman" w:hAnsi="Times New Roman" w:eastAsia="宋体" w:cs="Times New Roman"/>
                      <w:caps w:val="0"/>
                      <w:smallCaps w:val="0"/>
                      <w:color w:val="auto"/>
                      <w:spacing w:val="0"/>
                      <w:w w:val="100"/>
                      <w:position w:val="0"/>
                      <w:sz w:val="21"/>
                      <w:szCs w:val="21"/>
                      <w:highlight w:val="none"/>
                    </w:rPr>
                    <w:t>长江</w:t>
                  </w:r>
                  <w:r>
                    <w:rPr>
                      <w:rFonts w:hint="eastAsia" w:cs="Times New Roman"/>
                      <w:caps w:val="0"/>
                      <w:smallCaps w:val="0"/>
                      <w:color w:val="auto"/>
                      <w:spacing w:val="0"/>
                      <w:w w:val="100"/>
                      <w:position w:val="0"/>
                      <w:sz w:val="21"/>
                      <w:szCs w:val="21"/>
                      <w:highlight w:val="none"/>
                      <w:lang w:val="en-US" w:eastAsia="zh-CN"/>
                    </w:rPr>
                    <w:t>岸线3.8km</w:t>
                  </w:r>
                  <w:r>
                    <w:rPr>
                      <w:rFonts w:hint="default" w:ascii="Times New Roman" w:hAnsi="Times New Roman" w:eastAsia="宋体" w:cs="Times New Roman"/>
                      <w:caps w:val="0"/>
                      <w:smallCaps w:val="0"/>
                      <w:color w:val="auto"/>
                      <w:spacing w:val="0"/>
                      <w:w w:val="100"/>
                      <w:position w:val="0"/>
                      <w:sz w:val="21"/>
                      <w:szCs w:val="21"/>
                      <w:highlight w:val="none"/>
                    </w:rPr>
                    <w:t>，</w:t>
                  </w:r>
                  <w:r>
                    <w:rPr>
                      <w:rFonts w:hint="eastAsia" w:cs="Times New Roman"/>
                      <w:caps w:val="0"/>
                      <w:smallCaps w:val="0"/>
                      <w:color w:val="auto"/>
                      <w:spacing w:val="0"/>
                      <w:w w:val="100"/>
                      <w:position w:val="0"/>
                      <w:sz w:val="21"/>
                      <w:szCs w:val="21"/>
                      <w:highlight w:val="none"/>
                      <w:lang w:val="en-US" w:eastAsia="zh-CN"/>
                    </w:rPr>
                    <w:t>距离九华河岸线距离1.14km</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，不属于两高项目，不属于</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尾矿库、冶炼渣库和磷石膏库项目。</w:t>
                  </w:r>
                  <w:r>
                    <w:rPr>
                      <w:rFonts w:hint="eastAsia" w:cs="Times New Roman"/>
                      <w:color w:val="000000" w:themeColor="text1"/>
                      <w:spacing w:val="0"/>
                      <w:w w:val="100"/>
                      <w:sz w:val="21"/>
                      <w:szCs w:val="21"/>
                      <w:lang w:val="en-US" w:eastAsia="zh-CN"/>
                      <w14:textFill>
                        <w14:solidFill>
                          <w14:schemeClr w14:val="tx1"/>
                        </w14:solidFill>
                      </w14:textFill>
                    </w:rPr>
                    <w:t>（2）项目不属于化工项目。</w:t>
                  </w:r>
                </w:p>
              </w:tc>
            </w:tr>
            <w:tr w14:paraId="4AF9D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78" w:type="dxa"/>
                  <w:vMerge w:val="continue"/>
                  <w:shd w:val="clear" w:color="auto" w:fill="auto"/>
                  <w:vAlign w:val="center"/>
                </w:tcPr>
                <w:p w14:paraId="40F7D8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pPr>
                </w:p>
              </w:tc>
              <w:tc>
                <w:tcPr>
                  <w:tcW w:w="10383" w:type="dxa"/>
                  <w:shd w:val="clear" w:color="auto" w:fill="auto"/>
                  <w:vAlign w:val="center"/>
                </w:tcPr>
                <w:p w14:paraId="6B936C3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0AD322C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1严禁新增钢铁、焦化、电解铝、铸造、水泥和平板玻璃等产能，原则上禁止新建燃料类煤气发生炉，禁止掺烧高硫石油焦</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硫含量大于3%）。</w:t>
                  </w:r>
                </w:p>
                <w:p w14:paraId="2E611D0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2禁止在铁路、高速公路、省级以上的主要公路和沿江、河、水库近岸规定范围内开采矿产资源。</w:t>
                  </w:r>
                </w:p>
                <w:p w14:paraId="61F02C4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3禁止建设没有环境容量和减排总量的项目，禁止建设没有能耗总量的项目，禁止建设单耗高于安徽省主要工业产品能耗限额的项目。</w:t>
                  </w:r>
                </w:p>
                <w:p w14:paraId="6B56103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4平天湖实施禁养制度。</w:t>
                  </w:r>
                </w:p>
                <w:p w14:paraId="05A7FBB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5强化有色冶炼、化工、危险废物处 置等重点行业新建项目土壤环境影响评价，防止在产业结构和布局调整过程中造成新的难以治理的土壤污染</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5BC1B87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6按照科学有序原则开发未利用地，防止新增土壤污染。农用地开发项目需重点开展土壤环境质量状况评估，禁止不符合相应标准的耕地种植食用农产品，加强纳入耕地后备资源的未利用地保护。严格执行相关行业企业布局选址要求，禁止在居民区、学校、 医疗和养老机构等周边新建有色金属冶炼、焦化等行业企业。结合推进新 型城镇化、产业结构调整和化解过剩产能等，有序搬迁或依法关闭对土壤 造成严重污染的企业。结合区域功能定位和土壤污染防治需要，科学布局 生活垃圾处理、危险废物处置、废旧资源再生利用等设施和场所。</w:t>
                  </w:r>
                </w:p>
                <w:p w14:paraId="0F83D85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7根据土壤和农产品中污染物特征，各县区依法划定严格管控类耕地农产品禁止生产区域，严禁种植食用农产品，实时开展土壤、地表水、地下水和空气 环境质量监测，对存在污染扩散倾向的区域，要及时采取污染物隔离、阻 断等环境风险防控措施。鼓励采取种植结构调整、退耕还林还草等措施</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确保严格管控类耕地得到安全利用</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6C22041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8以市建成区为重点，按《池州市人民政府关于确定禁止燃用高污染燃料区域燃料组合类别的通告》要求严格执行，即：禁止燃用煤炭及其制品</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包括原煤、散煤、煤矸石、煤泥、煤粉、水煤浆、型煤、焦炭、兰炭等）。</w:t>
                  </w:r>
                </w:p>
                <w:p w14:paraId="5FA749B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限制开发建设活动的要求：</w:t>
                  </w:r>
                </w:p>
                <w:p w14:paraId="185B83F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1合理控制煤炭消费总量，确需新建用煤项目严格执行煤炭等量或减量替代。</w:t>
                  </w:r>
                </w:p>
                <w:p w14:paraId="6DA3D90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2严格控制高耗水、高污染行业发展，新建、改建、扩建重点行业建设项目实行主要污染物排放减量置换。</w:t>
                  </w:r>
                </w:p>
                <w:p w14:paraId="71543B4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3严格控制化学原料和化学制品制造、医药制造、化学纤维制造、有色金属冶炼，纺织印染等项目环境风险</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合理布局生产装置及危险化学品仓储等设施。</w:t>
                  </w:r>
                </w:p>
                <w:p w14:paraId="291C117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4升金湖、入江口等湖泊河流要实施限制养殖制度。</w:t>
                  </w:r>
                </w:p>
                <w:p w14:paraId="1039430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5开发、生产建设项目选址选线应当尽量避让水土保持预防保护区，如果无法避让，则可以要求提高防治标准，优化施工工艺，减少地表扰动和植被损坏范围，有效控制可能造成的水</w:t>
                  </w:r>
                  <w:r>
                    <w:rPr>
                      <w:rFonts w:hint="eastAsia" w:cs="Times New Roman"/>
                      <w:color w:val="000000" w:themeColor="text1"/>
                      <w:spacing w:val="0"/>
                      <w:w w:val="100"/>
                      <w:sz w:val="21"/>
                      <w:szCs w:val="21"/>
                      <w:lang w:val="en-US" w:eastAsia="zh-CN"/>
                      <w14:textFill>
                        <w14:solidFill>
                          <w14:schemeClr w14:val="tx1"/>
                        </w14:solidFill>
                      </w14:textFill>
                    </w:rPr>
                    <w:t>土</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流失维 护生态环境的健康安全。</w:t>
                  </w:r>
                </w:p>
                <w:p w14:paraId="0AD1F09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6加大对市水土保持重点防治区内采石场、取土场的监督管理，严格控制生产范围，对即将或已废弃的区域要求生产建设单位采取复耕或复绿措施，保护生态环境。</w:t>
                  </w:r>
                </w:p>
                <w:p w14:paraId="024847D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7将环境影响较大、土地利用效率低、资源消耗多、产能过剩的产业列为限制类。</w:t>
                  </w:r>
                </w:p>
                <w:p w14:paraId="4F19A78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8不鼓励曾用于生产、使用、贮存、回收、处置有毒有害物质的企业用地复垦为食用农产品耕地，确需复垦为食用农产品耕地的，应确保农用地风险管控标准之外的特征污染物不超过所在地土壤环境背景值，并依法进行分类管理。从严控制优先保护类耕地的使用情况，控制污染输入，监视污染动态，维护安全状态，保障土壤环境质量不降低。加强优先保护类土地区域的环境监管，开展周边污染源排查与整治，制定预防措施，防止对耕地造成污染。对严重影响优先保护类土地区域土壤环境质量的企业要限期予以治理，未达到治理要求的，要依法责令停产或关闭，并对其造成的土壤污染进行治理。</w:t>
                  </w:r>
                </w:p>
                <w:p w14:paraId="3AA0B56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不符合空间布局要求活动的退出要求：</w:t>
                  </w:r>
                </w:p>
                <w:p w14:paraId="581BFBB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1.加大落后产能和不达标工业炉窑淘汰力度，对热效率低下、敞开未封闭</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装备简易落后、自动化程度低，无组织排放突出，以及无治理设施或治 理设施工艺落后等严重污染环境的工业炉窑，依法责令停业关闭。对以煤、石油焦、渣油、重油等为燃料的工业炉窑，加快使用清洁低碳能源以及利用工厂余热、电厂热力等进行替代。</w:t>
                  </w:r>
                </w:p>
                <w:p w14:paraId="1814E0B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2.持续开展燃煤锅炉淘汰整治行动。不再办理新建35蒸吨/时及以下燃煤锅炉的使用登记。</w:t>
                  </w:r>
                </w:p>
                <w:p w14:paraId="6CF48AE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各级城市管理行 政执法部门根据职责对片区内餐饮燃煤灶、燃烧散煤、燃柴的小茶浴炉、煤球炉、燃煤锅炉予以收缴煤球、燃煤工具和依法取缔。拒不整改的，由 属地城市管理行政执法部门依法下达限期整改通知书，责令餐饮燃煤灶、燃烧散煤、燃柴的小茶浴炉、煤球炉、燃煤锅炉居民自行整改、拆除到位</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3A89783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其他空间布局约束要求：</w:t>
                  </w:r>
                </w:p>
                <w:p w14:paraId="4309CE4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1新建项目一律不得违规占用水域，严禁占用水源保护区。</w:t>
                  </w:r>
                </w:p>
                <w:p w14:paraId="0328FD7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2崩塌、滑坡危 险区和泥石流易发区以及水土流失严重、生态脆弱的地区限制或禁止措施</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重点预防区生产建设活动限制或禁止以及提高水土流失防治标准等措施</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25°以上陡坡地和供水水库库岸至首道山脊线内荒坡地禁止垦造耕地</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利用低丘缓坡垦造耕地的禁止顺坡耕种等措施。</w:t>
                  </w:r>
                </w:p>
                <w:p w14:paraId="342FC3F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开发利用的地块，必须符合相应规划用地土壤环境质量要求，暂不开发利用或现阶段不具备治理修复条件的污染地块，由县区政府组织划定管控区域，设立标识，发布公告，开展监测，发现污染扩散的，责令相关责任方清理残留污染，有关责任主体要制定环境风险管控方案，封闭污染区域，采取污染物隔离、阻断等工程和管理措施，防止污染进一步扩散。</w:t>
                  </w:r>
                </w:p>
                <w:p w14:paraId="6B5C4C1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4按照各县区畜禽养殖布局规划，以乡镇为单位制定本区域畜禽养殖污染防治方案，明确污染防治的目标、任务、重点区域和防治措施，依法关闭禁养区养殖户，同时对原址 进行清理、复绿，对限养区的养殖户严格控制养殖数量，同时做好畜禽废 弃物的安全排放。</w:t>
                  </w:r>
                </w:p>
                <w:p w14:paraId="3DC5CFF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10603B3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1禁止在生态功能保护区范围内从事下列可能导致生态功能退化的开发活动：</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1）在水源涵养生态功能保护区内从事毁林、毁草、破坏湿地等活动</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2）在水土保持生态功能保护区内从事毁林、烧荒、开垦陡坡地等活动</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3）在生物多样性维护生态功能保护区内从事滥捕、乱挖野生动植物等活动。</w:t>
                  </w:r>
                </w:p>
                <w:p w14:paraId="1EEABF9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2生物多样性保护生态功能区内：</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1）禁止对野生动植物进行滥捕、乱采、乱猎。</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2）加强对外来物种入侵的控制，禁止在生物多样性保护功能区引进外来物种。</w:t>
                  </w:r>
                </w:p>
                <w:p w14:paraId="7969002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3国家重点生态功能区禁止开发建设活动执行《安徽省国家重点生态功能区产业准入负面清单</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试行）》。</w:t>
                  </w:r>
                </w:p>
                <w:p w14:paraId="67A6A25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限制开发建设活动的要求：</w:t>
                  </w:r>
                </w:p>
                <w:p w14:paraId="40D99C6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4重点生态功能区内：</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推进天然林草保护、退耕还林和围栏封育，治理水土流失，维护或重建湿地、森林、草原等生态系统。严格保护具有水源涵养功能的自然植被，禁止过度放牧、无序采矿、毁林开荒、开垦草原等行为。加强大江大河源头及上游地区的小流域治理和植树造林，减少面 源污染。拓宽农民增收渠道，解决农民长远生计，巩固退耕还林、退牧还草成果。</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2）禁止对野生动植物进行滥捕滥采，保持并恢复野生动植物物种和种群的平衡，实现野生动植物资源的良性循环和永续利用。加强防御外来物种入侵的能力，防止外来有害物种对生态系统的侵害。保护自然 生态系统与重要物种栖息地，防止生态建设导致栖息环境的改变。</w:t>
                  </w:r>
                </w:p>
                <w:p w14:paraId="2D4573E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5生物多样性保护生态功能区内：保护自然生态系统与重要物种栖息地</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限制或禁止各种损害栖息地的经济社会活动和生产方式，如无序采矿、毁林开荒、湿地和草地开垦、道路建设等。防止生态建设导致栖息环境的改变。</w:t>
                  </w:r>
                </w:p>
                <w:p w14:paraId="41E8D7B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6国家重点生态功能区限制开发建设活动的要求执行《安徽省国家重点生态功能区产业准入负面清单</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试行）》。</w:t>
                  </w:r>
                </w:p>
              </w:tc>
              <w:tc>
                <w:tcPr>
                  <w:tcW w:w="1257" w:type="dxa"/>
                  <w:shd w:val="clear" w:color="auto" w:fill="auto"/>
                  <w:vAlign w:val="center"/>
                </w:tcPr>
                <w:p w14:paraId="304FE9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项目不涉及。</w:t>
                  </w:r>
                </w:p>
              </w:tc>
            </w:tr>
          </w:tbl>
          <w:p w14:paraId="4BFFC212">
            <w:pPr>
              <w:autoSpaceDE w:val="0"/>
              <w:autoSpaceDN w:val="0"/>
              <w:adjustRightInd w:val="0"/>
              <w:snapToGrid w:val="0"/>
              <w:jc w:val="center"/>
              <w:rPr>
                <w:color w:val="000000" w:themeColor="text1"/>
                <w:spacing w:val="0"/>
                <w:w w:val="100"/>
                <w14:textFill>
                  <w14:solidFill>
                    <w14:schemeClr w14:val="tx1"/>
                  </w14:solidFill>
                </w14:textFill>
              </w:rPr>
            </w:pPr>
            <w:r>
              <w:rPr>
                <w:color w:val="000000" w:themeColor="text1"/>
                <w:spacing w:val="0"/>
                <w:w w:val="100"/>
                <w:sz w:val="2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2934970</wp:posOffset>
                      </wp:positionH>
                      <wp:positionV relativeFrom="paragraph">
                        <wp:posOffset>1362075</wp:posOffset>
                      </wp:positionV>
                      <wp:extent cx="812800" cy="325120"/>
                      <wp:effectExtent l="4445" t="4445" r="356235" b="264795"/>
                      <wp:wrapNone/>
                      <wp:docPr id="4" name="矩形标注 4"/>
                      <wp:cNvGraphicFramePr/>
                      <a:graphic xmlns:a="http://schemas.openxmlformats.org/drawingml/2006/main">
                        <a:graphicData uri="http://schemas.microsoft.com/office/word/2010/wordprocessingShape">
                          <wps:wsp>
                            <wps:cNvSpPr/>
                            <wps:spPr>
                              <a:xfrm>
                                <a:off x="5701665" y="2231390"/>
                                <a:ext cx="812800" cy="325120"/>
                              </a:xfrm>
                              <a:prstGeom prst="wedgeRectCallout">
                                <a:avLst>
                                  <a:gd name="adj1" fmla="val 93203"/>
                                  <a:gd name="adj2" fmla="val 128906"/>
                                </a:avLst>
                              </a:prstGeom>
                              <a:noFill/>
                              <a:ln w="3175">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A718E19">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31.1pt;margin-top:107.25pt;height:25.6pt;width:64pt;z-index:251664384;v-text-anchor:middle;mso-width-relative:page;mso-height-relative:page;" filled="f" stroked="t" coordsize="21600,21600" o:gfxdata="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KivGFtcAAAALAQAADwAAAAAAAAABACAAAAAiAAAAZHJzL2Rvd25yZXYueG1s&#10;UEsBAhQAFAAAAAgAh07iQCNzXcykAgAALQUAAA4AAAAAAAAAAQAgAAAAJgEAAGRycy9lMm9Eb2Mu&#10;eG1sUEsFBgAAAAAGAAYAWQEAADwGAAAAAA==&#10;" adj="30932,38644">
                      <v:fill on="f" focussize="0,0"/>
                      <v:stroke weight="0.25pt" color="#000000 [3213]" joinstyle="round"/>
                      <v:imagedata o:title=""/>
                      <o:lock v:ext="edit" aspectratio="f"/>
                      <v:textbox>
                        <w:txbxContent>
                          <w:p w14:paraId="7A718E19">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项目地</w:t>
                            </w:r>
                          </w:p>
                        </w:txbxContent>
                      </v:textbox>
                    </v:shape>
                  </w:pict>
                </mc:Fallback>
              </mc:AlternateContent>
            </w:r>
            <w:r>
              <w:rPr>
                <w:color w:val="000000" w:themeColor="text1"/>
                <w:spacing w:val="0"/>
                <w:w w:val="100"/>
                <w14:textFill>
                  <w14:solidFill>
                    <w14:schemeClr w14:val="tx1"/>
                  </w14:solidFill>
                </w14:textFill>
              </w:rPr>
              <w:drawing>
                <wp:inline distT="0" distB="0" distL="114300" distR="114300">
                  <wp:extent cx="8027670" cy="3448050"/>
                  <wp:effectExtent l="0" t="0" r="3810" b="1143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8027670" cy="3448050"/>
                          </a:xfrm>
                          <a:prstGeom prst="rect">
                            <a:avLst/>
                          </a:prstGeom>
                          <a:noFill/>
                          <a:ln>
                            <a:noFill/>
                          </a:ln>
                        </pic:spPr>
                      </pic:pic>
                    </a:graphicData>
                  </a:graphic>
                </wp:inline>
              </w:drawing>
            </w:r>
          </w:p>
          <w:p w14:paraId="54889A80">
            <w:pPr>
              <w:keepNext w:val="0"/>
              <w:keepLines w:val="0"/>
              <w:pageBreakBefore w:val="0"/>
              <w:widowControl w:val="0"/>
              <w:kinsoku/>
              <w:wordWrap/>
              <w:overflowPunct/>
              <w:topLinePunct w:val="0"/>
              <w:autoSpaceDE w:val="0"/>
              <w:autoSpaceDN w:val="0"/>
              <w:bidi w:val="0"/>
              <w:adjustRightInd w:val="0"/>
              <w:snapToGrid w:val="0"/>
              <w:spacing w:line="480" w:lineRule="atLeast"/>
              <w:jc w:val="center"/>
              <w:textAlignment w:val="auto"/>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pPr>
            <w:r>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t>图1-</w:t>
            </w:r>
            <w:r>
              <w:rPr>
                <w:rFonts w:hint="eastAsia" w:cs="Times New Roman"/>
                <w:b/>
                <w:bCs/>
                <w:color w:val="000000" w:themeColor="text1"/>
                <w:spacing w:val="0"/>
                <w:w w:val="100"/>
                <w:kern w:val="0"/>
                <w:position w:val="0"/>
                <w:sz w:val="21"/>
                <w:szCs w:val="21"/>
                <w:lang w:val="en-US" w:eastAsia="zh-CN"/>
                <w14:textFill>
                  <w14:solidFill>
                    <w14:schemeClr w14:val="tx1"/>
                  </w14:solidFill>
                </w14:textFill>
              </w:rPr>
              <w:t>1</w:t>
            </w:r>
            <w:r>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t xml:space="preserve">  本项目涉及管控单元位置图</w:t>
            </w:r>
          </w:p>
          <w:p w14:paraId="2ED62951">
            <w:pPr>
              <w:widowControl w:val="0"/>
              <w:tabs>
                <w:tab w:val="left" w:pos="828"/>
              </w:tabs>
              <w:spacing w:line="480" w:lineRule="atLeast"/>
              <w:ind w:firstLine="482" w:firstLineChars="200"/>
              <w:jc w:val="both"/>
              <w:rPr>
                <w:rFonts w:hint="eastAsia" w:ascii="Times New Roman" w:hAnsi="Times New Roman" w:eastAsia="宋体" w:cs="Times New Roman"/>
                <w:b/>
                <w:bCs/>
                <w:color w:val="000000" w:themeColor="text1"/>
                <w:spacing w:val="0"/>
                <w:w w:val="100"/>
                <w:kern w:val="0"/>
                <w:sz w:val="24"/>
                <w:szCs w:val="20"/>
                <w:lang w:val="en-US" w:eastAsia="zh-CN" w:bidi="ar-SA"/>
                <w14:textFill>
                  <w14:solidFill>
                    <w14:schemeClr w14:val="tx1"/>
                  </w14:solidFill>
                </w14:textFill>
              </w:rPr>
            </w:pPr>
          </w:p>
          <w:p w14:paraId="47875DB6">
            <w:pPr>
              <w:widowControl w:val="0"/>
              <w:tabs>
                <w:tab w:val="left" w:pos="828"/>
              </w:tabs>
              <w:spacing w:line="480" w:lineRule="atLeast"/>
              <w:ind w:firstLine="482" w:firstLineChars="200"/>
              <w:jc w:val="both"/>
              <w:rPr>
                <w:rFonts w:hint="eastAsia" w:ascii="Times New Roman" w:hAnsi="Times New Roman" w:eastAsia="宋体" w:cs="Times New Roman"/>
                <w:b/>
                <w:bCs/>
                <w:color w:val="000000" w:themeColor="text1"/>
                <w:spacing w:val="0"/>
                <w:w w:val="100"/>
                <w:kern w:val="0"/>
                <w:sz w:val="24"/>
                <w:szCs w:val="20"/>
                <w:lang w:val="en-US" w:eastAsia="zh-CN" w:bidi="ar-SA"/>
                <w14:textFill>
                  <w14:solidFill>
                    <w14:schemeClr w14:val="tx1"/>
                  </w14:solidFill>
                </w14:textFill>
              </w:rPr>
            </w:pPr>
          </w:p>
          <w:p w14:paraId="4A692A43">
            <w:pPr>
              <w:widowControl w:val="0"/>
              <w:tabs>
                <w:tab w:val="left" w:pos="828"/>
              </w:tabs>
              <w:spacing w:line="480" w:lineRule="atLeast"/>
              <w:ind w:firstLine="482" w:firstLineChars="200"/>
              <w:jc w:val="both"/>
              <w:rPr>
                <w:rFonts w:hint="eastAsia" w:ascii="Times New Roman" w:hAnsi="Times New Roman" w:eastAsia="宋体" w:cs="Times New Roman"/>
                <w:b/>
                <w:bCs/>
                <w:color w:val="000000" w:themeColor="text1"/>
                <w:spacing w:val="0"/>
                <w:w w:val="100"/>
                <w:kern w:val="0"/>
                <w:sz w:val="24"/>
                <w:szCs w:val="20"/>
                <w:lang w:val="en-US" w:eastAsia="zh-CN" w:bidi="ar-SA"/>
                <w14:textFill>
                  <w14:solidFill>
                    <w14:schemeClr w14:val="tx1"/>
                  </w14:solidFill>
                </w14:textFill>
              </w:rPr>
            </w:pPr>
          </w:p>
          <w:p w14:paraId="1A4D5F8A">
            <w:pPr>
              <w:widowControl w:val="0"/>
              <w:tabs>
                <w:tab w:val="left" w:pos="828"/>
              </w:tabs>
              <w:spacing w:line="480" w:lineRule="atLeast"/>
              <w:ind w:firstLine="482" w:firstLineChars="200"/>
              <w:jc w:val="both"/>
              <w:rPr>
                <w:rFonts w:hint="eastAsia" w:ascii="Times New Roman" w:hAnsi="Times New Roman" w:eastAsia="宋体" w:cs="Times New Roman"/>
                <w:b/>
                <w:bCs/>
                <w:color w:val="000000" w:themeColor="text1"/>
                <w:spacing w:val="0"/>
                <w:w w:val="100"/>
                <w:kern w:val="0"/>
                <w:sz w:val="24"/>
                <w:szCs w:val="20"/>
                <w:lang w:val="en-US" w:eastAsia="zh-CN" w:bidi="ar-SA"/>
                <w14:textFill>
                  <w14:solidFill>
                    <w14:schemeClr w14:val="tx1"/>
                  </w14:solidFill>
                </w14:textFill>
              </w:rPr>
            </w:pPr>
          </w:p>
          <w:p w14:paraId="76F47414">
            <w:pPr>
              <w:widowControl w:val="0"/>
              <w:tabs>
                <w:tab w:val="left" w:pos="828"/>
              </w:tabs>
              <w:spacing w:line="480" w:lineRule="atLeast"/>
              <w:ind w:firstLine="482" w:firstLineChars="200"/>
              <w:jc w:val="both"/>
              <w:rPr>
                <w:rFonts w:hint="eastAsia" w:ascii="Times New Roman" w:hAnsi="Times New Roman" w:eastAsia="宋体" w:cs="Times New Roman"/>
                <w:b/>
                <w:bCs/>
                <w:color w:val="000000" w:themeColor="text1"/>
                <w:spacing w:val="0"/>
                <w:w w:val="100"/>
                <w:kern w:val="0"/>
                <w:sz w:val="24"/>
                <w:szCs w:val="20"/>
                <w:lang w:val="en-US" w:eastAsia="zh-CN" w:bidi="ar-SA"/>
                <w14:textFill>
                  <w14:solidFill>
                    <w14:schemeClr w14:val="tx1"/>
                  </w14:solidFill>
                </w14:textFill>
              </w:rPr>
            </w:pPr>
          </w:p>
          <w:p w14:paraId="5966435C">
            <w:pPr>
              <w:widowControl w:val="0"/>
              <w:tabs>
                <w:tab w:val="left" w:pos="828"/>
              </w:tabs>
              <w:spacing w:line="480" w:lineRule="atLeast"/>
              <w:ind w:firstLine="482" w:firstLineChars="200"/>
              <w:jc w:val="both"/>
              <w:rPr>
                <w:rFonts w:hint="eastAsia" w:ascii="Times New Roman" w:hAnsi="Times New Roman" w:eastAsia="宋体" w:cs="Times New Roman"/>
                <w:b/>
                <w:bCs/>
                <w:color w:val="000000" w:themeColor="text1"/>
                <w:spacing w:val="0"/>
                <w:w w:val="100"/>
                <w:kern w:val="0"/>
                <w:sz w:val="24"/>
                <w:szCs w:val="20"/>
                <w:lang w:val="en-US" w:eastAsia="zh-CN" w:bidi="ar-SA"/>
                <w14:textFill>
                  <w14:solidFill>
                    <w14:schemeClr w14:val="tx1"/>
                  </w14:solidFill>
                </w14:textFill>
              </w:rPr>
            </w:pPr>
          </w:p>
          <w:p w14:paraId="2A112354">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default"/>
                <w:b/>
                <w:color w:val="000000" w:themeColor="text1"/>
                <w:spacing w:val="0"/>
                <w:w w:val="100"/>
                <w:position w:val="0"/>
                <w:sz w:val="24"/>
                <w:lang w:val="en-US" w:eastAsia="zh-CN"/>
                <w14:textFill>
                  <w14:solidFill>
                    <w14:schemeClr w14:val="tx1"/>
                  </w14:solidFill>
                </w14:textFill>
              </w:rPr>
            </w:pPr>
            <w:r>
              <w:rPr>
                <w:rFonts w:hint="eastAsia"/>
                <w:b/>
                <w:color w:val="000000" w:themeColor="text1"/>
                <w:spacing w:val="0"/>
                <w:w w:val="100"/>
                <w:position w:val="0"/>
                <w:sz w:val="24"/>
                <w:lang w:val="en-US" w:eastAsia="zh-CN"/>
                <w14:textFill>
                  <w14:solidFill>
                    <w14:schemeClr w14:val="tx1"/>
                  </w14:solidFill>
                </w14:textFill>
              </w:rPr>
              <w:t>6、与</w:t>
            </w:r>
            <w:r>
              <w:rPr>
                <w:b/>
                <w:bCs/>
                <w:color w:val="000000" w:themeColor="text1"/>
                <w:spacing w:val="0"/>
                <w:w w:val="100"/>
                <w:sz w:val="24"/>
                <w:szCs w:val="24"/>
                <w14:textFill>
                  <w14:solidFill>
                    <w14:schemeClr w14:val="tx1"/>
                  </w14:solidFill>
                </w14:textFill>
              </w:rPr>
              <w:t>《光伏组件回收再利用通用技术要求》</w:t>
            </w:r>
            <w:r>
              <w:rPr>
                <w:rFonts w:hint="eastAsia"/>
                <w:b/>
                <w:bCs/>
                <w:color w:val="000000" w:themeColor="text1"/>
                <w:spacing w:val="0"/>
                <w:w w:val="100"/>
                <w:sz w:val="24"/>
                <w:szCs w:val="24"/>
                <w:lang w:eastAsia="zh-CN"/>
                <w14:textFill>
                  <w14:solidFill>
                    <w14:schemeClr w14:val="tx1"/>
                  </w14:solidFill>
                </w14:textFill>
              </w:rPr>
              <w:t>（</w:t>
            </w:r>
            <w:r>
              <w:rPr>
                <w:color w:val="000000" w:themeColor="text1"/>
                <w:spacing w:val="0"/>
                <w:w w:val="100"/>
                <w14:textFill>
                  <w14:solidFill>
                    <w14:schemeClr w14:val="tx1"/>
                  </w14:solidFill>
                </w14:textFill>
              </w:rPr>
              <w:fldChar w:fldCharType="begin"/>
            </w:r>
            <w:r>
              <w:rPr>
                <w:color w:val="000000" w:themeColor="text1"/>
                <w:spacing w:val="0"/>
                <w:w w:val="100"/>
                <w14:textFill>
                  <w14:solidFill>
                    <w14:schemeClr w14:val="tx1"/>
                  </w14:solidFill>
                </w14:textFill>
              </w:rPr>
              <w:instrText xml:space="preserve"> HYPERLINK "http://www.baidu.com/link?url=7FDlXXrG8xMvZ5F1d6obpVEpFS4J7c7yIUxKowkCRUAi53EioxbGtwVDlf2_9bRVirfN34MM3w65d6Hv5BOuMdX6DdeAaIeg20mZie-qByu" </w:instrText>
            </w:r>
            <w:r>
              <w:rPr>
                <w:color w:val="000000" w:themeColor="text1"/>
                <w:spacing w:val="0"/>
                <w:w w:val="100"/>
                <w14:textFill>
                  <w14:solidFill>
                    <w14:schemeClr w14:val="tx1"/>
                  </w14:solidFill>
                </w14:textFill>
              </w:rPr>
              <w:fldChar w:fldCharType="separate"/>
            </w:r>
            <w:r>
              <w:rPr>
                <w:rFonts w:ascii="Times New Roman" w:hAnsi="Times New Roman" w:eastAsia="Times New Roman" w:cs="Times New Roman"/>
                <w:b/>
                <w:bCs/>
                <w:color w:val="000000" w:themeColor="text1"/>
                <w:spacing w:val="0"/>
                <w:w w:val="100"/>
                <w:sz w:val="24"/>
                <w:szCs w:val="24"/>
                <w14:textFill>
                  <w14:solidFill>
                    <w14:schemeClr w14:val="tx1"/>
                  </w14:solidFill>
                </w14:textFill>
              </w:rPr>
              <w:t>GB/T 39753-2021</w:t>
            </w:r>
            <w:r>
              <w:rPr>
                <w:rFonts w:ascii="Times New Roman" w:hAnsi="Times New Roman" w:eastAsia="Times New Roman" w:cs="Times New Roman"/>
                <w:b/>
                <w:bCs/>
                <w:color w:val="000000" w:themeColor="text1"/>
                <w:spacing w:val="0"/>
                <w:w w:val="100"/>
                <w:sz w:val="24"/>
                <w:szCs w:val="24"/>
                <w14:textFill>
                  <w14:solidFill>
                    <w14:schemeClr w14:val="tx1"/>
                  </w14:solidFill>
                </w14:textFill>
              </w:rPr>
              <w:fldChar w:fldCharType="end"/>
            </w:r>
            <w:r>
              <w:rPr>
                <w:b/>
                <w:bCs/>
                <w:color w:val="000000" w:themeColor="text1"/>
                <w:spacing w:val="0"/>
                <w:w w:val="100"/>
                <w:sz w:val="24"/>
                <w:szCs w:val="24"/>
                <w14:textFill>
                  <w14:solidFill>
                    <w14:schemeClr w14:val="tx1"/>
                  </w14:solidFill>
                </w14:textFill>
              </w:rPr>
              <w:t>）</w:t>
            </w:r>
            <w:r>
              <w:rPr>
                <w:rFonts w:hint="eastAsia"/>
                <w:b/>
                <w:bCs/>
                <w:color w:val="000000" w:themeColor="text1"/>
                <w:spacing w:val="0"/>
                <w:w w:val="100"/>
                <w:sz w:val="24"/>
                <w:szCs w:val="24"/>
                <w:lang w:eastAsia="zh-CN"/>
                <w14:textFill>
                  <w14:solidFill>
                    <w14:schemeClr w14:val="tx1"/>
                  </w14:solidFill>
                </w14:textFill>
              </w:rPr>
              <w:t>符合性</w:t>
            </w:r>
            <w:r>
              <w:rPr>
                <w:b/>
                <w:bCs/>
                <w:color w:val="000000" w:themeColor="text1"/>
                <w:spacing w:val="0"/>
                <w:w w:val="100"/>
                <w:sz w:val="24"/>
                <w:szCs w:val="24"/>
                <w14:textFill>
                  <w14:solidFill>
                    <w14:schemeClr w14:val="tx1"/>
                  </w14:solidFill>
                </w14:textFill>
              </w:rPr>
              <w:t>分析</w:t>
            </w:r>
          </w:p>
          <w:p w14:paraId="71844BA7">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b/>
                <w:color w:val="000000" w:themeColor="text1"/>
                <w:spacing w:val="0"/>
                <w:w w:val="100"/>
                <w:position w:val="0"/>
                <w:sz w:val="24"/>
                <w:lang w:val="en-US" w:eastAsia="zh-CN"/>
                <w14:textFill>
                  <w14:solidFill>
                    <w14:schemeClr w14:val="tx1"/>
                  </w14:solidFill>
                </w14:textFill>
              </w:rPr>
            </w:pPr>
            <w:r>
              <w:rPr>
                <w:b/>
                <w:bCs/>
                <w:color w:val="000000" w:themeColor="text1"/>
                <w:spacing w:val="0"/>
                <w:w w:val="100"/>
                <w14:textFill>
                  <w14:solidFill>
                    <w14:schemeClr w14:val="tx1"/>
                  </w14:solidFill>
                </w14:textFill>
              </w:rPr>
              <w:t>表</w:t>
            </w:r>
            <w:r>
              <w:rPr>
                <w:color w:val="000000" w:themeColor="text1"/>
                <w:spacing w:val="0"/>
                <w:w w:val="100"/>
                <w14:textFill>
                  <w14:solidFill>
                    <w14:schemeClr w14:val="tx1"/>
                  </w14:solidFill>
                </w14:textFill>
              </w:rPr>
              <w:t xml:space="preserve"> </w:t>
            </w:r>
            <w:r>
              <w:rPr>
                <w:rFonts w:ascii="Times New Roman" w:hAnsi="Times New Roman" w:eastAsia="Times New Roman" w:cs="Times New Roman"/>
                <w:b/>
                <w:bCs/>
                <w:color w:val="000000" w:themeColor="text1"/>
                <w:spacing w:val="0"/>
                <w:w w:val="100"/>
                <w14:textFill>
                  <w14:solidFill>
                    <w14:schemeClr w14:val="tx1"/>
                  </w14:solidFill>
                </w14:textFill>
              </w:rPr>
              <w:t>1-</w:t>
            </w:r>
            <w:r>
              <w:rPr>
                <w:rFonts w:hint="eastAsia" w:ascii="Times New Roman" w:hAnsi="Times New Roman" w:eastAsia="宋体" w:cs="Times New Roman"/>
                <w:b/>
                <w:bCs/>
                <w:color w:val="000000" w:themeColor="text1"/>
                <w:spacing w:val="0"/>
                <w:w w:val="100"/>
                <w:lang w:val="en-US" w:eastAsia="zh-CN"/>
                <w14:textFill>
                  <w14:solidFill>
                    <w14:schemeClr w14:val="tx1"/>
                  </w14:solidFill>
                </w14:textFill>
              </w:rPr>
              <w:t>8  与</w:t>
            </w:r>
            <w:r>
              <w:rPr>
                <w:b/>
                <w:bCs/>
                <w:color w:val="000000" w:themeColor="text1"/>
                <w:spacing w:val="0"/>
                <w:w w:val="100"/>
                <w14:textFill>
                  <w14:solidFill>
                    <w14:schemeClr w14:val="tx1"/>
                  </w14:solidFill>
                </w14:textFill>
              </w:rPr>
              <w:t>《光伏组件回收再利用通用技术要求》</w:t>
            </w:r>
            <w:r>
              <w:rPr>
                <w:rFonts w:hint="eastAsia"/>
                <w:b/>
                <w:bCs/>
                <w:color w:val="000000" w:themeColor="text1"/>
                <w:spacing w:val="0"/>
                <w:w w:val="100"/>
                <w:lang w:eastAsia="zh-CN"/>
                <w14:textFill>
                  <w14:solidFill>
                    <w14:schemeClr w14:val="tx1"/>
                  </w14:solidFill>
                </w14:textFill>
              </w:rPr>
              <w:t>（</w:t>
            </w:r>
            <w:r>
              <w:rPr>
                <w:rFonts w:ascii="Times New Roman" w:hAnsi="Times New Roman" w:eastAsia="Times New Roman" w:cs="Times New Roman"/>
                <w:b/>
                <w:bCs/>
                <w:color w:val="000000" w:themeColor="text1"/>
                <w:spacing w:val="0"/>
                <w:w w:val="100"/>
                <w14:textFill>
                  <w14:solidFill>
                    <w14:schemeClr w14:val="tx1"/>
                  </w14:solidFill>
                </w14:textFill>
              </w:rPr>
              <w:t>GB/T 39753-2021</w:t>
            </w:r>
            <w:r>
              <w:rPr>
                <w:b/>
                <w:bCs/>
                <w:color w:val="000000" w:themeColor="text1"/>
                <w:spacing w:val="0"/>
                <w:w w:val="100"/>
                <w14:textFill>
                  <w14:solidFill>
                    <w14:schemeClr w14:val="tx1"/>
                  </w14:solidFill>
                </w14:textFill>
              </w:rPr>
              <w:t>）</w:t>
            </w:r>
            <w:r>
              <w:rPr>
                <w:rFonts w:hint="eastAsia"/>
                <w:b/>
                <w:bCs/>
                <w:color w:val="000000" w:themeColor="text1"/>
                <w:spacing w:val="0"/>
                <w:w w:val="100"/>
                <w:lang w:eastAsia="zh-CN"/>
                <w14:textFill>
                  <w14:solidFill>
                    <w14:schemeClr w14:val="tx1"/>
                  </w14:solidFill>
                </w14:textFill>
              </w:rPr>
              <w:t>符合性</w:t>
            </w:r>
            <w:r>
              <w:rPr>
                <w:b/>
                <w:bCs/>
                <w:color w:val="000000" w:themeColor="text1"/>
                <w:spacing w:val="0"/>
                <w:w w:val="100"/>
                <w14:textFill>
                  <w14:solidFill>
                    <w14:schemeClr w14:val="tx1"/>
                  </w14:solidFill>
                </w14:textFill>
              </w:rPr>
              <w:t>分析</w:t>
            </w:r>
          </w:p>
          <w:tbl>
            <w:tblPr>
              <w:tblStyle w:val="69"/>
              <w:tblW w:w="12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8"/>
              <w:gridCol w:w="6496"/>
              <w:gridCol w:w="3770"/>
              <w:gridCol w:w="1103"/>
            </w:tblGrid>
            <w:tr w14:paraId="7FBCC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48" w:type="dxa"/>
                  <w:tcBorders>
                    <w:tl2br w:val="nil"/>
                    <w:tr2bl w:val="nil"/>
                  </w:tcBorders>
                  <w:vAlign w:val="center"/>
                </w:tcPr>
                <w:p w14:paraId="5596CED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b/>
                      <w:bCs/>
                      <w:color w:val="000000" w:themeColor="text1"/>
                      <w:spacing w:val="0"/>
                      <w:w w:val="100"/>
                      <w:sz w:val="21"/>
                      <w:szCs w:val="21"/>
                      <w:lang w:val="en-US" w:eastAsia="zh-CN"/>
                      <w14:textFill>
                        <w14:solidFill>
                          <w14:schemeClr w14:val="tx1"/>
                        </w14:solidFill>
                      </w14:textFill>
                    </w:rPr>
                    <w:t>类型</w:t>
                  </w:r>
                </w:p>
              </w:tc>
              <w:tc>
                <w:tcPr>
                  <w:tcW w:w="6496" w:type="dxa"/>
                  <w:tcBorders>
                    <w:tl2br w:val="nil"/>
                    <w:tr2bl w:val="nil"/>
                  </w:tcBorders>
                  <w:vAlign w:val="center"/>
                </w:tcPr>
                <w:p w14:paraId="4031DBB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b/>
                      <w:bCs/>
                      <w:color w:val="000000" w:themeColor="text1"/>
                      <w:spacing w:val="0"/>
                      <w:w w:val="100"/>
                      <w:sz w:val="21"/>
                      <w:szCs w:val="21"/>
                      <w14:textFill>
                        <w14:solidFill>
                          <w14:schemeClr w14:val="tx1"/>
                        </w14:solidFill>
                      </w14:textFill>
                    </w:rPr>
                  </w:pPr>
                  <w:r>
                    <w:rPr>
                      <w:rFonts w:hint="default" w:ascii="Times New Roman" w:hAnsi="Times New Roman" w:cs="Times New Roman"/>
                      <w:b/>
                      <w:bCs/>
                      <w:color w:val="000000" w:themeColor="text1"/>
                      <w:spacing w:val="0"/>
                      <w:w w:val="100"/>
                      <w:sz w:val="21"/>
                      <w:szCs w:val="21"/>
                      <w14:textFill>
                        <w14:solidFill>
                          <w14:schemeClr w14:val="tx1"/>
                        </w14:solidFill>
                      </w14:textFill>
                    </w:rPr>
                    <w:t>相关要求</w:t>
                  </w:r>
                </w:p>
              </w:tc>
              <w:tc>
                <w:tcPr>
                  <w:tcW w:w="3770" w:type="dxa"/>
                  <w:tcBorders>
                    <w:tl2br w:val="nil"/>
                    <w:tr2bl w:val="nil"/>
                  </w:tcBorders>
                  <w:vAlign w:val="center"/>
                </w:tcPr>
                <w:p w14:paraId="04147E3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b/>
                      <w:bCs/>
                      <w:color w:val="000000" w:themeColor="text1"/>
                      <w:spacing w:val="0"/>
                      <w:w w:val="100"/>
                      <w:sz w:val="21"/>
                      <w:szCs w:val="21"/>
                      <w14:textFill>
                        <w14:solidFill>
                          <w14:schemeClr w14:val="tx1"/>
                        </w14:solidFill>
                      </w14:textFill>
                    </w:rPr>
                  </w:pPr>
                  <w:r>
                    <w:rPr>
                      <w:rFonts w:hint="default" w:ascii="Times New Roman" w:hAnsi="Times New Roman" w:cs="Times New Roman"/>
                      <w:b/>
                      <w:bCs/>
                      <w:color w:val="000000" w:themeColor="text1"/>
                      <w:spacing w:val="0"/>
                      <w:w w:val="100"/>
                      <w:sz w:val="21"/>
                      <w:szCs w:val="21"/>
                      <w14:textFill>
                        <w14:solidFill>
                          <w14:schemeClr w14:val="tx1"/>
                        </w14:solidFill>
                      </w14:textFill>
                    </w:rPr>
                    <w:t>建设项目情况</w:t>
                  </w:r>
                </w:p>
              </w:tc>
              <w:tc>
                <w:tcPr>
                  <w:tcW w:w="1103" w:type="dxa"/>
                  <w:tcBorders>
                    <w:tl2br w:val="nil"/>
                    <w:tr2bl w:val="nil"/>
                  </w:tcBorders>
                  <w:vAlign w:val="center"/>
                </w:tcPr>
                <w:p w14:paraId="47DD6BC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b/>
                      <w:bCs/>
                      <w:color w:val="000000" w:themeColor="text1"/>
                      <w:spacing w:val="0"/>
                      <w:w w:val="100"/>
                      <w:sz w:val="21"/>
                      <w:szCs w:val="21"/>
                      <w14:textFill>
                        <w14:solidFill>
                          <w14:schemeClr w14:val="tx1"/>
                        </w14:solidFill>
                      </w14:textFill>
                    </w:rPr>
                  </w:pPr>
                  <w:r>
                    <w:rPr>
                      <w:rFonts w:hint="eastAsia" w:ascii="Times New Roman" w:hAnsi="Times New Roman" w:cs="Times New Roman"/>
                      <w:b/>
                      <w:bCs/>
                      <w:color w:val="000000" w:themeColor="text1"/>
                      <w:spacing w:val="0"/>
                      <w:w w:val="100"/>
                      <w:sz w:val="21"/>
                      <w:szCs w:val="21"/>
                      <w:lang w:eastAsia="zh-CN"/>
                      <w14:textFill>
                        <w14:solidFill>
                          <w14:schemeClr w14:val="tx1"/>
                        </w14:solidFill>
                      </w14:textFill>
                    </w:rPr>
                    <w:t>符合性</w:t>
                  </w:r>
                  <w:r>
                    <w:rPr>
                      <w:rFonts w:hint="default" w:ascii="Times New Roman" w:hAnsi="Times New Roman" w:cs="Times New Roman"/>
                      <w:b/>
                      <w:bCs/>
                      <w:color w:val="000000" w:themeColor="text1"/>
                      <w:spacing w:val="0"/>
                      <w:w w:val="100"/>
                      <w:sz w:val="21"/>
                      <w:szCs w:val="21"/>
                      <w14:textFill>
                        <w14:solidFill>
                          <w14:schemeClr w14:val="tx1"/>
                        </w14:solidFill>
                      </w14:textFill>
                    </w:rPr>
                    <w:t>分析</w:t>
                  </w:r>
                </w:p>
              </w:tc>
            </w:tr>
            <w:tr w14:paraId="2894D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9" w:hRule="atLeast"/>
                <w:jc w:val="center"/>
              </w:trPr>
              <w:tc>
                <w:tcPr>
                  <w:tcW w:w="1048" w:type="dxa"/>
                  <w:vMerge w:val="restart"/>
                  <w:tcBorders>
                    <w:tl2br w:val="nil"/>
                    <w:tr2bl w:val="nil"/>
                  </w:tcBorders>
                  <w:vAlign w:val="center"/>
                </w:tcPr>
                <w:p w14:paraId="222C217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t>7处置</w:t>
                  </w:r>
                </w:p>
              </w:tc>
              <w:tc>
                <w:tcPr>
                  <w:tcW w:w="6496" w:type="dxa"/>
                  <w:tcBorders>
                    <w:tl2br w:val="nil"/>
                    <w:tr2bl w:val="nil"/>
                  </w:tcBorders>
                  <w:vAlign w:val="center"/>
                </w:tcPr>
                <w:p w14:paraId="68727D6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7.1 一般规定</w:t>
                  </w:r>
                </w:p>
                <w:p w14:paraId="28EAE64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1</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1 </w:t>
                  </w:r>
                  <w:r>
                    <w:rPr>
                      <w:rFonts w:hint="default" w:ascii="Times New Roman" w:hAnsi="Times New Roman" w:cs="Times New Roman"/>
                      <w:color w:val="000000" w:themeColor="text1"/>
                      <w:spacing w:val="0"/>
                      <w:w w:val="100"/>
                      <w:sz w:val="21"/>
                      <w:szCs w:val="21"/>
                      <w14:textFill>
                        <w14:solidFill>
                          <w14:schemeClr w14:val="tx1"/>
                        </w14:solidFill>
                      </w14:textFill>
                    </w:rPr>
                    <w:t xml:space="preserve">采用热熔法或其他加热方法处置部件时，应设有烟气处置设施且大气污染物排放应符合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GB16297-1996</w:t>
                  </w:r>
                  <w:r>
                    <w:rPr>
                      <w:rFonts w:hint="default" w:ascii="Times New Roman" w:hAnsi="Times New Roman" w:cs="Times New Roman"/>
                      <w:color w:val="000000" w:themeColor="text1"/>
                      <w:spacing w:val="0"/>
                      <w:w w:val="100"/>
                      <w:sz w:val="21"/>
                      <w:szCs w:val="21"/>
                      <w14:textFill>
                        <w14:solidFill>
                          <w14:schemeClr w14:val="tx1"/>
                        </w14:solidFill>
                      </w14:textFill>
                    </w:rPr>
                    <w:t>的相关规定。</w:t>
                  </w:r>
                </w:p>
                <w:p w14:paraId="4E90987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1.2 </w:t>
                  </w:r>
                  <w:r>
                    <w:rPr>
                      <w:rFonts w:hint="default" w:ascii="Times New Roman" w:hAnsi="Times New Roman" w:cs="Times New Roman"/>
                      <w:color w:val="000000" w:themeColor="text1"/>
                      <w:spacing w:val="0"/>
                      <w:w w:val="100"/>
                      <w:sz w:val="21"/>
                      <w:szCs w:val="21"/>
                      <w14:textFill>
                        <w14:solidFill>
                          <w14:schemeClr w14:val="tx1"/>
                        </w14:solidFill>
                      </w14:textFill>
                    </w:rPr>
                    <w:t>采用热解气化或焚烧法处置部件时，大气污染排放应符合</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GB18484—2001</w:t>
                  </w:r>
                  <w:r>
                    <w:rPr>
                      <w:rFonts w:hint="default" w:ascii="Times New Roman" w:hAnsi="Times New Roman" w:cs="Times New Roman"/>
                      <w:color w:val="000000" w:themeColor="text1"/>
                      <w:spacing w:val="0"/>
                      <w:w w:val="100"/>
                      <w:sz w:val="21"/>
                      <w:szCs w:val="21"/>
                      <w14:textFill>
                        <w14:solidFill>
                          <w14:schemeClr w14:val="tx1"/>
                        </w14:solidFill>
                      </w14:textFill>
                    </w:rPr>
                    <w:t>的第</w:t>
                  </w:r>
                  <w:r>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t>5</w:t>
                  </w:r>
                  <w:r>
                    <w:rPr>
                      <w:rFonts w:hint="default" w:ascii="Times New Roman" w:hAnsi="Times New Roman" w:cs="Times New Roman"/>
                      <w:color w:val="000000" w:themeColor="text1"/>
                      <w:spacing w:val="0"/>
                      <w:w w:val="100"/>
                      <w:sz w:val="21"/>
                      <w:szCs w:val="21"/>
                      <w14:textFill>
                        <w14:solidFill>
                          <w14:schemeClr w14:val="tx1"/>
                        </w14:solidFill>
                      </w14:textFill>
                    </w:rPr>
                    <w:t>章规定。</w:t>
                  </w:r>
                </w:p>
                <w:p w14:paraId="508C6A7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1.3 </w:t>
                  </w:r>
                  <w:r>
                    <w:rPr>
                      <w:rFonts w:hint="default" w:ascii="Times New Roman" w:hAnsi="Times New Roman" w:cs="Times New Roman"/>
                      <w:color w:val="000000" w:themeColor="text1"/>
                      <w:spacing w:val="0"/>
                      <w:w w:val="100"/>
                      <w:sz w:val="21"/>
                      <w:szCs w:val="21"/>
                      <w14:textFill>
                        <w14:solidFill>
                          <w14:schemeClr w14:val="tx1"/>
                        </w14:solidFill>
                      </w14:textFill>
                    </w:rPr>
                    <w:t>处置过程中产生的废水应进行处理，各项污染物排放应符合</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GB8978—1996</w:t>
                  </w:r>
                  <w:r>
                    <w:rPr>
                      <w:rFonts w:hint="default" w:ascii="Times New Roman" w:hAnsi="Times New Roman" w:cs="Times New Roman"/>
                      <w:color w:val="000000" w:themeColor="text1"/>
                      <w:spacing w:val="0"/>
                      <w:w w:val="100"/>
                      <w:sz w:val="21"/>
                      <w:szCs w:val="21"/>
                      <w14:textFill>
                        <w14:solidFill>
                          <w14:schemeClr w14:val="tx1"/>
                        </w14:solidFill>
                      </w14:textFill>
                    </w:rPr>
                    <w:t>的第</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4</w:t>
                  </w:r>
                  <w:r>
                    <w:rPr>
                      <w:rFonts w:hint="default" w:ascii="Times New Roman" w:hAnsi="Times New Roman" w:cs="Times New Roman"/>
                      <w:color w:val="000000" w:themeColor="text1"/>
                      <w:spacing w:val="0"/>
                      <w:w w:val="100"/>
                      <w:sz w:val="21"/>
                      <w:szCs w:val="21"/>
                      <w14:textFill>
                        <w14:solidFill>
                          <w14:schemeClr w14:val="tx1"/>
                        </w14:solidFill>
                      </w14:textFill>
                    </w:rPr>
                    <w:t>章规定。</w:t>
                  </w:r>
                </w:p>
              </w:tc>
              <w:tc>
                <w:tcPr>
                  <w:tcW w:w="3770" w:type="dxa"/>
                  <w:tcBorders>
                    <w:tl2br w:val="nil"/>
                    <w:tr2bl w:val="nil"/>
                  </w:tcBorders>
                  <w:vAlign w:val="center"/>
                </w:tcPr>
                <w:p w14:paraId="0B75278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本项目采用热解汽化法处置部件，热解汽化产生废气污染物排放执行</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GB18484—2020</w:t>
                  </w:r>
                  <w:r>
                    <w:rPr>
                      <w:rFonts w:hint="default" w:ascii="Times New Roman" w:hAnsi="Times New Roman" w:cs="Times New Roman"/>
                      <w:color w:val="000000" w:themeColor="text1"/>
                      <w:spacing w:val="0"/>
                      <w:w w:val="100"/>
                      <w:sz w:val="21"/>
                      <w:szCs w:val="21"/>
                      <w14:textFill>
                        <w14:solidFill>
                          <w14:schemeClr w14:val="tx1"/>
                        </w14:solidFill>
                      </w14:textFill>
                    </w:rPr>
                    <w:t>的表</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3</w:t>
                  </w:r>
                  <w:r>
                    <w:rPr>
                      <w:rFonts w:hint="default" w:ascii="Times New Roman" w:hAnsi="Times New Roman" w:cs="Times New Roman"/>
                      <w:color w:val="000000" w:themeColor="text1"/>
                      <w:spacing w:val="0"/>
                      <w:w w:val="100"/>
                      <w:sz w:val="21"/>
                      <w:szCs w:val="21"/>
                      <w14:textFill>
                        <w14:solidFill>
                          <w14:schemeClr w14:val="tx1"/>
                        </w14:solidFill>
                      </w14:textFill>
                    </w:rPr>
                    <w:t>规定。</w:t>
                  </w:r>
                </w:p>
              </w:tc>
              <w:tc>
                <w:tcPr>
                  <w:tcW w:w="1103" w:type="dxa"/>
                  <w:tcBorders>
                    <w:tl2br w:val="nil"/>
                    <w:tr2bl w:val="nil"/>
                  </w:tcBorders>
                  <w:vAlign w:val="center"/>
                </w:tcPr>
                <w:p w14:paraId="5220B1D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138EC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9" w:hRule="atLeast"/>
                <w:jc w:val="center"/>
              </w:trPr>
              <w:tc>
                <w:tcPr>
                  <w:tcW w:w="1048" w:type="dxa"/>
                  <w:vMerge w:val="continue"/>
                  <w:tcBorders>
                    <w:tl2br w:val="nil"/>
                    <w:tr2bl w:val="nil"/>
                  </w:tcBorders>
                  <w:vAlign w:val="center"/>
                </w:tcPr>
                <w:p w14:paraId="68F9A6B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496" w:type="dxa"/>
                  <w:tcBorders>
                    <w:tl2br w:val="nil"/>
                    <w:tr2bl w:val="nil"/>
                  </w:tcBorders>
                  <w:vAlign w:val="center"/>
                </w:tcPr>
                <w:p w14:paraId="7085CE1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7.2 光伏层压件</w:t>
                  </w:r>
                </w:p>
                <w:p w14:paraId="7484FE8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7.2</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1 </w:t>
                  </w:r>
                  <w:r>
                    <w:rPr>
                      <w:rFonts w:hint="default" w:ascii="Times New Roman" w:hAnsi="Times New Roman" w:cs="Times New Roman"/>
                      <w:color w:val="000000" w:themeColor="text1"/>
                      <w:spacing w:val="0"/>
                      <w:w w:val="100"/>
                      <w:sz w:val="21"/>
                      <w:szCs w:val="21"/>
                      <w14:textFill>
                        <w14:solidFill>
                          <w14:schemeClr w14:val="tx1"/>
                        </w14:solidFill>
                      </w14:textFill>
                    </w:rPr>
                    <w:t>光伏层压件的分离可采用热处理法、酸溶解法、物理分离法或几种方法的组合。</w:t>
                  </w:r>
                </w:p>
                <w:p w14:paraId="22E77B8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7.2.2 </w:t>
                  </w:r>
                  <w:r>
                    <w:rPr>
                      <w:rFonts w:hint="default" w:ascii="Times New Roman" w:hAnsi="Times New Roman" w:cs="Times New Roman"/>
                      <w:color w:val="000000" w:themeColor="text1"/>
                      <w:spacing w:val="0"/>
                      <w:w w:val="100"/>
                      <w:sz w:val="21"/>
                      <w:szCs w:val="21"/>
                      <w14:textFill>
                        <w14:solidFill>
                          <w14:schemeClr w14:val="tx1"/>
                        </w14:solidFill>
                      </w14:textFill>
                    </w:rPr>
                    <w:t>将涂锡铜带或铝带与光伏电池分离，可采用物理方法或化学方法。</w:t>
                  </w:r>
                </w:p>
                <w:p w14:paraId="5BF5A73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7.2.3 </w:t>
                  </w:r>
                  <w:r>
                    <w:rPr>
                      <w:rFonts w:hint="default" w:ascii="Times New Roman" w:hAnsi="Times New Roman" w:cs="Times New Roman"/>
                      <w:color w:val="000000" w:themeColor="text1"/>
                      <w:spacing w:val="0"/>
                      <w:w w:val="100"/>
                      <w:sz w:val="21"/>
                      <w:szCs w:val="21"/>
                      <w14:textFill>
                        <w14:solidFill>
                          <w14:schemeClr w14:val="tx1"/>
                        </w14:solidFill>
                      </w14:textFill>
                    </w:rPr>
                    <w:t>进行热分离处理时，对加热工序产生的烟气应设置处理系统，控制烟气中杂质气体的含量，对污染物含量应符合</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GB16297—1996</w:t>
                  </w:r>
                  <w:r>
                    <w:rPr>
                      <w:rFonts w:hint="default" w:ascii="Times New Roman" w:hAnsi="Times New Roman" w:cs="Times New Roman"/>
                      <w:color w:val="000000" w:themeColor="text1"/>
                      <w:spacing w:val="0"/>
                      <w:w w:val="100"/>
                      <w:sz w:val="21"/>
                      <w:szCs w:val="21"/>
                      <w14:textFill>
                        <w14:solidFill>
                          <w14:schemeClr w14:val="tx1"/>
                        </w14:solidFill>
                      </w14:textFill>
                    </w:rPr>
                    <w:t>的第</w:t>
                  </w:r>
                  <w:r>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t>9</w:t>
                  </w:r>
                  <w:r>
                    <w:rPr>
                      <w:rFonts w:hint="default" w:ascii="Times New Roman" w:hAnsi="Times New Roman" w:cs="Times New Roman"/>
                      <w:color w:val="000000" w:themeColor="text1"/>
                      <w:spacing w:val="0"/>
                      <w:w w:val="100"/>
                      <w:sz w:val="21"/>
                      <w:szCs w:val="21"/>
                      <w14:textFill>
                        <w14:solidFill>
                          <w14:schemeClr w14:val="tx1"/>
                        </w14:solidFill>
                      </w14:textFill>
                    </w:rPr>
                    <w:t>章规定。</w:t>
                  </w:r>
                </w:p>
                <w:p w14:paraId="4C9BD50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7.2.4 </w:t>
                  </w:r>
                  <w:r>
                    <w:rPr>
                      <w:rFonts w:hint="default" w:ascii="Times New Roman" w:hAnsi="Times New Roman" w:cs="Times New Roman"/>
                      <w:color w:val="000000" w:themeColor="text1"/>
                      <w:spacing w:val="0"/>
                      <w:w w:val="100"/>
                      <w:sz w:val="21"/>
                      <w:szCs w:val="21"/>
                      <w14:textFill>
                        <w14:solidFill>
                          <w14:schemeClr w14:val="tx1"/>
                        </w14:solidFill>
                      </w14:textFill>
                    </w:rPr>
                    <w:t>光伏层压件处置后得到的部件和材料应分类收集，设立明显的区分标识，分区存放。</w:t>
                  </w:r>
                </w:p>
              </w:tc>
              <w:tc>
                <w:tcPr>
                  <w:tcW w:w="3770" w:type="dxa"/>
                  <w:tcBorders>
                    <w:tl2br w:val="nil"/>
                    <w:tr2bl w:val="nil"/>
                  </w:tcBorders>
                  <w:vAlign w:val="center"/>
                </w:tcPr>
                <w:p w14:paraId="331C8CD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w:t>
                  </w:r>
                  <w:r>
                    <w:rPr>
                      <w:rFonts w:hint="default" w:ascii="Times New Roman" w:hAnsi="Times New Roman" w:cs="Times New Roman"/>
                      <w:color w:val="000000" w:themeColor="text1"/>
                      <w:spacing w:val="0"/>
                      <w:w w:val="100"/>
                      <w:sz w:val="21"/>
                      <w:szCs w:val="21"/>
                      <w14:textFill>
                        <w14:solidFill>
                          <w14:schemeClr w14:val="tx1"/>
                        </w14:solidFill>
                      </w14:textFill>
                    </w:rPr>
                    <w:t>光伏层压件采取热处理法、物理分离法组合，</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热解炉尾气采用“碱喷淋塔+干式过滤器+覆膜布袋除尘器+二级活性炭吸附装置”处理</w:t>
                  </w:r>
                  <w:r>
                    <w:rPr>
                      <w:rFonts w:hint="default" w:ascii="Times New Roman" w:hAnsi="Times New Roman" w:cs="Times New Roman"/>
                      <w:color w:val="000000" w:themeColor="text1"/>
                      <w:spacing w:val="0"/>
                      <w:w w:val="100"/>
                      <w:sz w:val="21"/>
                      <w:szCs w:val="21"/>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废气</w:t>
                  </w:r>
                  <w:r>
                    <w:rPr>
                      <w:rFonts w:hint="default" w:ascii="Times New Roman" w:hAnsi="Times New Roman" w:cs="Times New Roman"/>
                      <w:color w:val="000000" w:themeColor="text1"/>
                      <w:spacing w:val="0"/>
                      <w:w w:val="100"/>
                      <w:sz w:val="21"/>
                      <w:szCs w:val="21"/>
                      <w14:textFill>
                        <w14:solidFill>
                          <w14:schemeClr w14:val="tx1"/>
                        </w14:solidFill>
                      </w14:textFill>
                    </w:rPr>
                    <w:t>排放</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满足</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《危险废物焚烧污染控制标准》</w:t>
                  </w:r>
                  <w:r>
                    <w:rPr>
                      <w:rFonts w:hint="eastAsia" w:ascii="Times New Roman" w:hAnsi="Times New Roman"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GB18484-2020）、《大气污染物综合排放标准》</w:t>
                  </w:r>
                  <w:r>
                    <w:rPr>
                      <w:rFonts w:hint="eastAsia" w:ascii="Times New Roman" w:hAnsi="Times New Roman"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GB16297-1996）要求限值</w:t>
                  </w:r>
                  <w:r>
                    <w:rPr>
                      <w:rFonts w:hint="default" w:ascii="Times New Roman" w:hAnsi="Times New Roman" w:cs="Times New Roman"/>
                      <w:color w:val="000000" w:themeColor="text1"/>
                      <w:spacing w:val="0"/>
                      <w:w w:val="100"/>
                      <w:sz w:val="21"/>
                      <w:szCs w:val="21"/>
                      <w14:textFill>
                        <w14:solidFill>
                          <w14:schemeClr w14:val="tx1"/>
                        </w14:solidFill>
                      </w14:textFill>
                    </w:rPr>
                    <w:t>。</w:t>
                  </w:r>
                </w:p>
              </w:tc>
              <w:tc>
                <w:tcPr>
                  <w:tcW w:w="1103" w:type="dxa"/>
                  <w:tcBorders>
                    <w:tl2br w:val="nil"/>
                    <w:tr2bl w:val="nil"/>
                  </w:tcBorders>
                  <w:vAlign w:val="center"/>
                </w:tcPr>
                <w:p w14:paraId="4D9B6E9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4DFE5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jc w:val="center"/>
              </w:trPr>
              <w:tc>
                <w:tcPr>
                  <w:tcW w:w="1048" w:type="dxa"/>
                  <w:vMerge w:val="continue"/>
                  <w:tcBorders>
                    <w:tl2br w:val="nil"/>
                    <w:tr2bl w:val="nil"/>
                  </w:tcBorders>
                  <w:vAlign w:val="center"/>
                </w:tcPr>
                <w:p w14:paraId="06A0B40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496" w:type="dxa"/>
                  <w:tcBorders>
                    <w:tl2br w:val="nil"/>
                    <w:tr2bl w:val="nil"/>
                  </w:tcBorders>
                  <w:vAlign w:val="center"/>
                </w:tcPr>
                <w:p w14:paraId="479F243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7.3 玻璃</w:t>
                  </w:r>
                </w:p>
                <w:p w14:paraId="4E74586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7.3</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1 </w:t>
                  </w:r>
                  <w:r>
                    <w:rPr>
                      <w:rFonts w:hint="default" w:ascii="Times New Roman" w:hAnsi="Times New Roman" w:cs="Times New Roman"/>
                      <w:color w:val="000000" w:themeColor="text1"/>
                      <w:spacing w:val="0"/>
                      <w:w w:val="100"/>
                      <w:sz w:val="21"/>
                      <w:szCs w:val="21"/>
                      <w14:textFill>
                        <w14:solidFill>
                          <w14:schemeClr w14:val="tx1"/>
                        </w14:solidFill>
                      </w14:textFill>
                    </w:rPr>
                    <w:t>如果回收后的玻璃完好，根据玻璃种类进行清洗、干燥，待用。</w:t>
                  </w:r>
                </w:p>
                <w:p w14:paraId="621AB11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7.3.2 </w:t>
                  </w:r>
                  <w:r>
                    <w:rPr>
                      <w:rFonts w:hint="default" w:ascii="Times New Roman" w:hAnsi="Times New Roman" w:cs="Times New Roman"/>
                      <w:color w:val="000000" w:themeColor="text1"/>
                      <w:spacing w:val="0"/>
                      <w:w w:val="100"/>
                      <w:sz w:val="21"/>
                      <w:szCs w:val="21"/>
                      <w14:textFill>
                        <w14:solidFill>
                          <w14:schemeClr w14:val="tx1"/>
                        </w14:solidFill>
                      </w14:textFill>
                    </w:rPr>
                    <w:t>如果玻璃碎裂，收集碎玻璃，按要求进行破碎到合适的颗粒度大小，</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剔除</w:t>
                  </w:r>
                  <w:r>
                    <w:rPr>
                      <w:rFonts w:hint="default" w:ascii="Times New Roman" w:hAnsi="Times New Roman" w:cs="Times New Roman"/>
                      <w:color w:val="000000" w:themeColor="text1"/>
                      <w:spacing w:val="0"/>
                      <w:w w:val="100"/>
                      <w:sz w:val="21"/>
                      <w:szCs w:val="21"/>
                      <w14:textFill>
                        <w14:solidFill>
                          <w14:schemeClr w14:val="tx1"/>
                        </w14:solidFill>
                      </w14:textFill>
                    </w:rPr>
                    <w:t>碎玻璃中掺杂的杂物，清洗、干燥碎玻璃，根据玻璃种类进行分类回收使用。进行玻璃碎裂处理时，应注意防止玻璃碎屑飞溅伤人和粉尘对人体健康的影响</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p>
              </w:tc>
              <w:tc>
                <w:tcPr>
                  <w:tcW w:w="3770" w:type="dxa"/>
                  <w:tcBorders>
                    <w:tl2br w:val="nil"/>
                    <w:tr2bl w:val="nil"/>
                  </w:tcBorders>
                  <w:vAlign w:val="center"/>
                </w:tcPr>
                <w:p w14:paraId="3DB35C3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本项目热解炉出料后，通过筛分、风选、比重色选等工序选出玻璃，再通过碱液清洗、洗砂去碱、烘干、色选等工序对玻璃进一步去杂。</w:t>
                  </w:r>
                </w:p>
              </w:tc>
              <w:tc>
                <w:tcPr>
                  <w:tcW w:w="1103" w:type="dxa"/>
                  <w:tcBorders>
                    <w:tl2br w:val="nil"/>
                    <w:tr2bl w:val="nil"/>
                  </w:tcBorders>
                  <w:vAlign w:val="center"/>
                </w:tcPr>
                <w:p w14:paraId="09AEB16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75541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0" w:hRule="atLeast"/>
                <w:jc w:val="center"/>
              </w:trPr>
              <w:tc>
                <w:tcPr>
                  <w:tcW w:w="1048" w:type="dxa"/>
                  <w:vMerge w:val="continue"/>
                  <w:tcBorders>
                    <w:tl2br w:val="nil"/>
                    <w:tr2bl w:val="nil"/>
                  </w:tcBorders>
                  <w:vAlign w:val="center"/>
                </w:tcPr>
                <w:p w14:paraId="527BA29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496" w:type="dxa"/>
                  <w:tcBorders>
                    <w:tl2br w:val="nil"/>
                    <w:tr2bl w:val="nil"/>
                  </w:tcBorders>
                  <w:vAlign w:val="center"/>
                </w:tcPr>
                <w:p w14:paraId="1A89F22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7.5 光伏电池</w:t>
                  </w:r>
                </w:p>
                <w:p w14:paraId="5BDD98C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7.5</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1 </w:t>
                  </w:r>
                  <w:r>
                    <w:rPr>
                      <w:rFonts w:hint="default" w:ascii="Times New Roman" w:hAnsi="Times New Roman" w:cs="Times New Roman"/>
                      <w:color w:val="000000" w:themeColor="text1"/>
                      <w:spacing w:val="0"/>
                      <w:w w:val="100"/>
                      <w:sz w:val="21"/>
                      <w:szCs w:val="21"/>
                      <w14:textFill>
                        <w14:solidFill>
                          <w14:schemeClr w14:val="tx1"/>
                        </w14:solidFill>
                      </w14:textFill>
                    </w:rPr>
                    <w:t>对光伏电池进行处置时，不应有高分子化合物残留，根据损坏程度可分为硅粉回收和整片回收。</w:t>
                  </w:r>
                </w:p>
                <w:p w14:paraId="3BE59B4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7.5.2 </w:t>
                  </w:r>
                  <w:r>
                    <w:rPr>
                      <w:rFonts w:hint="default" w:ascii="Times New Roman" w:hAnsi="Times New Roman" w:cs="Times New Roman"/>
                      <w:color w:val="000000" w:themeColor="text1"/>
                      <w:spacing w:val="0"/>
                      <w:w w:val="100"/>
                      <w:sz w:val="21"/>
                      <w:szCs w:val="21"/>
                      <w14:textFill>
                        <w14:solidFill>
                          <w14:schemeClr w14:val="tx1"/>
                        </w14:solidFill>
                      </w14:textFill>
                    </w:rPr>
                    <w:t>硅粉回收采用物理方法直接粉碎，再通过化学方法去除铅、银、铝等金属杂质，粉尘排放应符合</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GB 16297—1996</w:t>
                  </w:r>
                  <w:r>
                    <w:rPr>
                      <w:rFonts w:hint="default" w:ascii="Times New Roman" w:hAnsi="Times New Roman" w:cs="Times New Roman"/>
                      <w:color w:val="000000" w:themeColor="text1"/>
                      <w:spacing w:val="0"/>
                      <w:w w:val="100"/>
                      <w:sz w:val="21"/>
                      <w:szCs w:val="21"/>
                      <w14:textFill>
                        <w14:solidFill>
                          <w14:schemeClr w14:val="tx1"/>
                        </w14:solidFill>
                      </w14:textFill>
                    </w:rPr>
                    <w:t>的第</w:t>
                  </w:r>
                  <w:r>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t>9</w:t>
                  </w:r>
                  <w:r>
                    <w:rPr>
                      <w:rFonts w:hint="default" w:ascii="Times New Roman" w:hAnsi="Times New Roman" w:cs="Times New Roman"/>
                      <w:color w:val="000000" w:themeColor="text1"/>
                      <w:spacing w:val="0"/>
                      <w:w w:val="100"/>
                      <w:sz w:val="21"/>
                      <w:szCs w:val="21"/>
                      <w14:textFill>
                        <w14:solidFill>
                          <w14:schemeClr w14:val="tx1"/>
                        </w14:solidFill>
                      </w14:textFill>
                    </w:rPr>
                    <w:t>章规定。</w:t>
                  </w:r>
                </w:p>
                <w:p w14:paraId="76CD24D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7.5.3 </w:t>
                  </w:r>
                  <w:r>
                    <w:rPr>
                      <w:rFonts w:hint="default" w:ascii="Times New Roman" w:hAnsi="Times New Roman" w:cs="Times New Roman"/>
                      <w:color w:val="000000" w:themeColor="text1"/>
                      <w:spacing w:val="0"/>
                      <w:w w:val="100"/>
                      <w:sz w:val="21"/>
                      <w:szCs w:val="21"/>
                      <w14:textFill>
                        <w14:solidFill>
                          <w14:schemeClr w14:val="tx1"/>
                        </w14:solidFill>
                      </w14:textFill>
                    </w:rPr>
                    <w:t>整片硅片的</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回收</w:t>
                  </w:r>
                  <w:r>
                    <w:rPr>
                      <w:rFonts w:hint="default" w:ascii="Times New Roman" w:hAnsi="Times New Roman" w:cs="Times New Roman"/>
                      <w:color w:val="000000" w:themeColor="text1"/>
                      <w:spacing w:val="0"/>
                      <w:w w:val="100"/>
                      <w:sz w:val="21"/>
                      <w:szCs w:val="21"/>
                      <w14:textFill>
                        <w14:solidFill>
                          <w14:schemeClr w14:val="tx1"/>
                        </w14:solidFill>
                      </w14:textFill>
                    </w:rPr>
                    <w:t xml:space="preserve">采用化学方法进行清洗、腐蚀其表面膜层及其他杂质，进入再使用或再生利用环节，排放的废水应符合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GB8978—1996</w:t>
                  </w:r>
                  <w:r>
                    <w:rPr>
                      <w:rFonts w:hint="default" w:ascii="Times New Roman" w:hAnsi="Times New Roman" w:cs="Times New Roman"/>
                      <w:color w:val="000000" w:themeColor="text1"/>
                      <w:spacing w:val="0"/>
                      <w:w w:val="100"/>
                      <w:sz w:val="21"/>
                      <w:szCs w:val="21"/>
                      <w14:textFill>
                        <w14:solidFill>
                          <w14:schemeClr w14:val="tx1"/>
                        </w14:solidFill>
                      </w14:textFill>
                    </w:rPr>
                    <w:t>的第</w:t>
                  </w:r>
                  <w:r>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t>4</w:t>
                  </w:r>
                  <w:r>
                    <w:rPr>
                      <w:rFonts w:hint="default" w:ascii="Times New Roman" w:hAnsi="Times New Roman" w:cs="Times New Roman"/>
                      <w:color w:val="000000" w:themeColor="text1"/>
                      <w:spacing w:val="0"/>
                      <w:w w:val="100"/>
                      <w:sz w:val="21"/>
                      <w:szCs w:val="21"/>
                      <w14:textFill>
                        <w14:solidFill>
                          <w14:schemeClr w14:val="tx1"/>
                        </w14:solidFill>
                      </w14:textFill>
                    </w:rPr>
                    <w:t>章规定。</w:t>
                  </w:r>
                </w:p>
                <w:p w14:paraId="60CBC80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7.5.4 </w:t>
                  </w:r>
                  <w:r>
                    <w:rPr>
                      <w:rFonts w:hint="default" w:ascii="Times New Roman" w:hAnsi="Times New Roman" w:cs="Times New Roman"/>
                      <w:color w:val="000000" w:themeColor="text1"/>
                      <w:spacing w:val="0"/>
                      <w:w w:val="100"/>
                      <w:sz w:val="21"/>
                      <w:szCs w:val="21"/>
                      <w14:textFill>
                        <w14:solidFill>
                          <w14:schemeClr w14:val="tx1"/>
                        </w14:solidFill>
                      </w14:textFill>
                    </w:rPr>
                    <w:t>酸溶法处置时应做到溶液无泄漏，反应时产生的酸性气体应经过处置。</w:t>
                  </w:r>
                </w:p>
                <w:p w14:paraId="4A3F157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7.5.5 </w:t>
                  </w:r>
                  <w:r>
                    <w:rPr>
                      <w:rFonts w:hint="default" w:ascii="Times New Roman" w:hAnsi="Times New Roman" w:cs="Times New Roman"/>
                      <w:color w:val="000000" w:themeColor="text1"/>
                      <w:spacing w:val="0"/>
                      <w:w w:val="100"/>
                      <w:sz w:val="21"/>
                      <w:szCs w:val="21"/>
                      <w14:textFill>
                        <w14:solidFill>
                          <w14:schemeClr w14:val="tx1"/>
                        </w14:solidFill>
                      </w14:textFill>
                    </w:rPr>
                    <w:t>处置过程中，应设置防护措施，不应污染环境或危害人体健康。</w:t>
                  </w:r>
                </w:p>
              </w:tc>
              <w:tc>
                <w:tcPr>
                  <w:tcW w:w="3770" w:type="dxa"/>
                  <w:tcBorders>
                    <w:tl2br w:val="nil"/>
                    <w:tr2bl w:val="nil"/>
                  </w:tcBorders>
                  <w:vAlign w:val="center"/>
                </w:tcPr>
                <w:p w14:paraId="6EAF660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1</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cs="Times New Roman"/>
                      <w:color w:val="000000" w:themeColor="text1"/>
                      <w:spacing w:val="0"/>
                      <w:w w:val="100"/>
                      <w:sz w:val="21"/>
                      <w:szCs w:val="21"/>
                      <w14:textFill>
                        <w14:solidFill>
                          <w14:schemeClr w14:val="tx1"/>
                        </w14:solidFill>
                      </w14:textFill>
                    </w:rPr>
                    <w:t>本项目</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严禁回收含铅</w:t>
                  </w:r>
                  <w:r>
                    <w:rPr>
                      <w:rFonts w:hint="default" w:ascii="Times New Roman" w:hAnsi="Times New Roman" w:cs="Times New Roman"/>
                      <w:color w:val="000000" w:themeColor="text1"/>
                      <w:spacing w:val="0"/>
                      <w:w w:val="100"/>
                      <w:sz w:val="21"/>
                      <w:szCs w:val="21"/>
                      <w14:textFill>
                        <w14:solidFill>
                          <w14:schemeClr w14:val="tx1"/>
                        </w14:solidFill>
                      </w14:textFill>
                    </w:rPr>
                    <w:t>废</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旧</w:t>
                  </w:r>
                  <w:r>
                    <w:rPr>
                      <w:rFonts w:hint="default" w:ascii="Times New Roman" w:hAnsi="Times New Roman" w:cs="Times New Roman"/>
                      <w:color w:val="000000" w:themeColor="text1"/>
                      <w:spacing w:val="0"/>
                      <w:w w:val="100"/>
                      <w:sz w:val="21"/>
                      <w:szCs w:val="21"/>
                      <w14:textFill>
                        <w14:solidFill>
                          <w14:schemeClr w14:val="tx1"/>
                        </w14:solidFill>
                      </w14:textFill>
                    </w:rPr>
                    <w:t>光伏板</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2</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热解炉出料后，通过筛分、旋风分离、风选等工序选出硅粉和硅片，不涉及硅料进一步处理；</w:t>
                  </w:r>
                </w:p>
                <w:p w14:paraId="0FF33BC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（3）硅粉包装粉尘排放满足</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《大气污染物综合排放标准》</w:t>
                  </w:r>
                  <w:r>
                    <w:rPr>
                      <w:rFonts w:hint="eastAsia" w:ascii="Times New Roman" w:hAnsi="Times New Roman"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GB16297-1996）中要求。</w:t>
                  </w:r>
                </w:p>
              </w:tc>
              <w:tc>
                <w:tcPr>
                  <w:tcW w:w="1103" w:type="dxa"/>
                  <w:tcBorders>
                    <w:tl2br w:val="nil"/>
                    <w:tr2bl w:val="nil"/>
                  </w:tcBorders>
                  <w:vAlign w:val="center"/>
                </w:tcPr>
                <w:p w14:paraId="1385F4E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26229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2" w:hRule="atLeast"/>
                <w:jc w:val="center"/>
              </w:trPr>
              <w:tc>
                <w:tcPr>
                  <w:tcW w:w="1048" w:type="dxa"/>
                  <w:vMerge w:val="continue"/>
                  <w:tcBorders>
                    <w:tl2br w:val="nil"/>
                    <w:tr2bl w:val="nil"/>
                  </w:tcBorders>
                  <w:vAlign w:val="center"/>
                </w:tcPr>
                <w:p w14:paraId="784B43B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496" w:type="dxa"/>
                  <w:tcBorders>
                    <w:tl2br w:val="nil"/>
                    <w:tr2bl w:val="nil"/>
                  </w:tcBorders>
                  <w:vAlign w:val="center"/>
                </w:tcPr>
                <w:p w14:paraId="4B037A8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7.6 涂锡铜带及铝带</w:t>
                  </w:r>
                </w:p>
                <w:p w14:paraId="0D47170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7.6.1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涂锡铜带或铝带的回收可采用物理加热或化学腐蚀的方法去除表面锡铅或其他焊接残留，从而得到高纯度的金属铜或铝。</w:t>
                  </w:r>
                </w:p>
                <w:p w14:paraId="6111E1E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7.6.2 废水中铅的含量应符合GB25466—2010的第4章规定。</w:t>
                  </w:r>
                </w:p>
                <w:p w14:paraId="2B00820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7.6.3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废水中锡的含量应符合GB30770—2014的第4章规定。</w:t>
                  </w:r>
                </w:p>
                <w:p w14:paraId="6D38BC2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7.6.4 分离后的废铜按照物理形态及名称分成七类，按照每类废铜中的产品类型分成不同组别，每组按照废铜的名称来区分不同的级别，分类标准应符合GB/T13587一2006的第3章规定。</w:t>
                  </w:r>
                </w:p>
                <w:p w14:paraId="3E2795B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7.6.5</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加工和使用过的废锡料，结合锡及锡合金废料收购企业提供的</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分拣</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情况及废料加工处置要求，按照废料化学成分，物理形态及存在方式按GB/T21180一2007的第3章规定进行分类。</w:t>
                  </w:r>
                </w:p>
              </w:tc>
              <w:tc>
                <w:tcPr>
                  <w:tcW w:w="3770" w:type="dxa"/>
                  <w:tcBorders>
                    <w:tl2br w:val="nil"/>
                    <w:tr2bl w:val="nil"/>
                  </w:tcBorders>
                  <w:vAlign w:val="center"/>
                </w:tcPr>
                <w:p w14:paraId="7B2BDF6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（1）本项目处理的废旧光伏组件的焊带为</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涂锡铜带</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p>
                <w:p w14:paraId="66881F1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（2）经色选后的铜丝（含锡）作为产品外售；</w:t>
                  </w:r>
                </w:p>
              </w:tc>
              <w:tc>
                <w:tcPr>
                  <w:tcW w:w="1103" w:type="dxa"/>
                  <w:tcBorders>
                    <w:tl2br w:val="nil"/>
                    <w:tr2bl w:val="nil"/>
                  </w:tcBorders>
                  <w:vAlign w:val="center"/>
                </w:tcPr>
                <w:p w14:paraId="2D8719F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1FCFD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1" w:hRule="atLeast"/>
                <w:jc w:val="center"/>
              </w:trPr>
              <w:tc>
                <w:tcPr>
                  <w:tcW w:w="1048" w:type="dxa"/>
                  <w:vMerge w:val="continue"/>
                  <w:tcBorders>
                    <w:tl2br w:val="nil"/>
                    <w:tr2bl w:val="nil"/>
                  </w:tcBorders>
                  <w:vAlign w:val="center"/>
                </w:tcPr>
                <w:p w14:paraId="18255DB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496" w:type="dxa"/>
                  <w:tcBorders>
                    <w:tl2br w:val="nil"/>
                    <w:tr2bl w:val="nil"/>
                  </w:tcBorders>
                  <w:vAlign w:val="center"/>
                </w:tcPr>
                <w:p w14:paraId="0F1356B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7.8</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1 </w:t>
                  </w:r>
                  <w:r>
                    <w:rPr>
                      <w:rFonts w:hint="default" w:ascii="Times New Roman" w:hAnsi="Times New Roman" w:cs="Times New Roman"/>
                      <w:color w:val="000000" w:themeColor="text1"/>
                      <w:spacing w:val="0"/>
                      <w:w w:val="100"/>
                      <w:sz w:val="21"/>
                      <w:szCs w:val="21"/>
                      <w14:textFill>
                        <w14:solidFill>
                          <w14:schemeClr w14:val="tx1"/>
                        </w14:solidFill>
                      </w14:textFill>
                    </w:rPr>
                    <w:t>边框宜先进行机械拆解后再进行其他处理。</w:t>
                  </w:r>
                </w:p>
                <w:p w14:paraId="5428DD3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7.8.2 </w:t>
                  </w:r>
                  <w:r>
                    <w:rPr>
                      <w:rFonts w:hint="default" w:ascii="Times New Roman" w:hAnsi="Times New Roman" w:cs="Times New Roman"/>
                      <w:color w:val="000000" w:themeColor="text1"/>
                      <w:spacing w:val="0"/>
                      <w:w w:val="100"/>
                      <w:sz w:val="21"/>
                      <w:szCs w:val="21"/>
                      <w14:textFill>
                        <w14:solidFill>
                          <w14:schemeClr w14:val="tx1"/>
                        </w14:solidFill>
                      </w14:textFill>
                    </w:rPr>
                    <w:t>机械拆解处置应在专门的场地进行。</w:t>
                  </w:r>
                </w:p>
                <w:p w14:paraId="10E5506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7.8.3 </w:t>
                  </w:r>
                  <w:r>
                    <w:rPr>
                      <w:rFonts w:hint="default" w:ascii="Times New Roman" w:hAnsi="Times New Roman" w:cs="Times New Roman"/>
                      <w:color w:val="000000" w:themeColor="text1"/>
                      <w:spacing w:val="0"/>
                      <w:w w:val="100"/>
                      <w:sz w:val="21"/>
                      <w:szCs w:val="21"/>
                      <w14:textFill>
                        <w14:solidFill>
                          <w14:schemeClr w14:val="tx1"/>
                        </w14:solidFill>
                      </w14:textFill>
                    </w:rPr>
                    <w:t>紧固件宜进行非破坏性拆解。</w:t>
                  </w:r>
                </w:p>
                <w:p w14:paraId="570E960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7.8.4 </w:t>
                  </w:r>
                  <w:r>
                    <w:rPr>
                      <w:rFonts w:hint="default" w:ascii="Times New Roman" w:hAnsi="Times New Roman" w:cs="Times New Roman"/>
                      <w:color w:val="000000" w:themeColor="text1"/>
                      <w:spacing w:val="0"/>
                      <w:w w:val="100"/>
                      <w:sz w:val="21"/>
                      <w:szCs w:val="21"/>
                      <w14:textFill>
                        <w14:solidFill>
                          <w14:schemeClr w14:val="tx1"/>
                        </w14:solidFill>
                      </w14:textFill>
                    </w:rPr>
                    <w:t>拆解后能直接再使用的金属构件可按需要进行清洗、除锈、抛光、磨边等处理和处置，除锈过程中用到的化学试剂应妥善回收利用，不应随意排放，排放的废水应符合</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GB8978—1996</w:t>
                  </w:r>
                  <w:r>
                    <w:rPr>
                      <w:rFonts w:hint="default" w:ascii="Times New Roman" w:hAnsi="Times New Roman" w:cs="Times New Roman"/>
                      <w:color w:val="000000" w:themeColor="text1"/>
                      <w:spacing w:val="0"/>
                      <w:w w:val="100"/>
                      <w:sz w:val="21"/>
                      <w:szCs w:val="21"/>
                      <w14:textFill>
                        <w14:solidFill>
                          <w14:schemeClr w14:val="tx1"/>
                        </w14:solidFill>
                      </w14:textFill>
                    </w:rPr>
                    <w:t>的第</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4</w:t>
                  </w:r>
                  <w:r>
                    <w:rPr>
                      <w:rFonts w:hint="default" w:ascii="Times New Roman" w:hAnsi="Times New Roman" w:cs="Times New Roman"/>
                      <w:color w:val="000000" w:themeColor="text1"/>
                      <w:spacing w:val="0"/>
                      <w:w w:val="100"/>
                      <w:sz w:val="21"/>
                      <w:szCs w:val="21"/>
                      <w14:textFill>
                        <w14:solidFill>
                          <w14:schemeClr w14:val="tx1"/>
                        </w14:solidFill>
                      </w14:textFill>
                    </w:rPr>
                    <w:t>章规定。</w:t>
                  </w:r>
                </w:p>
                <w:p w14:paraId="218B0F7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 xml:space="preserve">7.8.5 </w:t>
                  </w:r>
                  <w:r>
                    <w:rPr>
                      <w:rFonts w:hint="default" w:ascii="Times New Roman" w:hAnsi="Times New Roman" w:cs="Times New Roman"/>
                      <w:color w:val="000000" w:themeColor="text1"/>
                      <w:spacing w:val="0"/>
                      <w:w w:val="100"/>
                      <w:sz w:val="21"/>
                      <w:szCs w:val="21"/>
                      <w14:textFill>
                        <w14:solidFill>
                          <w14:schemeClr w14:val="tx1"/>
                        </w14:solidFill>
                      </w14:textFill>
                    </w:rPr>
                    <w:t>拆解后不能直接再使用的金属构件应进行熔融、提取等处置，处置时，应做到溶液无泄露。</w:t>
                  </w:r>
                </w:p>
              </w:tc>
              <w:tc>
                <w:tcPr>
                  <w:tcW w:w="3770" w:type="dxa"/>
                  <w:tcBorders>
                    <w:tl2br w:val="nil"/>
                    <w:tr2bl w:val="nil"/>
                  </w:tcBorders>
                  <w:vAlign w:val="center"/>
                </w:tcPr>
                <w:p w14:paraId="72FA09F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1</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cs="Times New Roman"/>
                      <w:color w:val="000000" w:themeColor="text1"/>
                      <w:spacing w:val="0"/>
                      <w:w w:val="100"/>
                      <w:sz w:val="21"/>
                      <w:szCs w:val="21"/>
                      <w14:textFill>
                        <w14:solidFill>
                          <w14:schemeClr w14:val="tx1"/>
                        </w14:solidFill>
                      </w14:textFill>
                    </w:rPr>
                    <w:t>本项目废光伏板首先拆除</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铝合金</w:t>
                  </w:r>
                  <w:r>
                    <w:rPr>
                      <w:rFonts w:hint="default" w:ascii="Times New Roman" w:hAnsi="Times New Roman" w:cs="Times New Roman"/>
                      <w:color w:val="000000" w:themeColor="text1"/>
                      <w:spacing w:val="0"/>
                      <w:w w:val="100"/>
                      <w:sz w:val="21"/>
                      <w:szCs w:val="21"/>
                      <w14:textFill>
                        <w14:solidFill>
                          <w14:schemeClr w14:val="tx1"/>
                        </w14:solidFill>
                      </w14:textFill>
                    </w:rPr>
                    <w:t>边框，</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选取厂房西南边独立区域进行</w:t>
                  </w:r>
                  <w:r>
                    <w:rPr>
                      <w:rFonts w:hint="default" w:ascii="Times New Roman" w:hAnsi="Times New Roman" w:cs="Times New Roman"/>
                      <w:color w:val="000000" w:themeColor="text1"/>
                      <w:spacing w:val="0"/>
                      <w:w w:val="100"/>
                      <w:sz w:val="21"/>
                      <w:szCs w:val="21"/>
                      <w14:textFill>
                        <w14:solidFill>
                          <w14:schemeClr w14:val="tx1"/>
                        </w14:solidFill>
                      </w14:textFill>
                    </w:rPr>
                    <w:t>拆解</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作业</w:t>
                  </w:r>
                  <w:r>
                    <w:rPr>
                      <w:rFonts w:hint="default" w:ascii="Times New Roman" w:hAnsi="Times New Roman" w:cs="Times New Roman"/>
                      <w:color w:val="000000" w:themeColor="text1"/>
                      <w:spacing w:val="0"/>
                      <w:w w:val="100"/>
                      <w:sz w:val="21"/>
                      <w:szCs w:val="21"/>
                      <w14:textFill>
                        <w14:solidFill>
                          <w14:schemeClr w14:val="tx1"/>
                        </w14:solidFill>
                      </w14:textFill>
                    </w:rPr>
                    <w:t>。</w:t>
                  </w:r>
                </w:p>
                <w:p w14:paraId="4184731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2</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cs="Times New Roman"/>
                      <w:color w:val="000000" w:themeColor="text1"/>
                      <w:spacing w:val="0"/>
                      <w:w w:val="100"/>
                      <w:sz w:val="21"/>
                      <w:szCs w:val="21"/>
                      <w14:textFill>
                        <w14:solidFill>
                          <w14:schemeClr w14:val="tx1"/>
                        </w14:solidFill>
                      </w14:textFill>
                    </w:rPr>
                    <w:t>拆解</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后的铝合金</w:t>
                  </w:r>
                  <w:r>
                    <w:rPr>
                      <w:rFonts w:hint="default" w:ascii="Times New Roman" w:hAnsi="Times New Roman" w:cs="Times New Roman"/>
                      <w:color w:val="000000" w:themeColor="text1"/>
                      <w:spacing w:val="0"/>
                      <w:w w:val="100"/>
                      <w:sz w:val="21"/>
                      <w:szCs w:val="21"/>
                      <w14:textFill>
                        <w14:solidFill>
                          <w14:schemeClr w14:val="tx1"/>
                        </w14:solidFill>
                      </w14:textFill>
                    </w:rPr>
                    <w:t>边框</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外售处理</w:t>
                  </w:r>
                  <w:r>
                    <w:rPr>
                      <w:rFonts w:hint="default" w:ascii="Times New Roman" w:hAnsi="Times New Roman" w:cs="Times New Roman"/>
                      <w:color w:val="000000" w:themeColor="text1"/>
                      <w:spacing w:val="0"/>
                      <w:w w:val="100"/>
                      <w:sz w:val="21"/>
                      <w:szCs w:val="21"/>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厂区不设置</w:t>
                  </w:r>
                  <w:r>
                    <w:rPr>
                      <w:rFonts w:hint="default" w:ascii="Times New Roman" w:hAnsi="Times New Roman" w:cs="Times New Roman"/>
                      <w:color w:val="000000" w:themeColor="text1"/>
                      <w:spacing w:val="0"/>
                      <w:w w:val="100"/>
                      <w:sz w:val="21"/>
                      <w:szCs w:val="21"/>
                      <w14:textFill>
                        <w14:solidFill>
                          <w14:schemeClr w14:val="tx1"/>
                        </w14:solidFill>
                      </w14:textFill>
                    </w:rPr>
                    <w:t>金属构件</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的</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处理作业。</w:t>
                  </w:r>
                </w:p>
              </w:tc>
              <w:tc>
                <w:tcPr>
                  <w:tcW w:w="1103" w:type="dxa"/>
                  <w:tcBorders>
                    <w:tl2br w:val="nil"/>
                    <w:tr2bl w:val="nil"/>
                  </w:tcBorders>
                  <w:vAlign w:val="center"/>
                </w:tcPr>
                <w:p w14:paraId="67D0D3F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39ACA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jc w:val="center"/>
              </w:trPr>
              <w:tc>
                <w:tcPr>
                  <w:tcW w:w="1048" w:type="dxa"/>
                  <w:vMerge w:val="continue"/>
                  <w:tcBorders>
                    <w:tl2br w:val="nil"/>
                    <w:tr2bl w:val="nil"/>
                  </w:tcBorders>
                  <w:vAlign w:val="center"/>
                </w:tcPr>
                <w:p w14:paraId="6AF293A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496" w:type="dxa"/>
                  <w:tcBorders>
                    <w:tl2br w:val="nil"/>
                    <w:tr2bl w:val="nil"/>
                  </w:tcBorders>
                  <w:vAlign w:val="center"/>
                </w:tcPr>
                <w:p w14:paraId="6AE170D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7.9 接线盒、引出线</w:t>
                  </w:r>
                </w:p>
                <w:p w14:paraId="33782F1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接线盒、引出线的处置应符合GB/T23685的规定。</w:t>
                  </w:r>
                </w:p>
              </w:tc>
              <w:tc>
                <w:tcPr>
                  <w:tcW w:w="3770" w:type="dxa"/>
                  <w:tcBorders>
                    <w:tl2br w:val="nil"/>
                    <w:tr2bl w:val="nil"/>
                  </w:tcBorders>
                  <w:vAlign w:val="center"/>
                </w:tcPr>
                <w:p w14:paraId="1F575A9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本项目拆解后的</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接线盒</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经</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撕碎</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后</w:t>
                  </w:r>
                  <w:r>
                    <w:rPr>
                      <w:rFonts w:hint="eastAsia" w:ascii="Times New Roman" w:hAnsi="Times New Roman" w:eastAsia="Times New Roman" w:cs="Times New Roman"/>
                      <w:color w:val="000000" w:themeColor="text1"/>
                      <w:spacing w:val="0"/>
                      <w:w w:val="100"/>
                      <w:sz w:val="21"/>
                      <w:szCs w:val="21"/>
                      <w:lang w:val="en-US" w:eastAsia="zh-CN"/>
                      <w14:textFill>
                        <w14:solidFill>
                          <w14:schemeClr w14:val="tx1"/>
                        </w14:solidFill>
                      </w14:textFill>
                    </w:rPr>
                    <w:t>分</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选出铜丝和塑料外售综合利用。</w:t>
                  </w:r>
                </w:p>
              </w:tc>
              <w:tc>
                <w:tcPr>
                  <w:tcW w:w="1103" w:type="dxa"/>
                  <w:tcBorders>
                    <w:tl2br w:val="nil"/>
                    <w:tr2bl w:val="nil"/>
                  </w:tcBorders>
                  <w:vAlign w:val="center"/>
                </w:tcPr>
                <w:p w14:paraId="39E2163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275E4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jc w:val="center"/>
              </w:trPr>
              <w:tc>
                <w:tcPr>
                  <w:tcW w:w="1048" w:type="dxa"/>
                  <w:vMerge w:val="restart"/>
                  <w:tcBorders>
                    <w:tl2br w:val="nil"/>
                    <w:tr2bl w:val="nil"/>
                  </w:tcBorders>
                  <w:vAlign w:val="center"/>
                </w:tcPr>
                <w:p w14:paraId="30B94AB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t>8再生利用</w:t>
                  </w:r>
                </w:p>
              </w:tc>
              <w:tc>
                <w:tcPr>
                  <w:tcW w:w="6496" w:type="dxa"/>
                  <w:tcBorders>
                    <w:tl2br w:val="nil"/>
                    <w:tr2bl w:val="nil"/>
                  </w:tcBorders>
                  <w:vAlign w:val="center"/>
                </w:tcPr>
                <w:p w14:paraId="33C6285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8.1 半导体材料的再生利用</w:t>
                  </w:r>
                </w:p>
                <w:p w14:paraId="321FEE9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8.1.1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硅材料的回收一般用化学方法去除正背面电极、减反射膜、发射极等，以求获得高纯度可回收的硅材料。</w:t>
                  </w:r>
                </w:p>
                <w:p w14:paraId="2EB7AC7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8.1.2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硅材料的再生利用率应达到70％。</w:t>
                  </w:r>
                </w:p>
                <w:p w14:paraId="39457E9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8.1.3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回收后的硅粉不宜含重金属，可二次提纯重新适用于半导体行业，也可采用填埋方式进行处置，应符合GB18599一2001的第7章规定。</w:t>
                  </w:r>
                </w:p>
                <w:p w14:paraId="518FFE7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8.1.4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回收的完整无损坏硅片可二次利用。</w:t>
                  </w:r>
                </w:p>
                <w:p w14:paraId="05778F0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8.1.5</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硒的回收纯度应达到80%，再生利用率应达到75%。碲的回收纯度应达到78%，再生利用率应达到70％。</w:t>
                  </w:r>
                </w:p>
              </w:tc>
              <w:tc>
                <w:tcPr>
                  <w:tcW w:w="3770" w:type="dxa"/>
                  <w:tcBorders>
                    <w:tl2br w:val="nil"/>
                    <w:tr2bl w:val="nil"/>
                  </w:tcBorders>
                  <w:vAlign w:val="center"/>
                </w:tcPr>
                <w:p w14:paraId="5FBF67B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本项目选出硅料后，作为产品外售，不涉及硅料的进一步处理。</w:t>
                  </w:r>
                </w:p>
              </w:tc>
              <w:tc>
                <w:tcPr>
                  <w:tcW w:w="1103" w:type="dxa"/>
                  <w:tcBorders>
                    <w:tl2br w:val="nil"/>
                    <w:tr2bl w:val="nil"/>
                  </w:tcBorders>
                  <w:vAlign w:val="center"/>
                </w:tcPr>
                <w:p w14:paraId="3704C30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64D18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jc w:val="center"/>
              </w:trPr>
              <w:tc>
                <w:tcPr>
                  <w:tcW w:w="1048" w:type="dxa"/>
                  <w:vMerge w:val="continue"/>
                  <w:tcBorders>
                    <w:tl2br w:val="nil"/>
                    <w:tr2bl w:val="nil"/>
                  </w:tcBorders>
                  <w:vAlign w:val="center"/>
                </w:tcPr>
                <w:p w14:paraId="4D847E6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496" w:type="dxa"/>
                  <w:tcBorders>
                    <w:tl2br w:val="nil"/>
                    <w:tr2bl w:val="nil"/>
                  </w:tcBorders>
                  <w:vAlign w:val="center"/>
                </w:tcPr>
                <w:p w14:paraId="1B95983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8.2 金属材料的再生利用</w:t>
                  </w:r>
                </w:p>
                <w:p w14:paraId="1A6BCA2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8.2.1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电池中贵金属的提纯可采用溶剂腐蚀后再还原的方法再生利用。</w:t>
                  </w:r>
                </w:p>
                <w:p w14:paraId="5267AC5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8.2.2 废弃光伏组件中金属材料的再生利用率及回收纯度要求可参见附录B。</w:t>
                  </w:r>
                </w:p>
                <w:p w14:paraId="4844F46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8.2.3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涂锡铜带及铝带中的铜或铝的回收纯度应达到80%，铜或铝的再生利用率应达到75%。</w:t>
                  </w:r>
                </w:p>
                <w:p w14:paraId="3A9475B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8.2.4 铝边框的再生利用率应达到80%。</w:t>
                  </w:r>
                </w:p>
                <w:p w14:paraId="24194C9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8.2.5 再生利用的金属产品应符合国家相关金属产品质量要求。</w:t>
                  </w:r>
                </w:p>
              </w:tc>
              <w:tc>
                <w:tcPr>
                  <w:tcW w:w="3770" w:type="dxa"/>
                  <w:tcBorders>
                    <w:tl2br w:val="nil"/>
                    <w:tr2bl w:val="nil"/>
                  </w:tcBorders>
                  <w:vAlign w:val="center"/>
                </w:tcPr>
                <w:p w14:paraId="0750F17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1</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本项目对</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涂锡铜带</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中的铜料进行回收</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，回收率达到99%以上。少量铜料进入废气和废水中。</w:t>
                  </w:r>
                </w:p>
                <w:p w14:paraId="04C623B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（2）项目</w:t>
                  </w:r>
                  <w:r>
                    <w:rPr>
                      <w:rFonts w:hint="default" w:ascii="Times New Roman" w:hAnsi="Times New Roman" w:cs="Times New Roman"/>
                      <w:color w:val="000000" w:themeColor="text1"/>
                      <w:spacing w:val="0"/>
                      <w:w w:val="100"/>
                      <w:sz w:val="21"/>
                      <w:szCs w:val="21"/>
                      <w14:textFill>
                        <w14:solidFill>
                          <w14:schemeClr w14:val="tx1"/>
                        </w14:solidFill>
                      </w14:textFill>
                    </w:rPr>
                    <w:t>拆解</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后的铝合金</w:t>
                  </w:r>
                  <w:r>
                    <w:rPr>
                      <w:rFonts w:hint="default" w:ascii="Times New Roman" w:hAnsi="Times New Roman" w:cs="Times New Roman"/>
                      <w:color w:val="000000" w:themeColor="text1"/>
                      <w:spacing w:val="0"/>
                      <w:w w:val="100"/>
                      <w:sz w:val="21"/>
                      <w:szCs w:val="21"/>
                      <w14:textFill>
                        <w14:solidFill>
                          <w14:schemeClr w14:val="tx1"/>
                        </w14:solidFill>
                      </w14:textFill>
                    </w:rPr>
                    <w:t>边框</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全部外售处理</w:t>
                  </w:r>
                  <w:r>
                    <w:rPr>
                      <w:rFonts w:hint="default" w:ascii="Times New Roman" w:hAnsi="Times New Roman" w:cs="Times New Roman"/>
                      <w:color w:val="000000" w:themeColor="text1"/>
                      <w:spacing w:val="0"/>
                      <w:w w:val="100"/>
                      <w:sz w:val="21"/>
                      <w:szCs w:val="21"/>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再生利用率</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按100%计。</w:t>
                  </w:r>
                </w:p>
              </w:tc>
              <w:tc>
                <w:tcPr>
                  <w:tcW w:w="1103" w:type="dxa"/>
                  <w:tcBorders>
                    <w:tl2br w:val="nil"/>
                    <w:tr2bl w:val="nil"/>
                  </w:tcBorders>
                  <w:vAlign w:val="center"/>
                </w:tcPr>
                <w:p w14:paraId="78BCAFF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r w14:paraId="5F6ED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jc w:val="center"/>
              </w:trPr>
              <w:tc>
                <w:tcPr>
                  <w:tcW w:w="1048" w:type="dxa"/>
                  <w:vMerge w:val="continue"/>
                  <w:tcBorders>
                    <w:tl2br w:val="nil"/>
                    <w:tr2bl w:val="nil"/>
                  </w:tcBorders>
                  <w:vAlign w:val="center"/>
                </w:tcPr>
                <w:p w14:paraId="3DC9528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496" w:type="dxa"/>
                  <w:tcBorders>
                    <w:tl2br w:val="nil"/>
                    <w:tr2bl w:val="nil"/>
                  </w:tcBorders>
                  <w:vAlign w:val="center"/>
                </w:tcPr>
                <w:p w14:paraId="1F92FFF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8.3 玻璃的再生利用</w:t>
                  </w:r>
                </w:p>
                <w:p w14:paraId="76CE499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8.3.1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处理后用于光伏组件的完整玻璃，透光率等技术参数应符合相应类型的光伏组件用玻璃标准要求，按光伏组件用玻璃要求加工，直接用于光伏组件的生产。</w:t>
                  </w:r>
                </w:p>
                <w:p w14:paraId="3DD6490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8.3.2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再生利用的废玻璃产品应符合国家相关玻璃产品要求。</w:t>
                  </w:r>
                </w:p>
              </w:tc>
              <w:tc>
                <w:tcPr>
                  <w:tcW w:w="3770" w:type="dxa"/>
                  <w:tcBorders>
                    <w:tl2br w:val="nil"/>
                    <w:tr2bl w:val="nil"/>
                  </w:tcBorders>
                  <w:vAlign w:val="center"/>
                </w:tcPr>
                <w:p w14:paraId="0A87F4C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本项目热解炉出料后，通过筛分、风选、比重色选等工序选出玻璃，再通过碱液清洗、洗砂去碱、烘干、色选等工序对玻璃进一步去杂。处理后的高纯度玻璃作为产品直接外售给相关单位再生利用。</w:t>
                  </w:r>
                </w:p>
              </w:tc>
              <w:tc>
                <w:tcPr>
                  <w:tcW w:w="1103" w:type="dxa"/>
                  <w:tcBorders>
                    <w:tl2br w:val="nil"/>
                    <w:tr2bl w:val="nil"/>
                  </w:tcBorders>
                  <w:vAlign w:val="center"/>
                </w:tcPr>
                <w:p w14:paraId="1E32942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bl>
          <w:p w14:paraId="197F8777">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b/>
                <w:color w:val="000000" w:themeColor="text1"/>
                <w:spacing w:val="0"/>
                <w:w w:val="100"/>
                <w:position w:val="0"/>
                <w:sz w:val="24"/>
                <w:lang w:val="en-US" w:eastAsia="zh-CN"/>
                <w14:textFill>
                  <w14:solidFill>
                    <w14:schemeClr w14:val="tx1"/>
                  </w14:solidFill>
                </w14:textFill>
              </w:rPr>
            </w:pPr>
            <w:r>
              <w:rPr>
                <w:rFonts w:hint="eastAsia" w:ascii="Times New Roman" w:hAnsi="Times New Roman" w:eastAsia="宋体" w:cs="Times New Roman"/>
                <w:b/>
                <w:bCs/>
                <w:color w:val="000000" w:themeColor="text1"/>
                <w:spacing w:val="0"/>
                <w:w w:val="100"/>
                <w:sz w:val="24"/>
                <w:szCs w:val="24"/>
                <w:lang w:val="en-US" w:eastAsia="zh-CN"/>
                <w14:textFill>
                  <w14:solidFill>
                    <w14:schemeClr w14:val="tx1"/>
                  </w14:solidFill>
                </w14:textFill>
              </w:rPr>
              <w:t>7、</w:t>
            </w:r>
            <w:r>
              <w:rPr>
                <w:b/>
                <w:bCs/>
                <w:color w:val="000000" w:themeColor="text1"/>
                <w:spacing w:val="0"/>
                <w:w w:val="100"/>
                <w:sz w:val="24"/>
                <w:szCs w:val="24"/>
                <w14:textFill>
                  <w14:solidFill>
                    <w14:schemeClr w14:val="tx1"/>
                  </w14:solidFill>
                </w14:textFill>
              </w:rPr>
              <w:t>与《电子废物污染环境防治管理办法》</w:t>
            </w:r>
            <w:r>
              <w:rPr>
                <w:rFonts w:hint="eastAsia"/>
                <w:b/>
                <w:bCs/>
                <w:color w:val="000000" w:themeColor="text1"/>
                <w:spacing w:val="0"/>
                <w:w w:val="100"/>
                <w:sz w:val="24"/>
                <w:szCs w:val="24"/>
                <w:lang w:eastAsia="zh-CN"/>
                <w14:textFill>
                  <w14:solidFill>
                    <w14:schemeClr w14:val="tx1"/>
                  </w14:solidFill>
                </w14:textFill>
              </w:rPr>
              <w:t>符合性</w:t>
            </w:r>
            <w:r>
              <w:rPr>
                <w:b/>
                <w:bCs/>
                <w:color w:val="000000" w:themeColor="text1"/>
                <w:spacing w:val="0"/>
                <w:w w:val="100"/>
                <w:sz w:val="24"/>
                <w:szCs w:val="24"/>
                <w14:textFill>
                  <w14:solidFill>
                    <w14:schemeClr w14:val="tx1"/>
                  </w14:solidFill>
                </w14:textFill>
              </w:rPr>
              <w:t>分析</w:t>
            </w:r>
          </w:p>
          <w:p w14:paraId="57983676">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b/>
                <w:color w:val="000000" w:themeColor="text1"/>
                <w:spacing w:val="0"/>
                <w:w w:val="100"/>
                <w:position w:val="0"/>
                <w:sz w:val="24"/>
                <w:lang w:val="en-US" w:eastAsia="zh-CN"/>
                <w14:textFill>
                  <w14:solidFill>
                    <w14:schemeClr w14:val="tx1"/>
                  </w14:solidFill>
                </w14:textFill>
              </w:rPr>
            </w:pPr>
            <w:r>
              <w:rPr>
                <w:b/>
                <w:bCs/>
                <w:color w:val="000000" w:themeColor="text1"/>
                <w:spacing w:val="0"/>
                <w:w w:val="100"/>
                <w14:textFill>
                  <w14:solidFill>
                    <w14:schemeClr w14:val="tx1"/>
                  </w14:solidFill>
                </w14:textFill>
              </w:rPr>
              <w:t>表</w:t>
            </w:r>
            <w:r>
              <w:rPr>
                <w:color w:val="000000" w:themeColor="text1"/>
                <w:spacing w:val="0"/>
                <w:w w:val="100"/>
                <w14:textFill>
                  <w14:solidFill>
                    <w14:schemeClr w14:val="tx1"/>
                  </w14:solidFill>
                </w14:textFill>
              </w:rPr>
              <w:t xml:space="preserve"> </w:t>
            </w:r>
            <w:r>
              <w:rPr>
                <w:rFonts w:ascii="Times New Roman" w:hAnsi="Times New Roman" w:eastAsia="Times New Roman" w:cs="Times New Roman"/>
                <w:b/>
                <w:bCs/>
                <w:color w:val="000000" w:themeColor="text1"/>
                <w:spacing w:val="0"/>
                <w:w w:val="100"/>
                <w14:textFill>
                  <w14:solidFill>
                    <w14:schemeClr w14:val="tx1"/>
                  </w14:solidFill>
                </w14:textFill>
              </w:rPr>
              <w:t>1-</w:t>
            </w:r>
            <w:r>
              <w:rPr>
                <w:rFonts w:hint="eastAsia" w:ascii="Times New Roman" w:hAnsi="Times New Roman" w:eastAsia="宋体" w:cs="Times New Roman"/>
                <w:b/>
                <w:bCs/>
                <w:color w:val="000000" w:themeColor="text1"/>
                <w:spacing w:val="0"/>
                <w:w w:val="100"/>
                <w:lang w:val="en-US" w:eastAsia="zh-CN"/>
                <w14:textFill>
                  <w14:solidFill>
                    <w14:schemeClr w14:val="tx1"/>
                  </w14:solidFill>
                </w14:textFill>
              </w:rPr>
              <w:t>9与</w:t>
            </w:r>
            <w:r>
              <w:rPr>
                <w:rFonts w:ascii="Times New Roman" w:hAnsi="Times New Roman" w:eastAsia="Times New Roman" w:cs="Times New Roman"/>
                <w:b/>
                <w:bCs/>
                <w:color w:val="000000" w:themeColor="text1"/>
                <w:spacing w:val="0"/>
                <w:w w:val="100"/>
                <w14:textFill>
                  <w14:solidFill>
                    <w14:schemeClr w14:val="tx1"/>
                  </w14:solidFill>
                </w14:textFill>
              </w:rPr>
              <w:t xml:space="preserve">  </w:t>
            </w:r>
            <w:r>
              <w:rPr>
                <w:b/>
                <w:bCs/>
                <w:color w:val="000000" w:themeColor="text1"/>
                <w:spacing w:val="0"/>
                <w:w w:val="100"/>
                <w14:textFill>
                  <w14:solidFill>
                    <w14:schemeClr w14:val="tx1"/>
                  </w14:solidFill>
                </w14:textFill>
              </w:rPr>
              <w:t>《电子废物污染环境防治管理办法》</w:t>
            </w:r>
            <w:r>
              <w:rPr>
                <w:rFonts w:hint="eastAsia"/>
                <w:b/>
                <w:bCs/>
                <w:color w:val="000000" w:themeColor="text1"/>
                <w:spacing w:val="0"/>
                <w:w w:val="100"/>
                <w:lang w:eastAsia="zh-CN"/>
                <w14:textFill>
                  <w14:solidFill>
                    <w14:schemeClr w14:val="tx1"/>
                  </w14:solidFill>
                </w14:textFill>
              </w:rPr>
              <w:t>符合性</w:t>
            </w:r>
            <w:r>
              <w:rPr>
                <w:b/>
                <w:bCs/>
                <w:color w:val="000000" w:themeColor="text1"/>
                <w:spacing w:val="0"/>
                <w:w w:val="100"/>
                <w14:textFill>
                  <w14:solidFill>
                    <w14:schemeClr w14:val="tx1"/>
                  </w14:solidFill>
                </w14:textFill>
              </w:rPr>
              <w:t>分析</w:t>
            </w:r>
          </w:p>
          <w:tbl>
            <w:tblPr>
              <w:tblStyle w:val="69"/>
              <w:tblW w:w="124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78"/>
              <w:gridCol w:w="5052"/>
              <w:gridCol w:w="1073"/>
            </w:tblGrid>
            <w:tr w14:paraId="2AEBF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jc w:val="center"/>
              </w:trPr>
              <w:tc>
                <w:tcPr>
                  <w:tcW w:w="6278" w:type="dxa"/>
                  <w:tcBorders>
                    <w:tl2br w:val="nil"/>
                    <w:tr2bl w:val="nil"/>
                  </w:tcBorders>
                  <w:vAlign w:val="center"/>
                </w:tcPr>
                <w:p w14:paraId="684A394C">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b/>
                      <w:bCs/>
                      <w:color w:val="000000" w:themeColor="text1"/>
                      <w:spacing w:val="0"/>
                      <w:w w:val="100"/>
                      <w:sz w:val="21"/>
                      <w:szCs w:val="21"/>
                      <w14:textFill>
                        <w14:solidFill>
                          <w14:schemeClr w14:val="tx1"/>
                        </w14:solidFill>
                      </w14:textFill>
                    </w:rPr>
                  </w:pPr>
                  <w:r>
                    <w:rPr>
                      <w:b/>
                      <w:bCs/>
                      <w:color w:val="000000" w:themeColor="text1"/>
                      <w:spacing w:val="0"/>
                      <w:w w:val="100"/>
                      <w:sz w:val="21"/>
                      <w:szCs w:val="21"/>
                      <w14:textFill>
                        <w14:solidFill>
                          <w14:schemeClr w14:val="tx1"/>
                        </w14:solidFill>
                      </w14:textFill>
                    </w:rPr>
                    <w:t>相关要求</w:t>
                  </w:r>
                </w:p>
              </w:tc>
              <w:tc>
                <w:tcPr>
                  <w:tcW w:w="5052" w:type="dxa"/>
                  <w:tcBorders>
                    <w:tl2br w:val="nil"/>
                    <w:tr2bl w:val="nil"/>
                  </w:tcBorders>
                  <w:vAlign w:val="center"/>
                </w:tcPr>
                <w:p w14:paraId="06054F06">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b/>
                      <w:bCs/>
                      <w:color w:val="000000" w:themeColor="text1"/>
                      <w:spacing w:val="0"/>
                      <w:w w:val="100"/>
                      <w:sz w:val="21"/>
                      <w:szCs w:val="21"/>
                      <w14:textFill>
                        <w14:solidFill>
                          <w14:schemeClr w14:val="tx1"/>
                        </w14:solidFill>
                      </w14:textFill>
                    </w:rPr>
                  </w:pPr>
                  <w:r>
                    <w:rPr>
                      <w:b/>
                      <w:bCs/>
                      <w:color w:val="000000" w:themeColor="text1"/>
                      <w:spacing w:val="0"/>
                      <w:w w:val="100"/>
                      <w:sz w:val="21"/>
                      <w:szCs w:val="21"/>
                      <w14:textFill>
                        <w14:solidFill>
                          <w14:schemeClr w14:val="tx1"/>
                        </w14:solidFill>
                      </w14:textFill>
                    </w:rPr>
                    <w:t>建设项目情况</w:t>
                  </w:r>
                </w:p>
              </w:tc>
              <w:tc>
                <w:tcPr>
                  <w:tcW w:w="1073" w:type="dxa"/>
                  <w:tcBorders>
                    <w:tl2br w:val="nil"/>
                    <w:tr2bl w:val="nil"/>
                  </w:tcBorders>
                  <w:vAlign w:val="center"/>
                </w:tcPr>
                <w:p w14:paraId="76D3F187">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b/>
                      <w:bCs/>
                      <w:color w:val="000000" w:themeColor="text1"/>
                      <w:spacing w:val="0"/>
                      <w:w w:val="100"/>
                      <w:sz w:val="21"/>
                      <w:szCs w:val="21"/>
                      <w14:textFill>
                        <w14:solidFill>
                          <w14:schemeClr w14:val="tx1"/>
                        </w14:solidFill>
                      </w14:textFill>
                    </w:rPr>
                  </w:pPr>
                  <w:r>
                    <w:rPr>
                      <w:rFonts w:hint="eastAsia"/>
                      <w:b/>
                      <w:bCs/>
                      <w:color w:val="000000" w:themeColor="text1"/>
                      <w:spacing w:val="0"/>
                      <w:w w:val="100"/>
                      <w:sz w:val="21"/>
                      <w:szCs w:val="21"/>
                      <w:lang w:eastAsia="zh-CN"/>
                      <w14:textFill>
                        <w14:solidFill>
                          <w14:schemeClr w14:val="tx1"/>
                        </w14:solidFill>
                      </w14:textFill>
                    </w:rPr>
                    <w:t>符合性</w:t>
                  </w:r>
                  <w:r>
                    <w:rPr>
                      <w:b/>
                      <w:bCs/>
                      <w:color w:val="000000" w:themeColor="text1"/>
                      <w:spacing w:val="0"/>
                      <w:w w:val="100"/>
                      <w:sz w:val="21"/>
                      <w:szCs w:val="21"/>
                      <w14:textFill>
                        <w14:solidFill>
                          <w14:schemeClr w14:val="tx1"/>
                        </w14:solidFill>
                      </w14:textFill>
                    </w:rPr>
                    <w:t>分析</w:t>
                  </w:r>
                </w:p>
              </w:tc>
            </w:tr>
            <w:tr w14:paraId="2C456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278" w:type="dxa"/>
                  <w:tcBorders>
                    <w:tl2br w:val="nil"/>
                    <w:tr2bl w:val="nil"/>
                  </w:tcBorders>
                  <w:vAlign w:val="center"/>
                </w:tcPr>
                <w:p w14:paraId="6184F273">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从事拆解、利用、处置电子废物活动的单 位</w:t>
                  </w:r>
                  <w:r>
                    <w:rPr>
                      <w:rFonts w:ascii="Times New Roman" w:hAnsi="Times New Roman" w:eastAsia="Times New Roman" w:cs="Times New Roman"/>
                      <w:color w:val="000000" w:themeColor="text1"/>
                      <w:spacing w:val="0"/>
                      <w:w w:val="100"/>
                      <w:sz w:val="21"/>
                      <w:szCs w:val="21"/>
                      <w14:textFill>
                        <w14:solidFill>
                          <w14:schemeClr w14:val="tx1"/>
                        </w14:solidFill>
                      </w14:textFill>
                    </w:rPr>
                    <w:t>(</w:t>
                  </w:r>
                  <w:r>
                    <w:rPr>
                      <w:color w:val="000000" w:themeColor="text1"/>
                      <w:spacing w:val="0"/>
                      <w:w w:val="100"/>
                      <w:sz w:val="21"/>
                      <w:szCs w:val="21"/>
                      <w14:textFill>
                        <w14:solidFill>
                          <w14:schemeClr w14:val="tx1"/>
                        </w14:solidFill>
                      </w14:textFill>
                    </w:rPr>
                    <w:t>包括个体工商户</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应当按照环境保护措施验收的要求对污染物排放进行日常定期监测。</w:t>
                  </w:r>
                </w:p>
                <w:p w14:paraId="7BA5D72E">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从事拆解、利用、处置电子废物活动的单 位</w:t>
                  </w:r>
                  <w:r>
                    <w:rPr>
                      <w:rFonts w:ascii="Times New Roman" w:hAnsi="Times New Roman" w:eastAsia="Times New Roman" w:cs="Times New Roman"/>
                      <w:color w:val="000000" w:themeColor="text1"/>
                      <w:spacing w:val="0"/>
                      <w:w w:val="100"/>
                      <w:sz w:val="21"/>
                      <w:szCs w:val="21"/>
                      <w14:textFill>
                        <w14:solidFill>
                          <w14:schemeClr w14:val="tx1"/>
                        </w14:solidFill>
                      </w14:textFill>
                    </w:rPr>
                    <w:t>(</w:t>
                  </w:r>
                  <w:r>
                    <w:rPr>
                      <w:color w:val="000000" w:themeColor="text1"/>
                      <w:spacing w:val="0"/>
                      <w:w w:val="100"/>
                      <w:sz w:val="21"/>
                      <w:szCs w:val="21"/>
                      <w14:textFill>
                        <w14:solidFill>
                          <w14:schemeClr w14:val="tx1"/>
                        </w14:solidFill>
                      </w14:textFill>
                    </w:rPr>
                    <w:t>包括个体工商户</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应当按照电子废物经 营情况记录簿制度的规定，如实记载每批电子废物的来源、类型、重量或者数量、收集</w:t>
                  </w:r>
                  <w:r>
                    <w:rPr>
                      <w:rFonts w:ascii="Times New Roman" w:hAnsi="Times New Roman" w:eastAsia="Times New Roman" w:cs="Times New Roman"/>
                      <w:color w:val="000000" w:themeColor="text1"/>
                      <w:spacing w:val="0"/>
                      <w:w w:val="100"/>
                      <w:sz w:val="21"/>
                      <w:szCs w:val="21"/>
                      <w14:textFill>
                        <w14:solidFill>
                          <w14:schemeClr w14:val="tx1"/>
                        </w14:solidFill>
                      </w14:textFill>
                    </w:rPr>
                    <w:t>(</w:t>
                  </w:r>
                  <w:r>
                    <w:rPr>
                      <w:color w:val="000000" w:themeColor="text1"/>
                      <w:spacing w:val="0"/>
                      <w:w w:val="100"/>
                      <w:sz w:val="21"/>
                      <w:szCs w:val="21"/>
                      <w14:textFill>
                        <w14:solidFill>
                          <w14:schemeClr w14:val="tx1"/>
                        </w14:solidFill>
                      </w14:textFill>
                    </w:rPr>
                    <w:t>接收</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ascii="Times New Roman" w:hAnsi="Times New Roman" w:eastAsia="Times New Roman" w:cs="Times New Roman"/>
                      <w:color w:val="000000" w:themeColor="text1"/>
                      <w:spacing w:val="0"/>
                      <w:w w:val="100"/>
                      <w:sz w:val="21"/>
                      <w:szCs w:val="21"/>
                      <w14:textFill>
                        <w14:solidFill>
                          <w14:schemeClr w14:val="tx1"/>
                        </w14:solidFill>
                      </w14:textFill>
                    </w:rPr>
                    <w:t xml:space="preserve"> </w:t>
                  </w:r>
                  <w:r>
                    <w:rPr>
                      <w:color w:val="000000" w:themeColor="text1"/>
                      <w:spacing w:val="0"/>
                      <w:w w:val="100"/>
                      <w:sz w:val="21"/>
                      <w:szCs w:val="21"/>
                      <w14:textFill>
                        <w14:solidFill>
                          <w14:schemeClr w14:val="tx1"/>
                        </w14:solidFill>
                      </w14:textFill>
                    </w:rPr>
                    <w:t>、拆解、利用、贮存、处置的 时间</w:t>
                  </w:r>
                  <w:r>
                    <w:rPr>
                      <w:rFonts w:hint="eastAsia"/>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运输者的名称和地址</w:t>
                  </w:r>
                  <w:r>
                    <w:rPr>
                      <w:rFonts w:hint="eastAsia"/>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未完全拆解、利用或者处置的电子废物以及固体废物或 液态废物的种类、重量或者数量及去向等。监测报告及经营情况记录簿应当保存三年。</w:t>
                  </w:r>
                </w:p>
              </w:tc>
              <w:tc>
                <w:tcPr>
                  <w:tcW w:w="5052" w:type="dxa"/>
                  <w:tcBorders>
                    <w:tl2br w:val="nil"/>
                    <w:tr2bl w:val="nil"/>
                  </w:tcBorders>
                  <w:vAlign w:val="center"/>
                </w:tcPr>
                <w:p w14:paraId="0544845C">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项目建成验收后，企业按照环境保护措施验收的要求对污染物排放进行日常定期监测，并按照电子废物经营情况</w:t>
                  </w:r>
                  <w:r>
                    <w:rPr>
                      <w:rFonts w:hint="eastAsia"/>
                      <w:color w:val="000000" w:themeColor="text1"/>
                      <w:spacing w:val="0"/>
                      <w:w w:val="100"/>
                      <w:sz w:val="21"/>
                      <w:szCs w:val="21"/>
                      <w:lang w:eastAsia="zh-CN"/>
                      <w14:textFill>
                        <w14:solidFill>
                          <w14:schemeClr w14:val="tx1"/>
                        </w14:solidFill>
                      </w14:textFill>
                    </w:rPr>
                    <w:t>记录簿</w:t>
                  </w:r>
                  <w:r>
                    <w:rPr>
                      <w:color w:val="000000" w:themeColor="text1"/>
                      <w:spacing w:val="0"/>
                      <w:w w:val="100"/>
                      <w:sz w:val="21"/>
                      <w:szCs w:val="21"/>
                      <w14:textFill>
                        <w14:solidFill>
                          <w14:schemeClr w14:val="tx1"/>
                        </w14:solidFill>
                      </w14:textFill>
                    </w:rPr>
                    <w:t>制度的规定，如实记载电子废物的来源、类型、重量或者数量、 收集</w:t>
                  </w:r>
                  <w:r>
                    <w:rPr>
                      <w:rFonts w:hint="eastAsia"/>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接 受）、利用、贮存、处置的时间</w:t>
                  </w:r>
                  <w:r>
                    <w:rPr>
                      <w:rFonts w:hint="eastAsia"/>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运输者的名称和地址</w:t>
                  </w:r>
                  <w:r>
                    <w:rPr>
                      <w:rFonts w:hint="eastAsia"/>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未完全利用或者处置的电子废物以及固体废物的种类、重量或者数量及去向等。监测报告及经营情况</w:t>
                  </w:r>
                  <w:r>
                    <w:rPr>
                      <w:rFonts w:hint="eastAsia"/>
                      <w:color w:val="000000" w:themeColor="text1"/>
                      <w:spacing w:val="0"/>
                      <w:w w:val="100"/>
                      <w:sz w:val="21"/>
                      <w:szCs w:val="21"/>
                      <w:lang w:eastAsia="zh-CN"/>
                      <w14:textFill>
                        <w14:solidFill>
                          <w14:schemeClr w14:val="tx1"/>
                        </w14:solidFill>
                      </w14:textFill>
                    </w:rPr>
                    <w:t>记录簿</w:t>
                  </w:r>
                  <w:r>
                    <w:rPr>
                      <w:color w:val="000000" w:themeColor="text1"/>
                      <w:spacing w:val="0"/>
                      <w:w w:val="100"/>
                      <w:sz w:val="21"/>
                      <w:szCs w:val="21"/>
                      <w14:textFill>
                        <w14:solidFill>
                          <w14:schemeClr w14:val="tx1"/>
                        </w14:solidFill>
                      </w14:textFill>
                    </w:rPr>
                    <w:t>应当保存三年。</w:t>
                  </w:r>
                </w:p>
              </w:tc>
              <w:tc>
                <w:tcPr>
                  <w:tcW w:w="1073" w:type="dxa"/>
                  <w:tcBorders>
                    <w:tl2br w:val="nil"/>
                    <w:tr2bl w:val="nil"/>
                  </w:tcBorders>
                  <w:vAlign w:val="center"/>
                </w:tcPr>
                <w:p w14:paraId="2A2B8F0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Arial"/>
                      <w:color w:val="000000" w:themeColor="text1"/>
                      <w:spacing w:val="0"/>
                      <w:w w:val="100"/>
                      <w:sz w:val="21"/>
                      <w:szCs w:val="21"/>
                      <w14:textFill>
                        <w14:solidFill>
                          <w14:schemeClr w14:val="tx1"/>
                        </w14:solidFill>
                      </w14:textFill>
                    </w:rPr>
                  </w:pPr>
                </w:p>
                <w:p w14:paraId="55076480">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符合</w:t>
                  </w:r>
                </w:p>
              </w:tc>
            </w:tr>
            <w:tr w14:paraId="1A3F7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278" w:type="dxa"/>
                  <w:tcBorders>
                    <w:tl2br w:val="nil"/>
                    <w:tr2bl w:val="nil"/>
                  </w:tcBorders>
                  <w:vAlign w:val="center"/>
                </w:tcPr>
                <w:p w14:paraId="5AE7FFCF">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从事拆解、利用、处置电子废物活动的单 位</w:t>
                  </w:r>
                  <w:r>
                    <w:rPr>
                      <w:rFonts w:ascii="Times New Roman" w:hAnsi="Times New Roman" w:eastAsia="Times New Roman" w:cs="Times New Roman"/>
                      <w:color w:val="000000" w:themeColor="text1"/>
                      <w:spacing w:val="0"/>
                      <w:w w:val="100"/>
                      <w:sz w:val="21"/>
                      <w:szCs w:val="21"/>
                      <w14:textFill>
                        <w14:solidFill>
                          <w14:schemeClr w14:val="tx1"/>
                        </w14:solidFill>
                      </w14:textFill>
                    </w:rPr>
                    <w:t>(</w:t>
                  </w:r>
                  <w:r>
                    <w:rPr>
                      <w:color w:val="000000" w:themeColor="text1"/>
                      <w:spacing w:val="0"/>
                      <w:w w:val="100"/>
                      <w:sz w:val="21"/>
                      <w:szCs w:val="21"/>
                      <w14:textFill>
                        <w14:solidFill>
                          <w14:schemeClr w14:val="tx1"/>
                        </w14:solidFill>
                      </w14:textFill>
                    </w:rPr>
                    <w:t>包括个体工商户</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ascii="Times New Roman" w:hAnsi="Times New Roman" w:eastAsia="Times New Roman" w:cs="Times New Roman"/>
                      <w:color w:val="000000" w:themeColor="text1"/>
                      <w:spacing w:val="0"/>
                      <w:w w:val="100"/>
                      <w:sz w:val="21"/>
                      <w:szCs w:val="21"/>
                      <w14:textFill>
                        <w14:solidFill>
                          <w14:schemeClr w14:val="tx1"/>
                        </w14:solidFill>
                      </w14:textFill>
                    </w:rPr>
                    <w:t xml:space="preserve"> </w:t>
                  </w:r>
                  <w:r>
                    <w:rPr>
                      <w:color w:val="000000" w:themeColor="text1"/>
                      <w:spacing w:val="0"/>
                      <w:w w:val="100"/>
                      <w:sz w:val="21"/>
                      <w:szCs w:val="21"/>
                      <w14:textFill>
                        <w14:solidFill>
                          <w14:schemeClr w14:val="tx1"/>
                        </w14:solidFill>
                      </w14:textFill>
                    </w:rPr>
                    <w:t>，应当按照</w:t>
                  </w:r>
                  <w:r>
                    <w:rPr>
                      <w:rFonts w:hint="eastAsia"/>
                      <w:color w:val="000000" w:themeColor="text1"/>
                      <w:spacing w:val="0"/>
                      <w:w w:val="100"/>
                      <w:sz w:val="21"/>
                      <w:szCs w:val="21"/>
                      <w:lang w:eastAsia="zh-CN"/>
                      <w14:textFill>
                        <w14:solidFill>
                          <w14:schemeClr w14:val="tx1"/>
                        </w14:solidFill>
                      </w14:textFill>
                    </w:rPr>
                    <w:t>验</w:t>
                  </w:r>
                  <w:r>
                    <w:rPr>
                      <w:color w:val="000000" w:themeColor="text1"/>
                      <w:spacing w:val="0"/>
                      <w:w w:val="100"/>
                      <w:sz w:val="21"/>
                      <w:szCs w:val="21"/>
                      <w14:textFill>
                        <w14:solidFill>
                          <w14:schemeClr w14:val="tx1"/>
                        </w14:solidFill>
                      </w14:textFill>
                    </w:rPr>
                    <w:t>收合格的培训制度和计划进行培训。</w:t>
                  </w:r>
                </w:p>
              </w:tc>
              <w:tc>
                <w:tcPr>
                  <w:tcW w:w="5052" w:type="dxa"/>
                  <w:tcBorders>
                    <w:tl2br w:val="nil"/>
                    <w:tr2bl w:val="nil"/>
                  </w:tcBorders>
                  <w:vAlign w:val="center"/>
                </w:tcPr>
                <w:p w14:paraId="3FF62BA7">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项目建成验收后，企业按照</w:t>
                  </w:r>
                  <w:r>
                    <w:rPr>
                      <w:rFonts w:hint="eastAsia"/>
                      <w:color w:val="000000" w:themeColor="text1"/>
                      <w:spacing w:val="0"/>
                      <w:w w:val="100"/>
                      <w:sz w:val="21"/>
                      <w:szCs w:val="21"/>
                      <w:lang w:eastAsia="zh-CN"/>
                      <w14:textFill>
                        <w14:solidFill>
                          <w14:schemeClr w14:val="tx1"/>
                        </w14:solidFill>
                      </w14:textFill>
                    </w:rPr>
                    <w:t>验</w:t>
                  </w:r>
                  <w:r>
                    <w:rPr>
                      <w:color w:val="000000" w:themeColor="text1"/>
                      <w:spacing w:val="0"/>
                      <w:w w:val="100"/>
                      <w:sz w:val="21"/>
                      <w:szCs w:val="21"/>
                      <w14:textFill>
                        <w14:solidFill>
                          <w14:schemeClr w14:val="tx1"/>
                        </w14:solidFill>
                      </w14:textFill>
                    </w:rPr>
                    <w:t>收合格的培训制度和计划进行培训。</w:t>
                  </w:r>
                </w:p>
              </w:tc>
              <w:tc>
                <w:tcPr>
                  <w:tcW w:w="1073" w:type="dxa"/>
                  <w:tcBorders>
                    <w:tl2br w:val="nil"/>
                    <w:tr2bl w:val="nil"/>
                  </w:tcBorders>
                  <w:vAlign w:val="center"/>
                </w:tcPr>
                <w:p w14:paraId="66CE3429">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符合</w:t>
                  </w:r>
                </w:p>
              </w:tc>
            </w:tr>
            <w:tr w14:paraId="5BEAE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278" w:type="dxa"/>
                  <w:tcBorders>
                    <w:tl2br w:val="nil"/>
                    <w:tr2bl w:val="nil"/>
                  </w:tcBorders>
                  <w:vAlign w:val="center"/>
                </w:tcPr>
                <w:p w14:paraId="412BC8DD">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拆解、利用和处置电子废物应当符合国家 环境保护总局制定的有关电子废物污染防治的相关标准、技术规范和技术政策的要求。禁止使用落后的技术、工艺和设备拆解、利用和处置电子废物。禁止露天焚烧电子废物。禁止使用冲天炉、简易反射炉等设备和简易酸浸工艺利用、处置电子废物。禁止以直接填埋的方式处置电子废物。拆解、利用、处置电子废物应当在专门作业场所进行。作业场所应当采取防雨、防地面渗漏的措施，并有收集泄漏液体的设施。拆解电子废物，应当首先将铅酸电池、镉镍电池、汞开关、阴极射线管、多氯联苯电容器、制冷剂等去除并分类收集、贮存、利用、处置。贮存电子废物，应当采取防止因破碎或者其他原因导致电子废物中有毒有害物质泄漏的措施。破碎的阴极射线管应当贮存在有盖的容器内。电子废物贮存期限不得超过一年。</w:t>
                  </w:r>
                </w:p>
              </w:tc>
              <w:tc>
                <w:tcPr>
                  <w:tcW w:w="5052" w:type="dxa"/>
                  <w:tcBorders>
                    <w:tl2br w:val="nil"/>
                    <w:tr2bl w:val="nil"/>
                  </w:tcBorders>
                  <w:vAlign w:val="center"/>
                </w:tcPr>
                <w:p w14:paraId="23D4191B">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本项目拆解、利用和处置废光伏板，符合国家环境保护总局制定的有关电</w:t>
                  </w:r>
                  <w:r>
                    <w:rPr>
                      <w:rFonts w:hint="eastAsia"/>
                      <w:color w:val="000000" w:themeColor="text1"/>
                      <w:spacing w:val="0"/>
                      <w:w w:val="100"/>
                      <w:sz w:val="21"/>
                      <w:szCs w:val="21"/>
                      <w14:textFill>
                        <w14:solidFill>
                          <w14:schemeClr w14:val="tx1"/>
                        </w14:solidFill>
                      </w14:textFill>
                    </w:rPr>
                    <w:t>子废物污染防治的相关标准、技术规范和技术政策的要求。储存周期不超过一年。</w:t>
                  </w:r>
                </w:p>
              </w:tc>
              <w:tc>
                <w:tcPr>
                  <w:tcW w:w="1073" w:type="dxa"/>
                  <w:tcBorders>
                    <w:tl2br w:val="nil"/>
                    <w:tr2bl w:val="nil"/>
                  </w:tcBorders>
                  <w:vAlign w:val="center"/>
                </w:tcPr>
                <w:p w14:paraId="37B208F0">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spacing w:val="0"/>
                      <w:w w:val="100"/>
                      <w:sz w:val="21"/>
                      <w:szCs w:val="21"/>
                      <w14:textFill>
                        <w14:solidFill>
                          <w14:schemeClr w14:val="tx1"/>
                        </w14:solidFill>
                      </w14:textFill>
                    </w:rPr>
                  </w:pPr>
                  <w:r>
                    <w:rPr>
                      <w:color w:val="000000" w:themeColor="text1"/>
                      <w:spacing w:val="0"/>
                      <w:w w:val="100"/>
                      <w:sz w:val="21"/>
                      <w:szCs w:val="21"/>
                      <w14:textFill>
                        <w14:solidFill>
                          <w14:schemeClr w14:val="tx1"/>
                        </w14:solidFill>
                      </w14:textFill>
                    </w:rPr>
                    <w:t>符合</w:t>
                  </w:r>
                </w:p>
              </w:tc>
            </w:tr>
          </w:tbl>
          <w:p w14:paraId="698B4409">
            <w:pPr>
              <w:pStyle w:val="75"/>
              <w:keepNext w:val="0"/>
              <w:keepLines w:val="0"/>
              <w:pageBreakBefore w:val="0"/>
              <w:widowControl w:val="0"/>
              <w:kinsoku/>
              <w:wordWrap/>
              <w:overflowPunct/>
              <w:topLinePunct w:val="0"/>
              <w:autoSpaceDE/>
              <w:autoSpaceDN/>
              <w:bidi w:val="0"/>
              <w:adjustRightInd/>
              <w:snapToGrid/>
              <w:spacing w:line="480" w:lineRule="atLeast"/>
              <w:ind w:right="0"/>
              <w:textAlignment w:val="auto"/>
              <w:rPr>
                <w:color w:val="000000" w:themeColor="text1"/>
                <w:spacing w:val="0"/>
                <w:w w:val="100"/>
                <w:sz w:val="24"/>
                <w:szCs w:val="24"/>
                <w14:textFill>
                  <w14:solidFill>
                    <w14:schemeClr w14:val="tx1"/>
                  </w14:solidFill>
                </w14:textFill>
              </w:rPr>
            </w:pPr>
            <w:r>
              <w:rPr>
                <w:rFonts w:hint="eastAsia" w:ascii="Times New Roman" w:hAnsi="Times New Roman" w:eastAsia="宋体" w:cs="Times New Roman"/>
                <w:b/>
                <w:bCs/>
                <w:color w:val="000000" w:themeColor="text1"/>
                <w:spacing w:val="0"/>
                <w:w w:val="100"/>
                <w:sz w:val="24"/>
                <w:szCs w:val="24"/>
                <w:lang w:val="en-US" w:eastAsia="zh-CN"/>
                <w14:textFill>
                  <w14:solidFill>
                    <w14:schemeClr w14:val="tx1"/>
                  </w14:solidFill>
                </w14:textFill>
              </w:rPr>
              <w:t>8</w:t>
            </w:r>
            <w:r>
              <w:rPr>
                <w:b/>
                <w:bCs/>
                <w:color w:val="000000" w:themeColor="text1"/>
                <w:spacing w:val="0"/>
                <w:w w:val="100"/>
                <w:sz w:val="24"/>
                <w:szCs w:val="24"/>
                <w14:textFill>
                  <w14:solidFill>
                    <w14:schemeClr w14:val="tx1"/>
                  </w14:solidFill>
                </w14:textFill>
              </w:rPr>
              <w:t>、与《废弃电器电子产品处理污染控制技术规范》</w:t>
            </w:r>
            <w:r>
              <w:rPr>
                <w:rFonts w:hint="eastAsia"/>
                <w:b/>
                <w:bCs/>
                <w:color w:val="000000" w:themeColor="text1"/>
                <w:spacing w:val="0"/>
                <w:w w:val="100"/>
                <w:sz w:val="24"/>
                <w:szCs w:val="24"/>
                <w:lang w:eastAsia="zh-CN"/>
                <w14:textFill>
                  <w14:solidFill>
                    <w14:schemeClr w14:val="tx1"/>
                  </w14:solidFill>
                </w14:textFill>
              </w:rPr>
              <w:t>（</w:t>
            </w:r>
            <w:r>
              <w:rPr>
                <w:rFonts w:ascii="Times New Roman" w:hAnsi="Times New Roman" w:eastAsia="Times New Roman" w:cs="Times New Roman"/>
                <w:b/>
                <w:bCs/>
                <w:color w:val="000000" w:themeColor="text1"/>
                <w:spacing w:val="0"/>
                <w:w w:val="100"/>
                <w:sz w:val="24"/>
                <w:szCs w:val="24"/>
                <w14:textFill>
                  <w14:solidFill>
                    <w14:schemeClr w14:val="tx1"/>
                  </w14:solidFill>
                </w14:textFill>
              </w:rPr>
              <w:t>HJ527-2010</w:t>
            </w:r>
            <w:r>
              <w:rPr>
                <w:b/>
                <w:bCs/>
                <w:color w:val="000000" w:themeColor="text1"/>
                <w:spacing w:val="0"/>
                <w:w w:val="100"/>
                <w:sz w:val="24"/>
                <w:szCs w:val="24"/>
                <w14:textFill>
                  <w14:solidFill>
                    <w14:schemeClr w14:val="tx1"/>
                  </w14:solidFill>
                </w14:textFill>
              </w:rPr>
              <w:t>）</w:t>
            </w:r>
            <w:r>
              <w:rPr>
                <w:rFonts w:hint="eastAsia"/>
                <w:b/>
                <w:bCs/>
                <w:color w:val="000000" w:themeColor="text1"/>
                <w:spacing w:val="0"/>
                <w:w w:val="100"/>
                <w:sz w:val="24"/>
                <w:szCs w:val="24"/>
                <w:lang w:eastAsia="zh-CN"/>
                <w14:textFill>
                  <w14:solidFill>
                    <w14:schemeClr w14:val="tx1"/>
                  </w14:solidFill>
                </w14:textFill>
              </w:rPr>
              <w:t>（</w:t>
            </w:r>
            <w:r>
              <w:rPr>
                <w:b/>
                <w:bCs/>
                <w:color w:val="000000" w:themeColor="text1"/>
                <w:spacing w:val="0"/>
                <w:w w:val="100"/>
                <w:sz w:val="24"/>
                <w:szCs w:val="24"/>
                <w14:textFill>
                  <w14:solidFill>
                    <w14:schemeClr w14:val="tx1"/>
                  </w14:solidFill>
                </w14:textFill>
              </w:rPr>
              <w:t>原环境保护部</w:t>
            </w:r>
            <w:r>
              <w:rPr>
                <w:rFonts w:ascii="Times New Roman" w:hAnsi="Times New Roman" w:eastAsia="Times New Roman" w:cs="Times New Roman"/>
                <w:b/>
                <w:bCs/>
                <w:color w:val="000000" w:themeColor="text1"/>
                <w:spacing w:val="0"/>
                <w:w w:val="100"/>
                <w:sz w:val="24"/>
                <w:szCs w:val="24"/>
                <w14:textFill>
                  <w14:solidFill>
                    <w14:schemeClr w14:val="tx1"/>
                  </w14:solidFill>
                </w14:textFill>
              </w:rPr>
              <w:t>2010</w:t>
            </w:r>
            <w:r>
              <w:rPr>
                <w:b/>
                <w:bCs/>
                <w:color w:val="000000" w:themeColor="text1"/>
                <w:spacing w:val="0"/>
                <w:w w:val="100"/>
                <w:sz w:val="24"/>
                <w:szCs w:val="24"/>
                <w14:textFill>
                  <w14:solidFill>
                    <w14:schemeClr w14:val="tx1"/>
                  </w14:solidFill>
                </w14:textFill>
              </w:rPr>
              <w:t>年第</w:t>
            </w:r>
            <w:r>
              <w:rPr>
                <w:rFonts w:hint="eastAsia" w:ascii="Times New Roman" w:hAnsi="Times New Roman" w:eastAsia="Times New Roman" w:cs="Times New Roman"/>
                <w:b/>
                <w:bCs/>
                <w:color w:val="000000" w:themeColor="text1"/>
                <w:spacing w:val="0"/>
                <w:w w:val="100"/>
                <w:sz w:val="24"/>
                <w:szCs w:val="24"/>
                <w:lang w:val="en-US" w:eastAsia="zh-CN"/>
                <w14:textFill>
                  <w14:solidFill>
                    <w14:schemeClr w14:val="tx1"/>
                  </w14:solidFill>
                </w14:textFill>
              </w:rPr>
              <w:t>1</w:t>
            </w:r>
            <w:r>
              <w:rPr>
                <w:rFonts w:ascii="Times New Roman" w:hAnsi="Times New Roman" w:eastAsia="Times New Roman" w:cs="Times New Roman"/>
                <w:b/>
                <w:bCs/>
                <w:color w:val="000000" w:themeColor="text1"/>
                <w:spacing w:val="0"/>
                <w:w w:val="100"/>
                <w:sz w:val="24"/>
                <w:szCs w:val="24"/>
                <w14:textFill>
                  <w14:solidFill>
                    <w14:schemeClr w14:val="tx1"/>
                  </w14:solidFill>
                </w14:textFill>
              </w:rPr>
              <w:t>号</w:t>
            </w:r>
            <w:r>
              <w:rPr>
                <w:b/>
                <w:bCs/>
                <w:color w:val="000000" w:themeColor="text1"/>
                <w:spacing w:val="0"/>
                <w:w w:val="100"/>
                <w:sz w:val="24"/>
                <w:szCs w:val="24"/>
                <w14:textFill>
                  <w14:solidFill>
                    <w14:schemeClr w14:val="tx1"/>
                  </w14:solidFill>
                </w14:textFill>
              </w:rPr>
              <w:t>）</w:t>
            </w:r>
            <w:r>
              <w:rPr>
                <w:rFonts w:hint="eastAsia"/>
                <w:b/>
                <w:bCs/>
                <w:color w:val="000000" w:themeColor="text1"/>
                <w:spacing w:val="0"/>
                <w:w w:val="100"/>
                <w:sz w:val="24"/>
                <w:szCs w:val="24"/>
                <w:lang w:eastAsia="zh-CN"/>
                <w14:textFill>
                  <w14:solidFill>
                    <w14:schemeClr w14:val="tx1"/>
                  </w14:solidFill>
                </w14:textFill>
              </w:rPr>
              <w:t>符合性</w:t>
            </w:r>
            <w:r>
              <w:rPr>
                <w:b/>
                <w:bCs/>
                <w:color w:val="000000" w:themeColor="text1"/>
                <w:spacing w:val="0"/>
                <w:w w:val="100"/>
                <w:sz w:val="24"/>
                <w:szCs w:val="24"/>
                <w14:textFill>
                  <w14:solidFill>
                    <w14:schemeClr w14:val="tx1"/>
                  </w14:solidFill>
                </w14:textFill>
              </w:rPr>
              <w:t>分析</w:t>
            </w:r>
          </w:p>
          <w:p w14:paraId="739EB5F4">
            <w:pPr>
              <w:keepNext w:val="0"/>
              <w:keepLines w:val="0"/>
              <w:pageBreakBefore w:val="0"/>
              <w:widowControl w:val="0"/>
              <w:kinsoku/>
              <w:wordWrap/>
              <w:overflowPunct/>
              <w:topLinePunct w:val="0"/>
              <w:autoSpaceDE/>
              <w:autoSpaceDN/>
              <w:bidi w:val="0"/>
              <w:adjustRightInd/>
              <w:snapToGrid/>
              <w:spacing w:line="480" w:lineRule="atLeast"/>
              <w:ind w:left="0" w:right="0" w:firstLine="0" w:firstLineChars="0"/>
              <w:jc w:val="center"/>
              <w:textAlignment w:val="auto"/>
              <w:rPr>
                <w:rFonts w:hint="eastAsia"/>
                <w:b/>
                <w:color w:val="000000" w:themeColor="text1"/>
                <w:spacing w:val="0"/>
                <w:w w:val="100"/>
                <w:position w:val="0"/>
                <w:sz w:val="24"/>
                <w:lang w:val="en-US" w:eastAsia="zh-CN"/>
                <w14:textFill>
                  <w14:solidFill>
                    <w14:schemeClr w14:val="tx1"/>
                  </w14:solidFill>
                </w14:textFill>
              </w:rPr>
            </w:pPr>
            <w:r>
              <w:rPr>
                <w:b/>
                <w:bCs/>
                <w:color w:val="000000" w:themeColor="text1"/>
                <w:spacing w:val="0"/>
                <w:w w:val="100"/>
                <w14:textFill>
                  <w14:solidFill>
                    <w14:schemeClr w14:val="tx1"/>
                  </w14:solidFill>
                </w14:textFill>
              </w:rPr>
              <w:t>表</w:t>
            </w:r>
            <w:r>
              <w:rPr>
                <w:color w:val="000000" w:themeColor="text1"/>
                <w:spacing w:val="0"/>
                <w:w w:val="100"/>
                <w14:textFill>
                  <w14:solidFill>
                    <w14:schemeClr w14:val="tx1"/>
                  </w14:solidFill>
                </w14:textFill>
              </w:rPr>
              <w:t xml:space="preserve"> </w:t>
            </w:r>
            <w:r>
              <w:rPr>
                <w:rFonts w:ascii="Times New Roman" w:hAnsi="Times New Roman" w:eastAsia="Times New Roman" w:cs="Times New Roman"/>
                <w:b/>
                <w:bCs/>
                <w:color w:val="000000" w:themeColor="text1"/>
                <w:spacing w:val="0"/>
                <w:w w:val="100"/>
                <w14:textFill>
                  <w14:solidFill>
                    <w14:schemeClr w14:val="tx1"/>
                  </w14:solidFill>
                </w14:textFill>
              </w:rPr>
              <w:t>1-</w:t>
            </w:r>
            <w:r>
              <w:rPr>
                <w:rFonts w:hint="eastAsia" w:ascii="Times New Roman" w:hAnsi="Times New Roman" w:eastAsia="宋体" w:cs="Times New Roman"/>
                <w:b/>
                <w:bCs/>
                <w:color w:val="000000" w:themeColor="text1"/>
                <w:spacing w:val="0"/>
                <w:w w:val="100"/>
                <w:lang w:val="en-US" w:eastAsia="zh-CN"/>
                <w14:textFill>
                  <w14:solidFill>
                    <w14:schemeClr w14:val="tx1"/>
                  </w14:solidFill>
                </w14:textFill>
              </w:rPr>
              <w:t>10</w:t>
            </w:r>
            <w:r>
              <w:rPr>
                <w:rFonts w:ascii="Times New Roman" w:hAnsi="Times New Roman" w:eastAsia="Times New Roman" w:cs="Times New Roman"/>
                <w:b/>
                <w:bCs/>
                <w:color w:val="000000" w:themeColor="text1"/>
                <w:spacing w:val="0"/>
                <w:w w:val="100"/>
                <w14:textFill>
                  <w14:solidFill>
                    <w14:schemeClr w14:val="tx1"/>
                  </w14:solidFill>
                </w14:textFill>
              </w:rPr>
              <w:t xml:space="preserve">  </w:t>
            </w:r>
            <w:r>
              <w:rPr>
                <w:b/>
                <w:bCs/>
                <w:color w:val="000000" w:themeColor="text1"/>
                <w:spacing w:val="0"/>
                <w:w w:val="100"/>
                <w14:textFill>
                  <w14:solidFill>
                    <w14:schemeClr w14:val="tx1"/>
                  </w14:solidFill>
                </w14:textFill>
              </w:rPr>
              <w:t>《废弃电器电子产品处理污染控制技术规范》</w:t>
            </w:r>
            <w:r>
              <w:rPr>
                <w:rFonts w:hint="eastAsia"/>
                <w:b/>
                <w:bCs/>
                <w:color w:val="000000" w:themeColor="text1"/>
                <w:spacing w:val="0"/>
                <w:w w:val="100"/>
                <w:lang w:eastAsia="zh-CN"/>
                <w14:textFill>
                  <w14:solidFill>
                    <w14:schemeClr w14:val="tx1"/>
                  </w14:solidFill>
                </w14:textFill>
              </w:rPr>
              <w:t>符合性</w:t>
            </w:r>
            <w:r>
              <w:rPr>
                <w:b/>
                <w:bCs/>
                <w:color w:val="000000" w:themeColor="text1"/>
                <w:spacing w:val="0"/>
                <w:w w:val="100"/>
                <w14:textFill>
                  <w14:solidFill>
                    <w14:schemeClr w14:val="tx1"/>
                  </w14:solidFill>
                </w14:textFill>
              </w:rPr>
              <w:t>分析</w:t>
            </w:r>
          </w:p>
          <w:tbl>
            <w:tblPr>
              <w:tblStyle w:val="69"/>
              <w:tblW w:w="124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98"/>
              <w:gridCol w:w="6817"/>
              <w:gridCol w:w="1103"/>
            </w:tblGrid>
            <w:tr w14:paraId="5D1DF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 w:hRule="atLeast"/>
                <w:jc w:val="center"/>
              </w:trPr>
              <w:tc>
                <w:tcPr>
                  <w:tcW w:w="4498" w:type="dxa"/>
                  <w:tcBorders>
                    <w:tl2br w:val="nil"/>
                    <w:tr2bl w:val="nil"/>
                  </w:tcBorders>
                  <w:vAlign w:val="center"/>
                </w:tcPr>
                <w:p w14:paraId="1F1CFFBD">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相关要求</w:t>
                  </w:r>
                </w:p>
              </w:tc>
              <w:tc>
                <w:tcPr>
                  <w:tcW w:w="6817" w:type="dxa"/>
                  <w:tcBorders>
                    <w:tl2br w:val="nil"/>
                    <w:tr2bl w:val="nil"/>
                  </w:tcBorders>
                  <w:vAlign w:val="center"/>
                </w:tcPr>
                <w:p w14:paraId="39C404F8">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建设项目情况</w:t>
                  </w:r>
                </w:p>
              </w:tc>
              <w:tc>
                <w:tcPr>
                  <w:tcW w:w="1103" w:type="dxa"/>
                  <w:tcBorders>
                    <w:tl2br w:val="nil"/>
                    <w:tr2bl w:val="nil"/>
                  </w:tcBorders>
                  <w:vAlign w:val="center"/>
                </w:tcPr>
                <w:p w14:paraId="326EA62F">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eastAsia" w:ascii="Times New Roman" w:hAnsi="Times New Roman" w:eastAsia="宋体" w:cs="Times New Roman"/>
                      <w:b/>
                      <w:bCs/>
                      <w:color w:val="000000" w:themeColor="text1"/>
                      <w:spacing w:val="0"/>
                      <w:sz w:val="21"/>
                      <w:szCs w:val="21"/>
                      <w:lang w:eastAsia="zh-CN"/>
                      <w14:textFill>
                        <w14:solidFill>
                          <w14:schemeClr w14:val="tx1"/>
                        </w14:solidFill>
                      </w14:textFill>
                    </w:rPr>
                    <w:t>符合性</w:t>
                  </w:r>
                  <w:r>
                    <w:rPr>
                      <w:rFonts w:hint="default" w:ascii="Times New Roman" w:hAnsi="Times New Roman" w:eastAsia="宋体" w:cs="Times New Roman"/>
                      <w:b/>
                      <w:bCs/>
                      <w:color w:val="000000" w:themeColor="text1"/>
                      <w:spacing w:val="0"/>
                      <w:sz w:val="21"/>
                      <w:szCs w:val="21"/>
                      <w14:textFill>
                        <w14:solidFill>
                          <w14:schemeClr w14:val="tx1"/>
                        </w14:solidFill>
                      </w14:textFill>
                    </w:rPr>
                    <w:t>分析</w:t>
                  </w:r>
                </w:p>
              </w:tc>
            </w:tr>
            <w:tr w14:paraId="6F36B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jc w:val="center"/>
              </w:trPr>
              <w:tc>
                <w:tcPr>
                  <w:tcW w:w="4498" w:type="dxa"/>
                  <w:tcBorders>
                    <w:tl2br w:val="nil"/>
                    <w:tr2bl w:val="nil"/>
                  </w:tcBorders>
                  <w:vAlign w:val="center"/>
                </w:tcPr>
                <w:p w14:paraId="79E64359">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废弃电器电子产品处理建设项目的选址和建设应符合当地城市规划的要求。</w:t>
                  </w:r>
                </w:p>
              </w:tc>
              <w:tc>
                <w:tcPr>
                  <w:tcW w:w="6817" w:type="dxa"/>
                  <w:tcBorders>
                    <w:tl2br w:val="nil"/>
                    <w:tr2bl w:val="nil"/>
                  </w:tcBorders>
                  <w:vAlign w:val="center"/>
                </w:tcPr>
                <w:p w14:paraId="447BF9FC">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本项目的选址和建设满足</w:t>
                  </w:r>
                  <w:r>
                    <w:rPr>
                      <w:rFonts w:hint="eastAsia" w:eastAsia="宋体" w:cs="Times New Roman"/>
                      <w:color w:val="000000" w:themeColor="text1"/>
                      <w:spacing w:val="0"/>
                      <w:position w:val="0"/>
                      <w:sz w:val="21"/>
                      <w:szCs w:val="21"/>
                      <w:lang w:val="en-US" w:eastAsia="zh-CN"/>
                      <w14:textFill>
                        <w14:solidFill>
                          <w14:schemeClr w14:val="tx1"/>
                        </w14:solidFill>
                      </w14:textFill>
                    </w:rPr>
                    <w:t>安徽省江南产业集中区总体规划要求</w:t>
                  </w:r>
                  <w:r>
                    <w:rPr>
                      <w:rFonts w:hint="default" w:ascii="Times New Roman" w:hAnsi="Times New Roman" w:eastAsia="宋体" w:cs="Times New Roman"/>
                      <w:color w:val="000000" w:themeColor="text1"/>
                      <w:spacing w:val="0"/>
                      <w:sz w:val="21"/>
                      <w:szCs w:val="21"/>
                      <w14:textFill>
                        <w14:solidFill>
                          <w14:schemeClr w14:val="tx1"/>
                        </w14:solidFill>
                      </w14:textFill>
                    </w:rPr>
                    <w:t>。</w:t>
                  </w:r>
                </w:p>
              </w:tc>
              <w:tc>
                <w:tcPr>
                  <w:tcW w:w="1103" w:type="dxa"/>
                  <w:tcBorders>
                    <w:tl2br w:val="nil"/>
                    <w:tr2bl w:val="nil"/>
                  </w:tcBorders>
                  <w:vAlign w:val="center"/>
                </w:tcPr>
                <w:p w14:paraId="30525E25">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符合</w:t>
                  </w:r>
                </w:p>
              </w:tc>
            </w:tr>
            <w:tr w14:paraId="3987C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4498" w:type="dxa"/>
                  <w:tcBorders>
                    <w:tl2br w:val="nil"/>
                    <w:tr2bl w:val="nil"/>
                  </w:tcBorders>
                  <w:vAlign w:val="center"/>
                </w:tcPr>
                <w:p w14:paraId="089CDEF5">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应采取当前最佳可行的处理技术及必要措施，并符 合国家有关环境保护、劳动安全和保障人体健康的要求。</w:t>
                  </w:r>
                </w:p>
              </w:tc>
              <w:tc>
                <w:tcPr>
                  <w:tcW w:w="6817" w:type="dxa"/>
                  <w:tcBorders>
                    <w:tl2br w:val="nil"/>
                    <w:tr2bl w:val="nil"/>
                  </w:tcBorders>
                  <w:vAlign w:val="center"/>
                </w:tcPr>
                <w:p w14:paraId="41E68AD5">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企业在利用和处置废光伏板的过程中，符合国家有关环境保护、劳动安全和保障人体健康的要求。</w:t>
                  </w:r>
                </w:p>
              </w:tc>
              <w:tc>
                <w:tcPr>
                  <w:tcW w:w="1103" w:type="dxa"/>
                  <w:tcBorders>
                    <w:tl2br w:val="nil"/>
                    <w:tr2bl w:val="nil"/>
                  </w:tcBorders>
                  <w:vAlign w:val="center"/>
                </w:tcPr>
                <w:p w14:paraId="17362688">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符合</w:t>
                  </w:r>
                </w:p>
              </w:tc>
            </w:tr>
            <w:tr w14:paraId="0ED73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jc w:val="center"/>
              </w:trPr>
              <w:tc>
                <w:tcPr>
                  <w:tcW w:w="4498" w:type="dxa"/>
                  <w:tcBorders>
                    <w:tl2br w:val="nil"/>
                    <w:tr2bl w:val="nil"/>
                  </w:tcBorders>
                  <w:vAlign w:val="center"/>
                </w:tcPr>
                <w:p w14:paraId="378707D7">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应对所有进出企业的废弃电器电子产品及其产生物分类，建立台账，并对其重量和/或数量进行登记，且记录保存至少</w:t>
                  </w:r>
                  <w:r>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t>3</w:t>
                  </w:r>
                  <w:r>
                    <w:rPr>
                      <w:rFonts w:hint="default" w:ascii="Times New Roman" w:hAnsi="Times New Roman" w:eastAsia="宋体" w:cs="Times New Roman"/>
                      <w:color w:val="000000" w:themeColor="text1"/>
                      <w:spacing w:val="0"/>
                      <w:sz w:val="21"/>
                      <w:szCs w:val="21"/>
                      <w14:textFill>
                        <w14:solidFill>
                          <w14:schemeClr w14:val="tx1"/>
                        </w14:solidFill>
                      </w14:textFill>
                    </w:rPr>
                    <w:t>年。</w:t>
                  </w:r>
                </w:p>
              </w:tc>
              <w:tc>
                <w:tcPr>
                  <w:tcW w:w="6817" w:type="dxa"/>
                  <w:tcBorders>
                    <w:tl2br w:val="nil"/>
                    <w:tr2bl w:val="nil"/>
                  </w:tcBorders>
                  <w:vAlign w:val="center"/>
                </w:tcPr>
                <w:p w14:paraId="17AB55C7">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项目建成验收后，企业按照环境保护措施验收的要求对污染物排放进行日常定期监测，并按照电子废物经营情况</w:t>
                  </w:r>
                  <w:r>
                    <w:rPr>
                      <w:rFonts w:hint="eastAsia" w:ascii="Times New Roman" w:hAnsi="Times New Roman" w:cs="Times New Roman"/>
                      <w:color w:val="000000" w:themeColor="text1"/>
                      <w:spacing w:val="0"/>
                      <w:sz w:val="21"/>
                      <w:szCs w:val="21"/>
                      <w:lang w:eastAsia="zh-CN"/>
                      <w14:textFill>
                        <w14:solidFill>
                          <w14:schemeClr w14:val="tx1"/>
                        </w14:solidFill>
                      </w14:textFill>
                    </w:rPr>
                    <w:t>记录簿</w:t>
                  </w:r>
                  <w:r>
                    <w:rPr>
                      <w:rFonts w:hint="default" w:ascii="Times New Roman" w:hAnsi="Times New Roman" w:eastAsia="宋体" w:cs="Times New Roman"/>
                      <w:color w:val="000000" w:themeColor="text1"/>
                      <w:spacing w:val="0"/>
                      <w:sz w:val="21"/>
                      <w:szCs w:val="21"/>
                      <w14:textFill>
                        <w14:solidFill>
                          <w14:schemeClr w14:val="tx1"/>
                        </w14:solidFill>
                      </w14:textFill>
                    </w:rPr>
                    <w:t>制度的规定，如实记载废旧光伏组件来源、类型、重量或者数量、收集</w:t>
                  </w:r>
                  <w:r>
                    <w:rPr>
                      <w:rFonts w:hint="eastAsia" w:ascii="Times New Roman" w:hAnsi="Times New Roman"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接受）、利用、贮存、处置的时间</w:t>
                  </w:r>
                  <w:r>
                    <w:rPr>
                      <w:rFonts w:hint="eastAsia" w:ascii="Times New Roman" w:hAnsi="Times New Roman"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运输者的名称和地址</w:t>
                  </w:r>
                  <w:r>
                    <w:rPr>
                      <w:rFonts w:hint="eastAsia" w:ascii="Times New Roman" w:hAnsi="Times New Roman"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未完全利用或者处置的废旧光伏组件以及固体废物或液态废物的种类、重量或者数量及去向等。监测报告及经营情况</w:t>
                  </w:r>
                  <w:r>
                    <w:rPr>
                      <w:rFonts w:hint="eastAsia" w:ascii="Times New Roman" w:hAnsi="Times New Roman" w:cs="Times New Roman"/>
                      <w:color w:val="000000" w:themeColor="text1"/>
                      <w:spacing w:val="0"/>
                      <w:sz w:val="21"/>
                      <w:szCs w:val="21"/>
                      <w:lang w:eastAsia="zh-CN"/>
                      <w14:textFill>
                        <w14:solidFill>
                          <w14:schemeClr w14:val="tx1"/>
                        </w14:solidFill>
                      </w14:textFill>
                    </w:rPr>
                    <w:t>记录簿</w:t>
                  </w:r>
                  <w:r>
                    <w:rPr>
                      <w:rFonts w:hint="default" w:ascii="Times New Roman" w:hAnsi="Times New Roman" w:eastAsia="宋体" w:cs="Times New Roman"/>
                      <w:color w:val="000000" w:themeColor="text1"/>
                      <w:spacing w:val="0"/>
                      <w:sz w:val="21"/>
                      <w:szCs w:val="21"/>
                      <w14:textFill>
                        <w14:solidFill>
                          <w14:schemeClr w14:val="tx1"/>
                        </w14:solidFill>
                      </w14:textFill>
                    </w:rPr>
                    <w:t>应当保存</w:t>
                  </w:r>
                  <w:r>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t>3</w:t>
                  </w:r>
                  <w:r>
                    <w:rPr>
                      <w:rFonts w:hint="default" w:ascii="Times New Roman" w:hAnsi="Times New Roman" w:eastAsia="宋体" w:cs="Times New Roman"/>
                      <w:color w:val="000000" w:themeColor="text1"/>
                      <w:spacing w:val="0"/>
                      <w:sz w:val="21"/>
                      <w:szCs w:val="21"/>
                      <w14:textFill>
                        <w14:solidFill>
                          <w14:schemeClr w14:val="tx1"/>
                        </w14:solidFill>
                      </w14:textFill>
                    </w:rPr>
                    <w:t>年。</w:t>
                  </w:r>
                </w:p>
              </w:tc>
              <w:tc>
                <w:tcPr>
                  <w:tcW w:w="1103" w:type="dxa"/>
                  <w:tcBorders>
                    <w:tl2br w:val="nil"/>
                    <w:tr2bl w:val="nil"/>
                  </w:tcBorders>
                  <w:vAlign w:val="center"/>
                </w:tcPr>
                <w:p w14:paraId="5F895332">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符合</w:t>
                  </w:r>
                </w:p>
              </w:tc>
            </w:tr>
            <w:tr w14:paraId="33B67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4498" w:type="dxa"/>
                  <w:tcBorders>
                    <w:tl2br w:val="nil"/>
                    <w:tr2bl w:val="nil"/>
                  </w:tcBorders>
                  <w:vAlign w:val="center"/>
                </w:tcPr>
                <w:p w14:paraId="7AB630F3">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应建立废弃电器电子产品处理的数据信息管理系</w:t>
                  </w:r>
                </w:p>
                <w:p w14:paraId="42903A47">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统，并将有关信息提供给主管部门、相关企业和机 构。</w:t>
                  </w:r>
                </w:p>
              </w:tc>
              <w:tc>
                <w:tcPr>
                  <w:tcW w:w="6817" w:type="dxa"/>
                  <w:tcBorders>
                    <w:tl2br w:val="nil"/>
                    <w:tr2bl w:val="nil"/>
                  </w:tcBorders>
                  <w:vAlign w:val="center"/>
                </w:tcPr>
                <w:p w14:paraId="19BDC916">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项目建成完成验收后，企业按照环境保 护验收的要求建立废弃电器电子产品处 理的数据信息管理系统，并将有关信息提供给主管部门、相关企业和机构。</w:t>
                  </w:r>
                </w:p>
              </w:tc>
              <w:tc>
                <w:tcPr>
                  <w:tcW w:w="1103" w:type="dxa"/>
                  <w:tcBorders>
                    <w:tl2br w:val="nil"/>
                    <w:tr2bl w:val="nil"/>
                  </w:tcBorders>
                  <w:vAlign w:val="center"/>
                </w:tcPr>
                <w:p w14:paraId="23372340">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符合</w:t>
                  </w:r>
                </w:p>
              </w:tc>
            </w:tr>
            <w:tr w14:paraId="31708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jc w:val="center"/>
              </w:trPr>
              <w:tc>
                <w:tcPr>
                  <w:tcW w:w="4498" w:type="dxa"/>
                  <w:tcBorders>
                    <w:tl2br w:val="nil"/>
                    <w:tr2bl w:val="nil"/>
                  </w:tcBorders>
                  <w:vAlign w:val="center"/>
                </w:tcPr>
                <w:p w14:paraId="153BE89B">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禁止将废弃电器电子产品直接填埋。</w:t>
                  </w:r>
                </w:p>
              </w:tc>
              <w:tc>
                <w:tcPr>
                  <w:tcW w:w="6817" w:type="dxa"/>
                  <w:tcBorders>
                    <w:tl2br w:val="nil"/>
                    <w:tr2bl w:val="nil"/>
                  </w:tcBorders>
                  <w:vAlign w:val="center"/>
                </w:tcPr>
                <w:p w14:paraId="484A09F1">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项目的废弃电器电子产品均采取相应措施实现合理回收和规范处理，禁止直接填埋。</w:t>
                  </w:r>
                </w:p>
              </w:tc>
              <w:tc>
                <w:tcPr>
                  <w:tcW w:w="1103" w:type="dxa"/>
                  <w:tcBorders>
                    <w:tl2br w:val="nil"/>
                    <w:tr2bl w:val="nil"/>
                  </w:tcBorders>
                  <w:vAlign w:val="center"/>
                </w:tcPr>
                <w:p w14:paraId="3B9FCA5F">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符合</w:t>
                  </w:r>
                </w:p>
              </w:tc>
            </w:tr>
            <w:tr w14:paraId="32598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jc w:val="center"/>
              </w:trPr>
              <w:tc>
                <w:tcPr>
                  <w:tcW w:w="4498" w:type="dxa"/>
                  <w:tcBorders>
                    <w:tl2br w:val="nil"/>
                    <w:tr2bl w:val="nil"/>
                  </w:tcBorders>
                  <w:vAlign w:val="center"/>
                </w:tcPr>
                <w:p w14:paraId="74C2F393">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禁止露天焚烧废弃电器电子产品，禁止使用冲天炉、简易反射弧等设备和简易酸浸工艺处理废弃电器电子产品。</w:t>
                  </w:r>
                </w:p>
              </w:tc>
              <w:tc>
                <w:tcPr>
                  <w:tcW w:w="6817" w:type="dxa"/>
                  <w:tcBorders>
                    <w:tl2br w:val="nil"/>
                    <w:tr2bl w:val="nil"/>
                  </w:tcBorders>
                  <w:vAlign w:val="center"/>
                </w:tcPr>
                <w:p w14:paraId="6746E615">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本项目的废旧光伏组件的热解过程在封闭式反应系统中进行，并配置废气处理系统</w:t>
                  </w:r>
                  <w:r>
                    <w:rPr>
                      <w:rFonts w:hint="eastAsia" w:ascii="Times New Roman" w:hAnsi="Times New Roman"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项目未在露天环境中焚烧废弃电器电子产品，未使用冲天炉、简易反射弧等设备和简易酸浸工艺处理废弃电器电子产品。</w:t>
                  </w:r>
                </w:p>
              </w:tc>
              <w:tc>
                <w:tcPr>
                  <w:tcW w:w="1103" w:type="dxa"/>
                  <w:tcBorders>
                    <w:tl2br w:val="nil"/>
                    <w:tr2bl w:val="nil"/>
                  </w:tcBorders>
                  <w:vAlign w:val="center"/>
                </w:tcPr>
                <w:p w14:paraId="466F3ED6">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符合</w:t>
                  </w:r>
                </w:p>
              </w:tc>
            </w:tr>
          </w:tbl>
          <w:p w14:paraId="5F40D17C">
            <w:pPr>
              <w:keepNext w:val="0"/>
              <w:keepLines w:val="0"/>
              <w:pageBreakBefore w:val="0"/>
              <w:widowControl w:val="0"/>
              <w:kinsoku/>
              <w:wordWrap/>
              <w:overflowPunct/>
              <w:topLinePunct w:val="0"/>
              <w:autoSpaceDE/>
              <w:autoSpaceDN/>
              <w:bidi w:val="0"/>
              <w:adjustRightInd/>
              <w:snapToGrid/>
              <w:spacing w:line="480" w:lineRule="atLeast"/>
              <w:ind w:right="0"/>
              <w:jc w:val="both"/>
              <w:textAlignment w:val="auto"/>
              <w:rPr>
                <w:rFonts w:hint="default" w:eastAsia="宋体"/>
                <w:b/>
                <w:color w:val="000000" w:themeColor="text1"/>
                <w:spacing w:val="0"/>
                <w:w w:val="100"/>
                <w:position w:val="0"/>
                <w:sz w:val="24"/>
                <w:lang w:val="en-US" w:eastAsia="zh-CN"/>
                <w14:textFill>
                  <w14:solidFill>
                    <w14:schemeClr w14:val="tx1"/>
                  </w14:solidFill>
                </w14:textFill>
              </w:rPr>
            </w:pPr>
            <w:r>
              <w:rPr>
                <w:rFonts w:hint="eastAsia"/>
                <w:b/>
                <w:color w:val="000000" w:themeColor="text1"/>
                <w:spacing w:val="0"/>
                <w:w w:val="100"/>
                <w:position w:val="0"/>
                <w:sz w:val="24"/>
                <w:lang w:val="en-US" w:eastAsia="zh-CN"/>
                <w14:textFill>
                  <w14:solidFill>
                    <w14:schemeClr w14:val="tx1"/>
                  </w14:solidFill>
                </w14:textFill>
              </w:rPr>
              <w:t>9、与</w:t>
            </w:r>
            <w:r>
              <w:rPr>
                <w:b/>
                <w:bCs/>
                <w:color w:val="000000" w:themeColor="text1"/>
                <w:spacing w:val="0"/>
                <w:w w:val="100"/>
                <w:sz w:val="24"/>
                <w:szCs w:val="24"/>
                <w14:textFill>
                  <w14:solidFill>
                    <w14:schemeClr w14:val="tx1"/>
                  </w14:solidFill>
                </w14:textFill>
              </w:rPr>
              <w:t>《</w:t>
            </w:r>
            <w:r>
              <w:rPr>
                <w:rFonts w:hint="eastAsia"/>
                <w:b/>
                <w:color w:val="000000" w:themeColor="text1"/>
                <w:spacing w:val="0"/>
                <w:w w:val="100"/>
                <w:position w:val="0"/>
                <w:sz w:val="24"/>
                <w:lang w:val="en-US" w:eastAsia="zh-CN"/>
                <w14:textFill>
                  <w14:solidFill>
                    <w14:schemeClr w14:val="tx1"/>
                  </w14:solidFill>
                </w14:textFill>
              </w:rPr>
              <w:t>废弃光伏组件回收利用环境污染防治技术规范</w:t>
            </w:r>
            <w:r>
              <w:rPr>
                <w:b/>
                <w:bCs/>
                <w:color w:val="000000" w:themeColor="text1"/>
                <w:spacing w:val="0"/>
                <w:w w:val="100"/>
                <w:sz w:val="24"/>
                <w:szCs w:val="24"/>
                <w14:textFill>
                  <w14:solidFill>
                    <w14:schemeClr w14:val="tx1"/>
                  </w14:solidFill>
                </w14:textFill>
              </w:rPr>
              <w:t>》</w:t>
            </w:r>
            <w:r>
              <w:rPr>
                <w:rFonts w:hint="eastAsia"/>
                <w:b/>
                <w:bCs/>
                <w:color w:val="000000" w:themeColor="text1"/>
                <w:spacing w:val="0"/>
                <w:w w:val="100"/>
                <w:sz w:val="24"/>
                <w:szCs w:val="24"/>
                <w:lang w:eastAsia="zh-CN"/>
                <w14:textFill>
                  <w14:solidFill>
                    <w14:schemeClr w14:val="tx1"/>
                  </w14:solidFill>
                </w14:textFill>
              </w:rPr>
              <w:t>（T/ZGZS0101-2025）</w:t>
            </w:r>
            <w:r>
              <w:rPr>
                <w:rFonts w:hint="eastAsia"/>
                <w:b/>
                <w:bCs/>
                <w:color w:val="000000" w:themeColor="text1"/>
                <w:spacing w:val="0"/>
                <w:w w:val="100"/>
                <w:sz w:val="24"/>
                <w:szCs w:val="24"/>
                <w:lang w:val="en-US" w:eastAsia="zh-CN"/>
                <w14:textFill>
                  <w14:solidFill>
                    <w14:schemeClr w14:val="tx1"/>
                  </w14:solidFill>
                </w14:textFill>
              </w:rPr>
              <w:t>符合性分析</w:t>
            </w:r>
          </w:p>
          <w:p w14:paraId="1DD329DF">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b/>
                <w:color w:val="000000" w:themeColor="text1"/>
                <w:spacing w:val="0"/>
                <w:w w:val="100"/>
                <w:position w:val="0"/>
                <w:sz w:val="24"/>
                <w:lang w:val="en-US" w:eastAsia="zh-CN"/>
                <w14:textFill>
                  <w14:solidFill>
                    <w14:schemeClr w14:val="tx1"/>
                  </w14:solidFill>
                </w14:textFill>
              </w:rPr>
            </w:pPr>
            <w:r>
              <w:rPr>
                <w:b/>
                <w:bCs/>
                <w:color w:val="000000" w:themeColor="text1"/>
                <w:spacing w:val="0"/>
                <w:w w:val="100"/>
                <w14:textFill>
                  <w14:solidFill>
                    <w14:schemeClr w14:val="tx1"/>
                  </w14:solidFill>
                </w14:textFill>
              </w:rPr>
              <w:t>表</w:t>
            </w:r>
            <w:r>
              <w:rPr>
                <w:color w:val="000000" w:themeColor="text1"/>
                <w:spacing w:val="0"/>
                <w:w w:val="100"/>
                <w:sz w:val="21"/>
                <w:szCs w:val="21"/>
                <w14:textFill>
                  <w14:solidFill>
                    <w14:schemeClr w14:val="tx1"/>
                  </w14:solidFill>
                </w14:textFill>
              </w:rPr>
              <w:t xml:space="preserve"> </w:t>
            </w:r>
            <w:r>
              <w:rPr>
                <w:rFonts w:ascii="Times New Roman" w:hAnsi="Times New Roman" w:eastAsia="Times New Roman" w:cs="Times New Roman"/>
                <w:b/>
                <w:bCs/>
                <w:color w:val="000000" w:themeColor="text1"/>
                <w:spacing w:val="0"/>
                <w:w w:val="100"/>
                <w:sz w:val="21"/>
                <w:szCs w:val="21"/>
                <w14:textFill>
                  <w14:solidFill>
                    <w14:schemeClr w14:val="tx1"/>
                  </w14:solidFill>
                </w14:textFill>
              </w:rPr>
              <w:t>1-</w:t>
            </w:r>
            <w:r>
              <w:rPr>
                <w:rFonts w:hint="eastAsia" w:ascii="Times New Roman" w:hAnsi="Times New Roman" w:eastAsia="宋体" w:cs="Times New Roman"/>
                <w:b/>
                <w:bCs/>
                <w:color w:val="000000" w:themeColor="text1"/>
                <w:spacing w:val="0"/>
                <w:w w:val="100"/>
                <w:sz w:val="21"/>
                <w:szCs w:val="21"/>
                <w:lang w:val="en-US" w:eastAsia="zh-CN"/>
                <w14:textFill>
                  <w14:solidFill>
                    <w14:schemeClr w14:val="tx1"/>
                  </w14:solidFill>
                </w14:textFill>
              </w:rPr>
              <w:t>11  与</w:t>
            </w:r>
            <w:r>
              <w:rPr>
                <w:b/>
                <w:bCs/>
                <w:color w:val="000000" w:themeColor="text1"/>
                <w:spacing w:val="0"/>
                <w:w w:val="100"/>
                <w:sz w:val="21"/>
                <w:szCs w:val="21"/>
                <w14:textFill>
                  <w14:solidFill>
                    <w14:schemeClr w14:val="tx1"/>
                  </w14:solidFill>
                </w14:textFill>
              </w:rPr>
              <w:t>《</w:t>
            </w:r>
            <w:r>
              <w:rPr>
                <w:rFonts w:hint="eastAsia"/>
                <w:b/>
                <w:color w:val="000000" w:themeColor="text1"/>
                <w:spacing w:val="0"/>
                <w:w w:val="100"/>
                <w:position w:val="0"/>
                <w:sz w:val="21"/>
                <w:szCs w:val="21"/>
                <w:lang w:val="en-US" w:eastAsia="zh-CN"/>
                <w14:textFill>
                  <w14:solidFill>
                    <w14:schemeClr w14:val="tx1"/>
                  </w14:solidFill>
                </w14:textFill>
              </w:rPr>
              <w:t>废弃光伏组件回收利用环境污染防治技术规范</w:t>
            </w:r>
            <w:r>
              <w:rPr>
                <w:b/>
                <w:bCs/>
                <w:color w:val="000000" w:themeColor="text1"/>
                <w:spacing w:val="0"/>
                <w:w w:val="100"/>
                <w:sz w:val="21"/>
                <w:szCs w:val="21"/>
                <w14:textFill>
                  <w14:solidFill>
                    <w14:schemeClr w14:val="tx1"/>
                  </w14:solidFill>
                </w14:textFill>
              </w:rPr>
              <w:t>》</w:t>
            </w:r>
            <w:r>
              <w:rPr>
                <w:rFonts w:hint="eastAsia"/>
                <w:b/>
                <w:bCs/>
                <w:color w:val="000000" w:themeColor="text1"/>
                <w:spacing w:val="0"/>
                <w:w w:val="100"/>
                <w:sz w:val="21"/>
                <w:szCs w:val="21"/>
                <w:lang w:eastAsia="zh-CN"/>
                <w14:textFill>
                  <w14:solidFill>
                    <w14:schemeClr w14:val="tx1"/>
                  </w14:solidFill>
                </w14:textFill>
              </w:rPr>
              <w:t>（T/ZGZS0101-2025）符合</w:t>
            </w:r>
            <w:r>
              <w:rPr>
                <w:rFonts w:hint="eastAsia"/>
                <w:b/>
                <w:bCs/>
                <w:color w:val="000000" w:themeColor="text1"/>
                <w:spacing w:val="0"/>
                <w:w w:val="100"/>
                <w:lang w:eastAsia="zh-CN"/>
                <w14:textFill>
                  <w14:solidFill>
                    <w14:schemeClr w14:val="tx1"/>
                  </w14:solidFill>
                </w14:textFill>
              </w:rPr>
              <w:t>性</w:t>
            </w:r>
            <w:r>
              <w:rPr>
                <w:b/>
                <w:bCs/>
                <w:color w:val="000000" w:themeColor="text1"/>
                <w:spacing w:val="0"/>
                <w:w w:val="100"/>
                <w14:textFill>
                  <w14:solidFill>
                    <w14:schemeClr w14:val="tx1"/>
                  </w14:solidFill>
                </w14:textFill>
              </w:rPr>
              <w:t>分析</w:t>
            </w:r>
          </w:p>
          <w:tbl>
            <w:tblPr>
              <w:tblStyle w:val="69"/>
              <w:tblW w:w="12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5"/>
              <w:gridCol w:w="6679"/>
              <w:gridCol w:w="3719"/>
              <w:gridCol w:w="1195"/>
            </w:tblGrid>
            <w:tr w14:paraId="27981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 w:hRule="atLeast"/>
                <w:jc w:val="center"/>
              </w:trPr>
              <w:tc>
                <w:tcPr>
                  <w:tcW w:w="925" w:type="dxa"/>
                  <w:tcBorders>
                    <w:tl2br w:val="nil"/>
                    <w:tr2bl w:val="nil"/>
                  </w:tcBorders>
                  <w:vAlign w:val="center"/>
                </w:tcPr>
                <w:p w14:paraId="38A9675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b/>
                      <w:bCs/>
                      <w:color w:val="000000" w:themeColor="text1"/>
                      <w:spacing w:val="0"/>
                      <w:w w:val="100"/>
                      <w:sz w:val="21"/>
                      <w:szCs w:val="21"/>
                      <w:lang w:val="en-US" w:eastAsia="zh-CN"/>
                      <w14:textFill>
                        <w14:solidFill>
                          <w14:schemeClr w14:val="tx1"/>
                        </w14:solidFill>
                      </w14:textFill>
                    </w:rPr>
                    <w:t>类型</w:t>
                  </w:r>
                </w:p>
              </w:tc>
              <w:tc>
                <w:tcPr>
                  <w:tcW w:w="6679" w:type="dxa"/>
                  <w:tcBorders>
                    <w:tl2br w:val="nil"/>
                    <w:tr2bl w:val="nil"/>
                  </w:tcBorders>
                  <w:vAlign w:val="center"/>
                </w:tcPr>
                <w:p w14:paraId="2162BC7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b/>
                      <w:bCs/>
                      <w:color w:val="000000" w:themeColor="text1"/>
                      <w:spacing w:val="0"/>
                      <w:w w:val="100"/>
                      <w:sz w:val="21"/>
                      <w:szCs w:val="21"/>
                      <w14:textFill>
                        <w14:solidFill>
                          <w14:schemeClr w14:val="tx1"/>
                        </w14:solidFill>
                      </w14:textFill>
                    </w:rPr>
                  </w:pPr>
                  <w:r>
                    <w:rPr>
                      <w:rFonts w:hint="default" w:ascii="Times New Roman" w:hAnsi="Times New Roman" w:cs="Times New Roman"/>
                      <w:b/>
                      <w:bCs/>
                      <w:color w:val="000000" w:themeColor="text1"/>
                      <w:spacing w:val="0"/>
                      <w:w w:val="100"/>
                      <w:sz w:val="21"/>
                      <w:szCs w:val="21"/>
                      <w14:textFill>
                        <w14:solidFill>
                          <w14:schemeClr w14:val="tx1"/>
                        </w14:solidFill>
                      </w14:textFill>
                    </w:rPr>
                    <w:t>相关要求</w:t>
                  </w:r>
                </w:p>
              </w:tc>
              <w:tc>
                <w:tcPr>
                  <w:tcW w:w="3719" w:type="dxa"/>
                  <w:tcBorders>
                    <w:tl2br w:val="nil"/>
                    <w:tr2bl w:val="nil"/>
                  </w:tcBorders>
                  <w:vAlign w:val="center"/>
                </w:tcPr>
                <w:p w14:paraId="3AA4927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b/>
                      <w:bCs/>
                      <w:color w:val="000000" w:themeColor="text1"/>
                      <w:spacing w:val="0"/>
                      <w:w w:val="100"/>
                      <w:sz w:val="21"/>
                      <w:szCs w:val="21"/>
                      <w14:textFill>
                        <w14:solidFill>
                          <w14:schemeClr w14:val="tx1"/>
                        </w14:solidFill>
                      </w14:textFill>
                    </w:rPr>
                  </w:pPr>
                  <w:r>
                    <w:rPr>
                      <w:rFonts w:hint="default" w:ascii="Times New Roman" w:hAnsi="Times New Roman" w:cs="Times New Roman"/>
                      <w:b/>
                      <w:bCs/>
                      <w:color w:val="000000" w:themeColor="text1"/>
                      <w:spacing w:val="0"/>
                      <w:w w:val="100"/>
                      <w:sz w:val="21"/>
                      <w:szCs w:val="21"/>
                      <w14:textFill>
                        <w14:solidFill>
                          <w14:schemeClr w14:val="tx1"/>
                        </w14:solidFill>
                      </w14:textFill>
                    </w:rPr>
                    <w:t>建设项目情况</w:t>
                  </w:r>
                </w:p>
              </w:tc>
              <w:tc>
                <w:tcPr>
                  <w:tcW w:w="1195" w:type="dxa"/>
                  <w:tcBorders>
                    <w:tl2br w:val="nil"/>
                    <w:tr2bl w:val="nil"/>
                  </w:tcBorders>
                  <w:vAlign w:val="center"/>
                </w:tcPr>
                <w:p w14:paraId="0D07AB4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b/>
                      <w:bCs/>
                      <w:color w:val="000000" w:themeColor="text1"/>
                      <w:spacing w:val="0"/>
                      <w:w w:val="100"/>
                      <w:sz w:val="21"/>
                      <w:szCs w:val="21"/>
                      <w14:textFill>
                        <w14:solidFill>
                          <w14:schemeClr w14:val="tx1"/>
                        </w14:solidFill>
                      </w14:textFill>
                    </w:rPr>
                  </w:pPr>
                  <w:r>
                    <w:rPr>
                      <w:rFonts w:hint="eastAsia" w:ascii="Times New Roman" w:hAnsi="Times New Roman" w:cs="Times New Roman"/>
                      <w:b/>
                      <w:bCs/>
                      <w:color w:val="000000" w:themeColor="text1"/>
                      <w:spacing w:val="0"/>
                      <w:w w:val="100"/>
                      <w:sz w:val="21"/>
                      <w:szCs w:val="21"/>
                      <w:lang w:eastAsia="zh-CN"/>
                      <w14:textFill>
                        <w14:solidFill>
                          <w14:schemeClr w14:val="tx1"/>
                        </w14:solidFill>
                      </w14:textFill>
                    </w:rPr>
                    <w:t>符合性</w:t>
                  </w:r>
                  <w:r>
                    <w:rPr>
                      <w:rFonts w:hint="default" w:ascii="Times New Roman" w:hAnsi="Times New Roman" w:cs="Times New Roman"/>
                      <w:b/>
                      <w:bCs/>
                      <w:color w:val="000000" w:themeColor="text1"/>
                      <w:spacing w:val="0"/>
                      <w:w w:val="100"/>
                      <w:sz w:val="21"/>
                      <w:szCs w:val="21"/>
                      <w14:textFill>
                        <w14:solidFill>
                          <w14:schemeClr w14:val="tx1"/>
                        </w14:solidFill>
                      </w14:textFill>
                    </w:rPr>
                    <w:t>分析</w:t>
                  </w:r>
                </w:p>
              </w:tc>
            </w:tr>
            <w:tr w14:paraId="635F1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1" w:hRule="atLeast"/>
                <w:jc w:val="center"/>
              </w:trPr>
              <w:tc>
                <w:tcPr>
                  <w:tcW w:w="925" w:type="dxa"/>
                  <w:vMerge w:val="restart"/>
                  <w:tcBorders>
                    <w:tl2br w:val="nil"/>
                    <w:tr2bl w:val="nil"/>
                  </w:tcBorders>
                  <w:vAlign w:val="center"/>
                </w:tcPr>
                <w:p w14:paraId="3B33FDD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t>4总体要求</w:t>
                  </w:r>
                </w:p>
              </w:tc>
              <w:tc>
                <w:tcPr>
                  <w:tcW w:w="6679" w:type="dxa"/>
                  <w:tcBorders>
                    <w:tl2br w:val="nil"/>
                    <w:tr2bl w:val="nil"/>
                  </w:tcBorders>
                  <w:vAlign w:val="center"/>
                </w:tcPr>
                <w:p w14:paraId="2EB3915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4.1 选址和建设要求</w:t>
                  </w:r>
                </w:p>
                <w:p w14:paraId="51E8A72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废弃光伏组件处理企业建设项目的选址和建设应符合生态环境保护法律法规、规范和“三线一单”生态环境分区管控的要求。企业建设选址应符合GB50187的选址要求，不应选在国务院和国务院有关主管部门及省、自治区、直辖市人民政府依法划定的生态保护红线区域、永久基本农田集中区域和其他需要特别保护的区域内。</w:t>
                  </w:r>
                </w:p>
              </w:tc>
              <w:tc>
                <w:tcPr>
                  <w:tcW w:w="3719" w:type="dxa"/>
                  <w:tcBorders>
                    <w:tl2br w:val="nil"/>
                    <w:tr2bl w:val="nil"/>
                  </w:tcBorders>
                  <w:vAlign w:val="center"/>
                </w:tcPr>
                <w:p w14:paraId="65C2C56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本项目</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选址位于</w:t>
                  </w:r>
                  <w:r>
                    <w:rPr>
                      <w:rFonts w:hint="eastAsia"/>
                      <w:color w:val="000000" w:themeColor="text1"/>
                      <w:spacing w:val="0"/>
                      <w:position w:val="0"/>
                      <w:sz w:val="21"/>
                      <w:szCs w:val="21"/>
                      <w:lang w:val="en-US" w:eastAsia="zh-CN"/>
                      <w14:textFill>
                        <w14:solidFill>
                          <w14:schemeClr w14:val="tx1"/>
                        </w14:solidFill>
                      </w14:textFill>
                    </w:rPr>
                    <w:t>皖江江南新兴产业集中区万凯产业园，符合相关法律法规、技术规范要求，符合</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“三线一单”生态环境分区管控要求。</w:t>
                  </w:r>
                </w:p>
              </w:tc>
              <w:tc>
                <w:tcPr>
                  <w:tcW w:w="1195" w:type="dxa"/>
                  <w:tcBorders>
                    <w:tl2br w:val="nil"/>
                    <w:tr2bl w:val="nil"/>
                  </w:tcBorders>
                  <w:vAlign w:val="center"/>
                </w:tcPr>
                <w:p w14:paraId="2C25D0C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6F4AE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2" w:hRule="atLeast"/>
                <w:jc w:val="center"/>
              </w:trPr>
              <w:tc>
                <w:tcPr>
                  <w:tcW w:w="925" w:type="dxa"/>
                  <w:vMerge w:val="continue"/>
                  <w:tcBorders>
                    <w:tl2br w:val="nil"/>
                    <w:tr2bl w:val="nil"/>
                  </w:tcBorders>
                  <w:vAlign w:val="center"/>
                </w:tcPr>
                <w:p w14:paraId="7098544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40E4FF6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4.2 贮存和处理要求</w:t>
                  </w:r>
                </w:p>
                <w:p w14:paraId="5FE6D9C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4.2.1 从事废弃光伏组件贮存、处理、处置、回收再利用等活动，必须具备与生产规模相匹配的环境保护设施，产生的废气、废水、噪声等污染物应达标排放，产生的固体废物应妥善贮存、利用和处置。</w:t>
                  </w:r>
                </w:p>
                <w:p w14:paraId="3B9100A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4.2.2 废弃光伏组件处理场地应按功能划分区域，各功能区应有明显的界限和标识。</w:t>
                  </w:r>
                </w:p>
                <w:p w14:paraId="73D90A1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4.2.3 废弃光伏组件的贮存、处理区的地面应硬化并采取防渗措施。</w:t>
                  </w:r>
                </w:p>
                <w:p w14:paraId="31CBD1C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4.2.4 废弃光伏组件处理企业应优先采用资源利用率高、污染物排放量少的工艺、设备，减少对环境的污染</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不具备废弃光伏组件处理能力的企业不得拆解废弃光伏组件。</w:t>
                  </w:r>
                </w:p>
                <w:p w14:paraId="190E809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4.2.5 废弃光伏组件处理企业应按照GB18597和GB18599-2020规定设置危险废物贮存区和一般工业固体废物贮存区等。</w:t>
                  </w:r>
                </w:p>
              </w:tc>
              <w:tc>
                <w:tcPr>
                  <w:tcW w:w="3719" w:type="dxa"/>
                  <w:tcBorders>
                    <w:tl2br w:val="nil"/>
                    <w:tr2bl w:val="nil"/>
                  </w:tcBorders>
                  <w:vAlign w:val="center"/>
                </w:tcPr>
                <w:p w14:paraId="3F7FEBA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（1）结合后文分析预测，本项目</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产生的废气、废水、噪声等污染物经防治后，均达标排放，产生的固体废物能够合理处置</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2）项目废弃光伏组件处理场地按功能划分为以下区域：热解区、风选区、玻璃处理区，各功能区设置明显的界限和标识。</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3）厂房地面硬化并采取分区防渗措施。</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4）本项目采用的工艺、设备对废旧光伏组件资源化的利用率较高，配套的污染防治措施能有效减少对环境的影响</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5）厂区按照GB18597和GB18599-2020规定设置有危废库和一般固废库。</w:t>
                  </w:r>
                </w:p>
                <w:p w14:paraId="30BDE4A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p>
              </w:tc>
              <w:tc>
                <w:tcPr>
                  <w:tcW w:w="1195" w:type="dxa"/>
                  <w:tcBorders>
                    <w:tl2br w:val="nil"/>
                    <w:tr2bl w:val="nil"/>
                  </w:tcBorders>
                  <w:vAlign w:val="center"/>
                </w:tcPr>
                <w:p w14:paraId="36343C8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08ECD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3" w:hRule="atLeast"/>
                <w:jc w:val="center"/>
              </w:trPr>
              <w:tc>
                <w:tcPr>
                  <w:tcW w:w="925" w:type="dxa"/>
                  <w:vMerge w:val="restart"/>
                  <w:tcBorders>
                    <w:tl2br w:val="nil"/>
                    <w:tr2bl w:val="nil"/>
                  </w:tcBorders>
                  <w:vAlign w:val="center"/>
                </w:tcPr>
                <w:p w14:paraId="3F5B0F9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t>5处理过程污染</w:t>
                  </w:r>
                  <w:r>
                    <w:rPr>
                      <w:rFonts w:hint="default" w:ascii="sans-serif" w:hAnsi="sans-serif" w:eastAsia="sans-serif" w:cs="sans-serif"/>
                      <w:i w:val="0"/>
                      <w:iCs w:val="0"/>
                      <w:caps w:val="0"/>
                      <w:color w:val="000000" w:themeColor="text1"/>
                      <w:spacing w:val="0"/>
                      <w:kern w:val="0"/>
                      <w:sz w:val="21"/>
                      <w:szCs w:val="21"/>
                      <w:shd w:val="clear" w:fill="FFFFFF"/>
                      <w:lang w:val="en-US" w:eastAsia="zh-CN" w:bidi="ar"/>
                      <w14:textFill>
                        <w14:solidFill>
                          <w14:schemeClr w14:val="tx1"/>
                        </w14:solidFill>
                      </w14:textFill>
                    </w:rPr>
                    <w:t>控</w:t>
                  </w:r>
                  <w:r>
                    <w:rPr>
                      <w:rFonts w:hint="eastAsia" w:ascii="sans-serif" w:hAnsi="sans-serif" w:eastAsia="sans-serif" w:cs="sans-serif"/>
                      <w:i w:val="0"/>
                      <w:iCs w:val="0"/>
                      <w:caps w:val="0"/>
                      <w:color w:val="000000" w:themeColor="text1"/>
                      <w:spacing w:val="0"/>
                      <w:kern w:val="0"/>
                      <w:sz w:val="21"/>
                      <w:szCs w:val="21"/>
                      <w:shd w:val="clear" w:fill="FFFFFF"/>
                      <w:lang w:val="en-US" w:eastAsia="zh-CN" w:bidi="ar"/>
                      <w14:textFill>
                        <w14:solidFill>
                          <w14:schemeClr w14:val="tx1"/>
                        </w14:solidFill>
                      </w14:textFill>
                    </w:rPr>
                    <w:t>制要求</w:t>
                  </w:r>
                </w:p>
              </w:tc>
              <w:tc>
                <w:tcPr>
                  <w:tcW w:w="6679" w:type="dxa"/>
                  <w:tcBorders>
                    <w:tl2br w:val="nil"/>
                    <w:tr2bl w:val="nil"/>
                  </w:tcBorders>
                  <w:vAlign w:val="center"/>
                </w:tcPr>
                <w:p w14:paraId="79F7543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5.1 贮存</w:t>
                  </w:r>
                </w:p>
                <w:p w14:paraId="525E806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5.1.1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应按照“一厂一档”方式建立废弃光伏组件电子数据库，数据保存10年以上。</w:t>
                  </w:r>
                </w:p>
                <w:p w14:paraId="3E2B721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5.1.2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废弃光伏组件贮存设施及生产车间暂存区应符合GB18599-2020的要求。</w:t>
                  </w:r>
                </w:p>
                <w:p w14:paraId="7473C6B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5.1.3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废弃光伏组件应根据组分、种类、综合利用工艺等分类贮存。</w:t>
                  </w:r>
                </w:p>
                <w:p w14:paraId="3CBF045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5.1.4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废弃光伏组件的堆放要求应根据光伏组件的特性设置，避免发生坍塌、滑落等意外。</w:t>
                  </w:r>
                </w:p>
                <w:p w14:paraId="6C5623D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5.1.5</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回收再利用过程中若使用到化学品原材料，化学品的贮存设施及生产车间暂存区域应符合GB18597的要求，不应采用地下式或半地下式化学品储池。属于危险化学品的原材料及综合利用产物还应符合 GB15603的要求。</w:t>
                  </w:r>
                </w:p>
                <w:p w14:paraId="0D9185E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5.1.6</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化学品应根据组分和性质分类贮存。</w:t>
                  </w:r>
                </w:p>
                <w:p w14:paraId="67C3E24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5.1.7</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应建立巡检制度，巡检次数不少于每班2次，贮存过程中若出现异常现象应立即按应急预案妥善处理。</w:t>
                  </w:r>
                </w:p>
              </w:tc>
              <w:tc>
                <w:tcPr>
                  <w:tcW w:w="3719" w:type="dxa"/>
                  <w:tcBorders>
                    <w:tl2br w:val="nil"/>
                    <w:tr2bl w:val="nil"/>
                  </w:tcBorders>
                  <w:vAlign w:val="center"/>
                </w:tcPr>
                <w:p w14:paraId="7B18A7E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1）建设单位</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按照“一厂一档”方式建立废弃光伏组件电子数据库，数据保存10年以上</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2）项目</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废弃光伏组件贮存设施及生产车间暂存区</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建设符合</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GB18599-2020</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的</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要求</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3）</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废弃光伏组件根据组分、种类、综合利用工艺等分类贮存</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4</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不涉及危化品的使用</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5</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厂区</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建立巡检制度，巡检次数不少于每班2次</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tc>
              <w:tc>
                <w:tcPr>
                  <w:tcW w:w="1195" w:type="dxa"/>
                  <w:tcBorders>
                    <w:tl2br w:val="nil"/>
                    <w:tr2bl w:val="nil"/>
                  </w:tcBorders>
                  <w:vAlign w:val="center"/>
                </w:tcPr>
                <w:p w14:paraId="58E04AB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default" w:ascii="Times New Roman" w:hAnsi="Times New Roman" w:cs="Times New Roman"/>
                      <w:color w:val="000000" w:themeColor="text1"/>
                      <w:spacing w:val="0"/>
                      <w:w w:val="100"/>
                      <w:sz w:val="21"/>
                      <w:szCs w:val="21"/>
                      <w14:textFill>
                        <w14:solidFill>
                          <w14:schemeClr w14:val="tx1"/>
                        </w14:solidFill>
                      </w14:textFill>
                    </w:rPr>
                    <w:t>符合</w:t>
                  </w:r>
                </w:p>
              </w:tc>
            </w:tr>
            <w:tr w14:paraId="7230E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jc w:val="center"/>
              </w:trPr>
              <w:tc>
                <w:tcPr>
                  <w:tcW w:w="925" w:type="dxa"/>
                  <w:vMerge w:val="continue"/>
                  <w:tcBorders>
                    <w:tl2br w:val="nil"/>
                    <w:tr2bl w:val="nil"/>
                  </w:tcBorders>
                  <w:vAlign w:val="center"/>
                </w:tcPr>
                <w:p w14:paraId="72EFF93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5977FBE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5.2 清洗</w:t>
                  </w:r>
                </w:p>
                <w:p w14:paraId="0BE9A2A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5.2.1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清洗废弃光伏组件时，应清洗干净其表面污垢，避免在拆解过程中降低物料的纯度，减少工艺过程中产生污染。</w:t>
                  </w:r>
                </w:p>
                <w:p w14:paraId="10F0C00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5.2.2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清洗后的废水宜通过沉降、压滤等方式处理后循环利用。废水处理过程中产生的污泥应妥善贮存、利用处置。</w:t>
                  </w:r>
                </w:p>
              </w:tc>
              <w:tc>
                <w:tcPr>
                  <w:tcW w:w="3719" w:type="dxa"/>
                  <w:tcBorders>
                    <w:tl2br w:val="nil"/>
                    <w:tr2bl w:val="nil"/>
                  </w:tcBorders>
                  <w:vAlign w:val="center"/>
                </w:tcPr>
                <w:p w14:paraId="5A40BE1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本项目不</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清洗废弃光伏组件</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对分选后的玻璃进行碱洗、洗砂。</w:t>
                  </w:r>
                  <w:r>
                    <w:rPr>
                      <w:rFonts w:hint="eastAsia" w:ascii="Times New Roman" w:hAnsi="Times New Roman" w:eastAsia="宋体" w:cs="Times New Roman"/>
                      <w:caps w:val="0"/>
                      <w:smallCaps w:val="0"/>
                      <w:color w:val="auto"/>
                      <w:spacing w:val="0"/>
                      <w:w w:val="100"/>
                      <w:position w:val="0"/>
                      <w:sz w:val="21"/>
                      <w:szCs w:val="21"/>
                      <w:lang w:val="en-US" w:eastAsia="zh-CN"/>
                    </w:rPr>
                    <w:t>碱洗废水、洗砂废水经车间沉淀池沉淀后回用，不外排。</w:t>
                  </w:r>
                </w:p>
              </w:tc>
              <w:tc>
                <w:tcPr>
                  <w:tcW w:w="1195" w:type="dxa"/>
                  <w:tcBorders>
                    <w:tl2br w:val="nil"/>
                    <w:tr2bl w:val="nil"/>
                  </w:tcBorders>
                  <w:vAlign w:val="center"/>
                </w:tcPr>
                <w:p w14:paraId="1D891C7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r w14:paraId="60527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25" w:type="dxa"/>
                  <w:vMerge w:val="continue"/>
                  <w:tcBorders>
                    <w:tl2br w:val="nil"/>
                    <w:tr2bl w:val="nil"/>
                  </w:tcBorders>
                  <w:vAlign w:val="center"/>
                </w:tcPr>
                <w:p w14:paraId="3EF07AF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08C7032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边框及接线盒</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含引|出线）拆解</w:t>
                  </w:r>
                </w:p>
                <w:p w14:paraId="6847CF5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5.3.1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可采用人工或机械方式，拆解废弃光伏组件上的边框与接线盒</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含引出线）。应当防止粉尘的无组织排放/控制噪音排放强度。</w:t>
                  </w:r>
                </w:p>
                <w:p w14:paraId="2645C49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5.3.2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拆解后得到的边框与接线盒</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含引出线）应分类放置</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tc>
              <w:tc>
                <w:tcPr>
                  <w:tcW w:w="3719" w:type="dxa"/>
                  <w:tcBorders>
                    <w:tl2br w:val="nil"/>
                    <w:tr2bl w:val="nil"/>
                  </w:tcBorders>
                  <w:vAlign w:val="center"/>
                </w:tcPr>
                <w:p w14:paraId="4982A8A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本项目采用机械方式拆解出铝合金边框，外售综合利用；</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接线盒</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经</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撕碎</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后</w:t>
                  </w:r>
                  <w:r>
                    <w:rPr>
                      <w:rFonts w:hint="eastAsia" w:ascii="Times New Roman" w:hAnsi="Times New Roman" w:eastAsia="Times New Roman" w:cs="Times New Roman"/>
                      <w:color w:val="000000" w:themeColor="text1"/>
                      <w:spacing w:val="0"/>
                      <w:w w:val="100"/>
                      <w:sz w:val="21"/>
                      <w:szCs w:val="21"/>
                      <w:lang w:val="en-US" w:eastAsia="zh-CN"/>
                      <w14:textFill>
                        <w14:solidFill>
                          <w14:schemeClr w14:val="tx1"/>
                        </w14:solidFill>
                      </w14:textFill>
                    </w:rPr>
                    <w:t>分</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选出铜丝和塑料外售综合利用。</w:t>
                  </w:r>
                </w:p>
              </w:tc>
              <w:tc>
                <w:tcPr>
                  <w:tcW w:w="1195" w:type="dxa"/>
                  <w:tcBorders>
                    <w:tl2br w:val="nil"/>
                    <w:tr2bl w:val="nil"/>
                  </w:tcBorders>
                  <w:vAlign w:val="center"/>
                </w:tcPr>
                <w:p w14:paraId="00B4B36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r w14:paraId="50EC0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jc w:val="center"/>
              </w:trPr>
              <w:tc>
                <w:tcPr>
                  <w:tcW w:w="925" w:type="dxa"/>
                  <w:vMerge w:val="continue"/>
                  <w:tcBorders>
                    <w:tl2br w:val="nil"/>
                    <w:tr2bl w:val="nil"/>
                  </w:tcBorders>
                  <w:vAlign w:val="center"/>
                </w:tcPr>
                <w:p w14:paraId="788464C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38D07FA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光伏层压件拆解</w:t>
                  </w:r>
                </w:p>
                <w:p w14:paraId="1762FC6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5.4.1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可采用物理法、火法、湿法，或者多种工艺的组合拆解光伏层压件，需要达到各种物料不被胶膜粘接在一起的拆解工艺目的。</w:t>
                  </w:r>
                </w:p>
                <w:p w14:paraId="6B90073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5.4.2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“拆解光伏层压件过程，应防止废气无组织排放，收集后的废气应导入废气集中处理设施。</w:t>
                  </w:r>
                </w:p>
                <w:p w14:paraId="2D257A8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5.4.3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拆解光伏层压件过程，应防止废水的无组织排放，收集后的废水应导入集中处理设施，废水及废溶剂应当最大化循环利用，同时应避免拆解后得到的物料表面沾有化学试剂。</w:t>
                  </w:r>
                </w:p>
                <w:p w14:paraId="70FEA9D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5.4.4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拆解光伏层压件过程中，应当防止粉尘的无组织排放，控制噪音排放强度。</w:t>
                  </w:r>
                </w:p>
              </w:tc>
              <w:tc>
                <w:tcPr>
                  <w:tcW w:w="3719" w:type="dxa"/>
                  <w:tcBorders>
                    <w:tl2br w:val="nil"/>
                    <w:tr2bl w:val="nil"/>
                  </w:tcBorders>
                  <w:vAlign w:val="center"/>
                </w:tcPr>
                <w:p w14:paraId="531E1AD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1）项目采用物理法和</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火法拆解光伏层压件</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2</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项目生产线废气按</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“应收尽收、分质收集”</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的原则，有效防止无组织排放，废气收集后经有效处理达标排放</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）生产线粉尘产生节点均配置收集处理方案，避免无组织粉尘排放</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生产设备采取减振隔声的措施，降低排放强度。</w:t>
                  </w:r>
                </w:p>
              </w:tc>
              <w:tc>
                <w:tcPr>
                  <w:tcW w:w="1195" w:type="dxa"/>
                  <w:tcBorders>
                    <w:tl2br w:val="nil"/>
                    <w:tr2bl w:val="nil"/>
                  </w:tcBorders>
                  <w:vAlign w:val="center"/>
                </w:tcPr>
                <w:p w14:paraId="425019A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r w14:paraId="1C033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7" w:hRule="atLeast"/>
                <w:jc w:val="center"/>
              </w:trPr>
              <w:tc>
                <w:tcPr>
                  <w:tcW w:w="925" w:type="dxa"/>
                  <w:vMerge w:val="continue"/>
                  <w:tcBorders>
                    <w:tl2br w:val="nil"/>
                    <w:tr2bl w:val="nil"/>
                  </w:tcBorders>
                  <w:vAlign w:val="center"/>
                </w:tcPr>
                <w:p w14:paraId="0068F52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29F6A83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5.5 材料分选</w:t>
                  </w:r>
                </w:p>
                <w:p w14:paraId="3F76626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5.5.1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光伏层压件拆解后得到的混合材料，宜采用物理或化学的方式，对材料进行分选。</w:t>
                  </w:r>
                </w:p>
                <w:p w14:paraId="55BB086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5.5.2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分选后的玻璃、电池片、焊带、胶膜、背板等材料应分类妥善贮存。</w:t>
                  </w:r>
                </w:p>
                <w:p w14:paraId="29C597E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5.5.3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应防止分选过程中的废水、废气、粉尘的无组织排放，控制噪音排放强度。</w:t>
                  </w:r>
                </w:p>
              </w:tc>
              <w:tc>
                <w:tcPr>
                  <w:tcW w:w="3719" w:type="dxa"/>
                  <w:tcBorders>
                    <w:tl2br w:val="nil"/>
                    <w:tr2bl w:val="nil"/>
                  </w:tcBorders>
                  <w:vAlign w:val="center"/>
                </w:tcPr>
                <w:p w14:paraId="0D4DA26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本项目拆解后的光伏板，通过热解，产出炉渣（硅、铜、玻璃等的混合物），再通过筛分、风选、色选等工艺将硅、铜、玻璃分选出来。整个过程产生的废气、废水污染物均配置有效的防治措施，且</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生产设备采取减振隔声的措施，降低排放强度。</w:t>
                  </w:r>
                </w:p>
              </w:tc>
              <w:tc>
                <w:tcPr>
                  <w:tcW w:w="1195" w:type="dxa"/>
                  <w:tcBorders>
                    <w:tl2br w:val="nil"/>
                    <w:tr2bl w:val="nil"/>
                  </w:tcBorders>
                  <w:vAlign w:val="center"/>
                </w:tcPr>
                <w:p w14:paraId="034F394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r w14:paraId="3865F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4" w:hRule="atLeast"/>
                <w:jc w:val="center"/>
              </w:trPr>
              <w:tc>
                <w:tcPr>
                  <w:tcW w:w="925" w:type="dxa"/>
                  <w:vMerge w:val="continue"/>
                  <w:tcBorders>
                    <w:tl2br w:val="nil"/>
                    <w:tr2bl w:val="nil"/>
                  </w:tcBorders>
                  <w:vAlign w:val="center"/>
                </w:tcPr>
                <w:p w14:paraId="5C51ACC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7BD8017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 回收再利用</w:t>
                  </w:r>
                </w:p>
                <w:p w14:paraId="1D90BEE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废弃光伏组件处理后各类再生材料的利用率应满足GB/T39753-2021要求。</w:t>
                  </w:r>
                </w:p>
                <w:p w14:paraId="3810570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采用湿法从光伏电池片中回收金属银、金属铝、金属硅，以及采用化学法从光伏焊带中回收金属铜、金属锡、金属铅时，产生的废水应满足GB8978排放要求，产生的废气应满足GB16297排放要求。</w:t>
                  </w:r>
                </w:p>
                <w:p w14:paraId="2FE5DD3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采用火法从光伏焊带中回收金属铜、金属锡、金属铅时，产生的废气应满足GB9078排放要求。</w:t>
                  </w:r>
                </w:p>
                <w:p w14:paraId="4532DAE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回收再利用产物品质达到相关产品的国家标准或行业标准后，方可按照产品管理。可按照产品管理的综合利用产物，应符合GB34330规定，其中有害成分含量应满足以下要求：</w:t>
                  </w:r>
                </w:p>
                <w:p w14:paraId="6B3AB41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a）砷、铅、镉、汞、铬、锌、镍、钡、银、硒、铜、锑/钒、钴、氟离子、氰离子及其他特征污染物有害成分含量应满足国家、地方制定或行业通行的产品质量标准及相关技术规范要求</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00B892D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b）产品质量标准及相关技术规范中未规定的，汞、镉、铬、六价铬、砷、铅、镍、银含量</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按照HJ/T299方法制取的浸出液）应低于GB8978要求，其他有害成分含量应低于GB5085.3限值的1/10，按照HJ501检测的TOC浓度应低于800mg/L。</w:t>
                  </w:r>
                </w:p>
                <w:p w14:paraId="1FEE261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5.6.5</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回收再利用产物不满足5.6.4要求的，则应按照固废管理，委托给有资质单位进行处置利用。</w:t>
                  </w:r>
                </w:p>
                <w:p w14:paraId="150792B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5.6.6</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应按照HJ1091-2020中8.1规定的监测要求及频次，定期对回收再利用产物中的特征污染物或有害杂质进行采样监测，监测指标包括但不限于5.6.4要求。</w:t>
                  </w:r>
                </w:p>
                <w:p w14:paraId="0411C24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5.6.7</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应建立回收再利用产物的台账记录制度，内容包括回收再利用产物生产时间、名称、数量、流向</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使用单位及用途）等，并进行月度和年度汇总。</w:t>
                  </w:r>
                </w:p>
                <w:p w14:paraId="7AA89C5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5.6.8</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回收再利用产物进入市场流通前，应制作、张贴再生利用标识和产品说明书。</w:t>
                  </w:r>
                </w:p>
                <w:p w14:paraId="6D83A7D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5.6.9</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回收再利用产物不得在生态保护红线区域及其他需要特别保护的区域使用，也不应用作与人体直接接触产品的替代原辅料，或流向饮用水、食品、药品、养殖及种植等相关行业。满足国家专用标准和国家、地方许可的除外。</w:t>
                  </w:r>
                </w:p>
              </w:tc>
              <w:tc>
                <w:tcPr>
                  <w:tcW w:w="3719" w:type="dxa"/>
                  <w:tcBorders>
                    <w:tl2br w:val="nil"/>
                    <w:tr2bl w:val="nil"/>
                  </w:tcBorders>
                  <w:vAlign w:val="center"/>
                </w:tcPr>
                <w:p w14:paraId="37CC3C9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（1）</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铜</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的再生利用率达到99%以上，</w:t>
                  </w:r>
                  <w:r>
                    <w:rPr>
                      <w:rFonts w:hint="default" w:ascii="Times New Roman" w:hAnsi="Times New Roman" w:cs="Times New Roman"/>
                      <w:color w:val="000000" w:themeColor="text1"/>
                      <w:spacing w:val="0"/>
                      <w:w w:val="100"/>
                      <w:sz w:val="21"/>
                      <w:szCs w:val="21"/>
                      <w14:textFill>
                        <w14:solidFill>
                          <w14:schemeClr w14:val="tx1"/>
                        </w14:solidFill>
                      </w14:textFill>
                    </w:rPr>
                    <w:t>拆解</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后的铝合金</w:t>
                  </w:r>
                  <w:r>
                    <w:rPr>
                      <w:rFonts w:hint="default" w:ascii="Times New Roman" w:hAnsi="Times New Roman" w:cs="Times New Roman"/>
                      <w:color w:val="000000" w:themeColor="text1"/>
                      <w:spacing w:val="0"/>
                      <w:w w:val="100"/>
                      <w:sz w:val="21"/>
                      <w:szCs w:val="21"/>
                      <w14:textFill>
                        <w14:solidFill>
                          <w14:schemeClr w14:val="tx1"/>
                        </w14:solidFill>
                      </w14:textFill>
                    </w:rPr>
                    <w:t>边框</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全部外售处理</w:t>
                  </w:r>
                  <w:r>
                    <w:rPr>
                      <w:rFonts w:hint="default" w:ascii="Times New Roman" w:hAnsi="Times New Roman" w:cs="Times New Roman"/>
                      <w:color w:val="000000" w:themeColor="text1"/>
                      <w:spacing w:val="0"/>
                      <w:w w:val="100"/>
                      <w:sz w:val="21"/>
                      <w:szCs w:val="21"/>
                      <w14:textFill>
                        <w14:solidFill>
                          <w14:schemeClr w14:val="tx1"/>
                        </w14:solidFill>
                      </w14:textFill>
                    </w:rPr>
                    <w:t>，</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再生利用率</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按100%计</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2</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w:t>
                  </w:r>
                  <w:r>
                    <w:rPr>
                      <w:rFonts w:hint="default" w:ascii="Times New Roman" w:hAnsi="Times New Roman" w:cs="Times New Roman"/>
                      <w:color w:val="000000" w:themeColor="text1"/>
                      <w:spacing w:val="0"/>
                      <w:w w:val="100"/>
                      <w:sz w:val="21"/>
                      <w:szCs w:val="21"/>
                      <w14:textFill>
                        <w14:solidFill>
                          <w14:schemeClr w14:val="tx1"/>
                        </w14:solidFill>
                      </w14:textFill>
                    </w:rPr>
                    <w:t>光伏层压件采取热处理法、物理分离法组合，</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热解炉尾气采用“碱喷淋塔+干式过滤器+覆膜布袋除尘器+二级活性炭吸附装置”处理</w:t>
                  </w:r>
                  <w:r>
                    <w:rPr>
                      <w:rFonts w:hint="default" w:ascii="Times New Roman" w:hAnsi="Times New Roman" w:cs="Times New Roman"/>
                      <w:color w:val="000000" w:themeColor="text1"/>
                      <w:spacing w:val="0"/>
                      <w:w w:val="100"/>
                      <w:sz w:val="21"/>
                      <w:szCs w:val="21"/>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废气</w:t>
                  </w:r>
                  <w:r>
                    <w:rPr>
                      <w:rFonts w:hint="default" w:ascii="Times New Roman" w:hAnsi="Times New Roman" w:cs="Times New Roman"/>
                      <w:color w:val="000000" w:themeColor="text1"/>
                      <w:spacing w:val="0"/>
                      <w:w w:val="100"/>
                      <w:sz w:val="21"/>
                      <w:szCs w:val="21"/>
                      <w14:textFill>
                        <w14:solidFill>
                          <w14:schemeClr w14:val="tx1"/>
                        </w14:solidFill>
                      </w14:textFill>
                    </w:rPr>
                    <w:t>排放</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满足</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《危险废物焚烧污染控制标准》</w:t>
                  </w:r>
                  <w:r>
                    <w:rPr>
                      <w:rFonts w:hint="eastAsia" w:ascii="Times New Roman" w:hAnsi="Times New Roman"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GB18484-2020）、《大气污染物综合排放标准》</w:t>
                  </w:r>
                  <w:r>
                    <w:rPr>
                      <w:rFonts w:hint="eastAsia" w:ascii="Times New Roman" w:hAnsi="Times New Roman"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GB16297-1996）要求限值</w:t>
                  </w:r>
                  <w:r>
                    <w:rPr>
                      <w:rFonts w:hint="default" w:ascii="Times New Roman" w:hAnsi="Times New Roman" w:cs="Times New Roman"/>
                      <w:color w:val="000000" w:themeColor="text1"/>
                      <w:spacing w:val="0"/>
                      <w:w w:val="100"/>
                      <w:sz w:val="21"/>
                      <w:szCs w:val="21"/>
                      <w14:textFill>
                        <w14:solidFill>
                          <w14:schemeClr w14:val="tx1"/>
                        </w14:solidFill>
                      </w14:textFill>
                    </w:rPr>
                    <w:t>。</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3</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项目建成验收后，企业按照环境保护措施验收的要求对污染物排放进行日常定期监测，并按照电子废物经营情况</w:t>
                  </w:r>
                  <w:r>
                    <w:rPr>
                      <w:rFonts w:hint="eastAsia"/>
                      <w:color w:val="000000" w:themeColor="text1"/>
                      <w:spacing w:val="0"/>
                      <w:w w:val="100"/>
                      <w:sz w:val="21"/>
                      <w:szCs w:val="21"/>
                      <w:lang w:eastAsia="zh-CN"/>
                      <w14:textFill>
                        <w14:solidFill>
                          <w14:schemeClr w14:val="tx1"/>
                        </w14:solidFill>
                      </w14:textFill>
                    </w:rPr>
                    <w:t>记录簿</w:t>
                  </w:r>
                  <w:r>
                    <w:rPr>
                      <w:color w:val="000000" w:themeColor="text1"/>
                      <w:spacing w:val="0"/>
                      <w:w w:val="100"/>
                      <w:sz w:val="21"/>
                      <w:szCs w:val="21"/>
                      <w14:textFill>
                        <w14:solidFill>
                          <w14:schemeClr w14:val="tx1"/>
                        </w14:solidFill>
                      </w14:textFill>
                    </w:rPr>
                    <w:t>制度的规定，如实记载电子废物的来源、类型、重量或者数量、 收集</w:t>
                  </w:r>
                  <w:r>
                    <w:rPr>
                      <w:rFonts w:hint="eastAsia"/>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接 受）、利用、贮存、处置的时间</w:t>
                  </w:r>
                  <w:r>
                    <w:rPr>
                      <w:rFonts w:hint="eastAsia"/>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运输者的名称和地址</w:t>
                  </w:r>
                  <w:r>
                    <w:rPr>
                      <w:rFonts w:hint="eastAsia"/>
                      <w:color w:val="000000" w:themeColor="text1"/>
                      <w:spacing w:val="0"/>
                      <w:w w:val="100"/>
                      <w:sz w:val="21"/>
                      <w:szCs w:val="21"/>
                      <w:lang w:eastAsia="zh-CN"/>
                      <w14:textFill>
                        <w14:solidFill>
                          <w14:schemeClr w14:val="tx1"/>
                        </w14:solidFill>
                      </w14:textFill>
                    </w:rPr>
                    <w:t>；</w:t>
                  </w:r>
                  <w:r>
                    <w:rPr>
                      <w:color w:val="000000" w:themeColor="text1"/>
                      <w:spacing w:val="0"/>
                      <w:w w:val="100"/>
                      <w:sz w:val="21"/>
                      <w:szCs w:val="21"/>
                      <w14:textFill>
                        <w14:solidFill>
                          <w14:schemeClr w14:val="tx1"/>
                        </w14:solidFill>
                      </w14:textFill>
                    </w:rPr>
                    <w:t>未完全利用或</w:t>
                  </w:r>
                  <w:r>
                    <w:rPr>
                      <w:rFonts w:hint="default" w:ascii="Times New Roman" w:hAnsi="Times New Roman" w:cs="Times New Roman"/>
                      <w:color w:val="000000" w:themeColor="text1"/>
                      <w:spacing w:val="0"/>
                      <w:w w:val="100"/>
                      <w:sz w:val="21"/>
                      <w:szCs w:val="21"/>
                      <w14:textFill>
                        <w14:solidFill>
                          <w14:schemeClr w14:val="tx1"/>
                        </w14:solidFill>
                      </w14:textFill>
                    </w:rPr>
                    <w:t>者处置的电子废物以及固体废物的种类、重量或者数量及去向等。监测报告及经营情况</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记录簿</w:t>
                  </w:r>
                  <w:r>
                    <w:rPr>
                      <w:rFonts w:hint="default" w:ascii="Times New Roman" w:hAnsi="Times New Roman" w:cs="Times New Roman"/>
                      <w:color w:val="000000" w:themeColor="text1"/>
                      <w:spacing w:val="0"/>
                      <w:w w:val="100"/>
                      <w:sz w:val="21"/>
                      <w:szCs w:val="21"/>
                      <w14:textFill>
                        <w14:solidFill>
                          <w14:schemeClr w14:val="tx1"/>
                        </w14:solidFill>
                      </w14:textFill>
                    </w:rPr>
                    <w:t>应当保存三年。</w:t>
                  </w:r>
                  <w:r>
                    <w:rPr>
                      <w:rFonts w:hint="eastAsia" w:ascii="Times New Roman" w:hAnsi="Times New Roman"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t>4</w:t>
                  </w:r>
                  <w:r>
                    <w:rPr>
                      <w:rFonts w:hint="default" w:ascii="Times New Roman" w:hAnsi="Times New Roman" w:cs="Times New Roman"/>
                      <w:color w:val="000000" w:themeColor="text1"/>
                      <w:spacing w:val="0"/>
                      <w:w w:val="100"/>
                      <w:sz w:val="21"/>
                      <w:szCs w:val="21"/>
                      <w:lang w:eastAsia="zh-CN"/>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回收利用产物均合理有效处置，符合法律法规要求。</w:t>
                  </w:r>
                </w:p>
              </w:tc>
              <w:tc>
                <w:tcPr>
                  <w:tcW w:w="1195" w:type="dxa"/>
                  <w:tcBorders>
                    <w:tl2br w:val="nil"/>
                    <w:tr2bl w:val="nil"/>
                  </w:tcBorders>
                  <w:vAlign w:val="center"/>
                </w:tcPr>
                <w:p w14:paraId="09622BA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r w14:paraId="624BA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7" w:hRule="atLeast"/>
                <w:jc w:val="center"/>
              </w:trPr>
              <w:tc>
                <w:tcPr>
                  <w:tcW w:w="925" w:type="dxa"/>
                  <w:vMerge w:val="restart"/>
                  <w:tcBorders>
                    <w:tl2br w:val="nil"/>
                    <w:tr2bl w:val="nil"/>
                  </w:tcBorders>
                  <w:vAlign w:val="center"/>
                </w:tcPr>
                <w:p w14:paraId="0292B49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6污染物排放控制与环境监测要求</w:t>
                  </w:r>
                </w:p>
                <w:p w14:paraId="1D148C9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2F8A0D5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6.1 废气污染控制</w:t>
                  </w:r>
                </w:p>
                <w:p w14:paraId="6DE058F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6.1.1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废弃光伏组件清洗、拆解、分选、回收再利用各工序废气排放应满足GB16297的规定。</w:t>
                  </w:r>
                </w:p>
                <w:p w14:paraId="2878FC2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6.1.2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挥发性有机物无组织排放应满足GB37822的规定。</w:t>
                  </w:r>
                </w:p>
                <w:p w14:paraId="4C69459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6.1.3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废弃光伏组件火法处理工序废气排放应满足GB9078的规定。</w:t>
                  </w:r>
                </w:p>
              </w:tc>
              <w:tc>
                <w:tcPr>
                  <w:tcW w:w="3719" w:type="dxa"/>
                  <w:tcBorders>
                    <w:tl2br w:val="nil"/>
                    <w:tr2bl w:val="nil"/>
                  </w:tcBorders>
                  <w:vAlign w:val="center"/>
                </w:tcPr>
                <w:p w14:paraId="039B408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本项目废气</w:t>
                  </w:r>
                  <w:r>
                    <w:rPr>
                      <w:rFonts w:hint="default" w:ascii="Times New Roman" w:hAnsi="Times New Roman" w:cs="Times New Roman"/>
                      <w:color w:val="000000" w:themeColor="text1"/>
                      <w:spacing w:val="0"/>
                      <w:w w:val="100"/>
                      <w:sz w:val="21"/>
                      <w:szCs w:val="21"/>
                      <w14:textFill>
                        <w14:solidFill>
                          <w14:schemeClr w14:val="tx1"/>
                        </w14:solidFill>
                      </w14:textFill>
                    </w:rPr>
                    <w:t>排放</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满足</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《危险废物焚烧污染控制标准》</w:t>
                  </w:r>
                  <w:r>
                    <w:rPr>
                      <w:rFonts w:hint="eastAsia" w:ascii="Times New Roman" w:hAnsi="Times New Roman"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GB18484-2020）、《大气污染物综合排放标准》</w:t>
                  </w:r>
                  <w:r>
                    <w:rPr>
                      <w:rFonts w:hint="eastAsia" w:ascii="Times New Roman" w:hAnsi="Times New Roman"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GB16297-1996）、《挥发性有机物无组织排放控制标准》</w:t>
                  </w:r>
                  <w:r>
                    <w:rPr>
                      <w:rFonts w:hint="eastAsia" w:ascii="Times New Roman" w:hAnsi="Times New Roman"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GB37822-2019）等要求限值</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p>
              </w:tc>
              <w:tc>
                <w:tcPr>
                  <w:tcW w:w="1195" w:type="dxa"/>
                  <w:tcBorders>
                    <w:tl2br w:val="nil"/>
                    <w:tr2bl w:val="nil"/>
                  </w:tcBorders>
                  <w:vAlign w:val="center"/>
                </w:tcPr>
                <w:p w14:paraId="4760E2C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r w14:paraId="6198E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7" w:hRule="atLeast"/>
                <w:jc w:val="center"/>
              </w:trPr>
              <w:tc>
                <w:tcPr>
                  <w:tcW w:w="925" w:type="dxa"/>
                  <w:vMerge w:val="continue"/>
                  <w:tcBorders>
                    <w:tl2br w:val="nil"/>
                    <w:tr2bl w:val="nil"/>
                  </w:tcBorders>
                  <w:vAlign w:val="center"/>
                </w:tcPr>
                <w:p w14:paraId="4AB5AC0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7F0CC66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6.2 废水污染控制</w:t>
                  </w:r>
                </w:p>
                <w:p w14:paraId="5F819DE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6.2.1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废弃光伏组件处理企业，应配备废水收集处理设施，用于收集处理生产废水。</w:t>
                  </w:r>
                </w:p>
                <w:p w14:paraId="7E5AB21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6.2.2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废水应符合GB8978或相应行业排放标准要求。</w:t>
                  </w:r>
                </w:p>
              </w:tc>
              <w:tc>
                <w:tcPr>
                  <w:tcW w:w="3719" w:type="dxa"/>
                  <w:tcBorders>
                    <w:tl2br w:val="nil"/>
                    <w:tr2bl w:val="nil"/>
                  </w:tcBorders>
                  <w:vAlign w:val="center"/>
                </w:tcPr>
                <w:p w14:paraId="04C08D2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Times New Roman" w:hAnsi="Times New Roman" w:eastAsia="宋体" w:cs="Times New Roman"/>
                      <w:caps w:val="0"/>
                      <w:smallCaps w:val="0"/>
                      <w:color w:val="auto"/>
                      <w:spacing w:val="0"/>
                      <w:w w:val="100"/>
                      <w:position w:val="0"/>
                      <w:sz w:val="21"/>
                      <w:szCs w:val="21"/>
                      <w:lang w:val="en-US" w:eastAsia="zh-CN"/>
                    </w:rPr>
                  </w:pPr>
                  <w:r>
                    <w:rPr>
                      <w:rFonts w:hint="eastAsia" w:ascii="Times New Roman" w:hAnsi="Times New Roman" w:eastAsia="宋体" w:cs="Times New Roman"/>
                      <w:caps w:val="0"/>
                      <w:smallCaps w:val="0"/>
                      <w:color w:val="auto"/>
                      <w:spacing w:val="0"/>
                      <w:w w:val="100"/>
                      <w:position w:val="0"/>
                      <w:sz w:val="21"/>
                      <w:szCs w:val="21"/>
                      <w:lang w:val="en-US" w:eastAsia="zh-CN"/>
                    </w:rPr>
                    <w:t>（1）项目碱洗废水、洗砂废水经车间沉淀池沉淀后回用，不外排；</w:t>
                  </w:r>
                </w:p>
                <w:p w14:paraId="50DB435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auto"/>
                      <w:spacing w:val="0"/>
                      <w:w w:val="100"/>
                      <w:position w:val="0"/>
                      <w:sz w:val="21"/>
                      <w:szCs w:val="21"/>
                      <w:lang w:val="en-US" w:eastAsia="zh-CN"/>
                    </w:rPr>
                    <w:t>（2）</w:t>
                  </w:r>
                  <w:r>
                    <w:rPr>
                      <w:rFonts w:hint="eastAsia" w:ascii="Times New Roman" w:hAnsi="Times New Roman" w:cs="Times New Roman"/>
                      <w:caps w:val="0"/>
                      <w:smallCaps w:val="0"/>
                      <w:color w:val="auto"/>
                      <w:spacing w:val="0"/>
                      <w:w w:val="100"/>
                      <w:position w:val="0"/>
                      <w:sz w:val="21"/>
                      <w:szCs w:val="21"/>
                      <w:lang w:val="en-US" w:eastAsia="zh-CN"/>
                    </w:rPr>
                    <w:t>地面冲洗废水、喷淋塔定期排水经沉淀池处理后与化粪池收集的生活污水一同纳管排放</w:t>
                  </w:r>
                  <w:r>
                    <w:rPr>
                      <w:rFonts w:hint="eastAsia" w:ascii="Times New Roman" w:hAnsi="Times New Roman" w:eastAsia="宋体" w:cs="Times New Roman"/>
                      <w:caps w:val="0"/>
                      <w:smallCaps w:val="0"/>
                      <w:color w:val="auto"/>
                      <w:spacing w:val="0"/>
                      <w:w w:val="100"/>
                      <w:position w:val="0"/>
                      <w:sz w:val="21"/>
                      <w:szCs w:val="21"/>
                      <w:lang w:val="en-US" w:eastAsia="zh-CN"/>
                    </w:rPr>
                    <w:t>。纳管废水污染物排放浓度满足</w:t>
                  </w:r>
                  <w:r>
                    <w:rPr>
                      <w:rFonts w:hint="default" w:ascii="Times New Roman" w:hAnsi="Times New Roman" w:eastAsia="宋体" w:cs="Times New Roman"/>
                      <w:caps w:val="0"/>
                      <w:smallCaps w:val="0"/>
                      <w:color w:val="auto"/>
                      <w:spacing w:val="0"/>
                      <w:w w:val="100"/>
                      <w:position w:val="0"/>
                      <w:sz w:val="21"/>
                      <w:szCs w:val="21"/>
                      <w:lang w:val="en-US" w:eastAsia="zh-CN"/>
                    </w:rPr>
                    <w:t>皖江江南新兴产业集中区第一污水处理厂</w:t>
                  </w:r>
                  <w:r>
                    <w:rPr>
                      <w:rFonts w:hint="eastAsia" w:cs="Times New Roman"/>
                      <w:caps w:val="0"/>
                      <w:smallCaps w:val="0"/>
                      <w:color w:val="auto"/>
                      <w:spacing w:val="0"/>
                      <w:w w:val="100"/>
                      <w:position w:val="0"/>
                      <w:sz w:val="21"/>
                      <w:szCs w:val="21"/>
                      <w:lang w:val="en-US" w:eastAsia="zh-CN"/>
                    </w:rPr>
                    <w:t>接管限值</w:t>
                  </w:r>
                  <w:r>
                    <w:rPr>
                      <w:rFonts w:hint="default" w:ascii="Times New Roman" w:hAnsi="Times New Roman" w:cs="Times New Roman"/>
                      <w:caps w:val="0"/>
                      <w:smallCaps w:val="0"/>
                      <w:color w:val="auto"/>
                      <w:spacing w:val="0"/>
                      <w:w w:val="100"/>
                      <w:position w:val="0"/>
                      <w:sz w:val="21"/>
                      <w:szCs w:val="21"/>
                      <w:lang w:val="en-US" w:eastAsia="zh-CN"/>
                    </w:rPr>
                    <w:t>及</w:t>
                  </w:r>
                  <w:r>
                    <w:rPr>
                      <w:rFonts w:hint="default" w:ascii="Times New Roman" w:hAnsi="Times New Roman" w:eastAsia="宋体" w:cs="Times New Roman"/>
                      <w:caps w:val="0"/>
                      <w:smallCaps w:val="0"/>
                      <w:color w:val="auto"/>
                      <w:spacing w:val="0"/>
                      <w:w w:val="100"/>
                      <w:position w:val="0"/>
                      <w:sz w:val="21"/>
                      <w:szCs w:val="21"/>
                      <w:lang w:val="en-US" w:eastAsia="zh-CN"/>
                    </w:rPr>
                    <w:t>《污水综合排放标准》（GB8978-1996）表4中三级标准。</w:t>
                  </w:r>
                </w:p>
              </w:tc>
              <w:tc>
                <w:tcPr>
                  <w:tcW w:w="1195" w:type="dxa"/>
                  <w:tcBorders>
                    <w:tl2br w:val="nil"/>
                    <w:tr2bl w:val="nil"/>
                  </w:tcBorders>
                  <w:vAlign w:val="center"/>
                </w:tcPr>
                <w:p w14:paraId="3E6EF33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r w14:paraId="55E31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925" w:type="dxa"/>
                  <w:vMerge w:val="continue"/>
                  <w:tcBorders>
                    <w:tl2br w:val="nil"/>
                    <w:tr2bl w:val="nil"/>
                  </w:tcBorders>
                  <w:vAlign w:val="center"/>
                </w:tcPr>
                <w:p w14:paraId="186839C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5AA2FFE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噪音污染控制</w:t>
                  </w:r>
                </w:p>
                <w:p w14:paraId="4176DEA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6.3.1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废弃光伏组件处理企业产生噪音的主要设备，如：拆框机、破碎机、分选机等应采取基础减震和消音或隔音措施。</w:t>
                  </w:r>
                </w:p>
                <w:p w14:paraId="2B6D641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6.3.2 厂界噪声应符合GB12348的要求。</w:t>
                  </w:r>
                </w:p>
              </w:tc>
              <w:tc>
                <w:tcPr>
                  <w:tcW w:w="3719" w:type="dxa"/>
                  <w:tcBorders>
                    <w:tl2br w:val="nil"/>
                    <w:tr2bl w:val="nil"/>
                  </w:tcBorders>
                  <w:vAlign w:val="center"/>
                </w:tcPr>
                <w:p w14:paraId="2BDFCEB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本项目生产设备采取减振隔声的措施，厂界噪声满足</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《工业企业厂界环境噪声排放标准》</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GB12348—2008</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中的</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3类</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标准</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p>
              </w:tc>
              <w:tc>
                <w:tcPr>
                  <w:tcW w:w="1195" w:type="dxa"/>
                  <w:tcBorders>
                    <w:tl2br w:val="nil"/>
                    <w:tr2bl w:val="nil"/>
                  </w:tcBorders>
                  <w:vAlign w:val="center"/>
                </w:tcPr>
                <w:p w14:paraId="56E9B88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符合</w:t>
                  </w:r>
                </w:p>
              </w:tc>
            </w:tr>
            <w:tr w14:paraId="5A86C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2" w:hRule="atLeast"/>
                <w:jc w:val="center"/>
              </w:trPr>
              <w:tc>
                <w:tcPr>
                  <w:tcW w:w="925" w:type="dxa"/>
                  <w:vMerge w:val="continue"/>
                  <w:tcBorders>
                    <w:tl2br w:val="nil"/>
                    <w:tr2bl w:val="nil"/>
                  </w:tcBorders>
                  <w:vAlign w:val="center"/>
                </w:tcPr>
                <w:p w14:paraId="6F51083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63E0573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固体废物污染控制</w:t>
                  </w:r>
                </w:p>
                <w:p w14:paraId="6699A2F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6.4.1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废弃光伏组件处理企业应按照GB18597和GB18599-2020设置危险固废储存区和一般工业固废储存区等。</w:t>
                  </w:r>
                </w:p>
                <w:p w14:paraId="034A2B1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6.4.2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废弃光伏组件处理企业产生的混合废渣、焦油、炭黑、粉尘、化剂等应按照其固体废物属性处置。不能自行处置的，应交由有相关资质和处理能力的企业进行处置。</w:t>
                  </w:r>
                </w:p>
                <w:p w14:paraId="3D7DE77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6.4.3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回收利用后产生的废物进入一般工业固体废物填埋场进行处置时，应满足GB18599-2020的入场要求。</w:t>
                  </w:r>
                </w:p>
              </w:tc>
              <w:tc>
                <w:tcPr>
                  <w:tcW w:w="3719" w:type="dxa"/>
                  <w:tcBorders>
                    <w:tl2br w:val="nil"/>
                    <w:tr2bl w:val="nil"/>
                  </w:tcBorders>
                  <w:vAlign w:val="center"/>
                </w:tcPr>
                <w:p w14:paraId="3E4F86F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right="0"/>
                    <w:jc w:val="left"/>
                    <w:textAlignment w:val="baseline"/>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按照GB18597和GB18599-2020规定设置有危废库和一般固废库。</w:t>
                  </w:r>
                </w:p>
                <w:p w14:paraId="24C45A3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right="0"/>
                    <w:jc w:val="left"/>
                    <w:textAlignment w:val="baseline"/>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2）建设项目产生的固体废物均得到合理处置。</w:t>
                  </w:r>
                </w:p>
              </w:tc>
              <w:tc>
                <w:tcPr>
                  <w:tcW w:w="1195" w:type="dxa"/>
                  <w:tcBorders>
                    <w:tl2br w:val="nil"/>
                    <w:tr2bl w:val="nil"/>
                  </w:tcBorders>
                  <w:vAlign w:val="center"/>
                </w:tcPr>
                <w:p w14:paraId="76DB7BC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r w14:paraId="59ED9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0" w:hRule="atLeast"/>
                <w:jc w:val="center"/>
              </w:trPr>
              <w:tc>
                <w:tcPr>
                  <w:tcW w:w="925" w:type="dxa"/>
                  <w:vMerge w:val="continue"/>
                  <w:tcBorders>
                    <w:tl2br w:val="nil"/>
                    <w:tr2bl w:val="nil"/>
                  </w:tcBorders>
                  <w:vAlign w:val="center"/>
                </w:tcPr>
                <w:p w14:paraId="668E05F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Times New Roman" w:cs="Times New Roman"/>
                      <w:b w:val="0"/>
                      <w:bCs w:val="0"/>
                      <w:color w:val="000000" w:themeColor="text1"/>
                      <w:spacing w:val="0"/>
                      <w:w w:val="100"/>
                      <w:sz w:val="21"/>
                      <w:szCs w:val="21"/>
                      <w14:textFill>
                        <w14:solidFill>
                          <w14:schemeClr w14:val="tx1"/>
                        </w14:solidFill>
                      </w14:textFill>
                    </w:rPr>
                  </w:pPr>
                </w:p>
              </w:tc>
              <w:tc>
                <w:tcPr>
                  <w:tcW w:w="6679" w:type="dxa"/>
                  <w:tcBorders>
                    <w:tl2br w:val="nil"/>
                    <w:tr2bl w:val="nil"/>
                  </w:tcBorders>
                  <w:vAlign w:val="center"/>
                </w:tcPr>
                <w:p w14:paraId="0F2E55A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6.5</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环境监测要求</w:t>
                  </w:r>
                </w:p>
                <w:p w14:paraId="2067AB9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6.5.1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废弃光伏组件处理企业应根据HJ819中监测指标、监测频次等要求编制自行监测方案，并开展自行监测。</w:t>
                  </w:r>
                </w:p>
                <w:p w14:paraId="7A6C997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6.5.2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根据自行监测方案对场址和设施周边的大气、地表水、地下水和土壤开展自行监测，确保废弃光伏组件回收处置利用过程不对周边环境造成二次污染。</w:t>
                  </w:r>
                </w:p>
                <w:p w14:paraId="7C7D7B4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6.5.3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废弃光伏组件处理企业主要污染物排放监测应符合HJ1034的相关要求。废弃光伏组件处理过程主要污染物排放监测要求见附录A。</w:t>
                  </w:r>
                </w:p>
                <w:p w14:paraId="02E7E70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default" w:ascii="Times New Roman" w:hAnsi="Times New Roman" w:eastAsia="Times New Roman" w:cs="Times New Roman"/>
                      <w:color w:val="000000" w:themeColor="text1"/>
                      <w:spacing w:val="0"/>
                      <w:w w:val="100"/>
                      <w:sz w:val="21"/>
                      <w:szCs w:val="21"/>
                      <w14:textFill>
                        <w14:solidFill>
                          <w14:schemeClr w14:val="tx1"/>
                        </w14:solidFill>
                      </w14:textFill>
                    </w:rPr>
                  </w:pP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6.5.4</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pacing w:val="0"/>
                      <w:w w:val="100"/>
                      <w:sz w:val="21"/>
                      <w:szCs w:val="21"/>
                      <w14:textFill>
                        <w14:solidFill>
                          <w14:schemeClr w14:val="tx1"/>
                        </w14:solidFill>
                      </w14:textFill>
                    </w:rPr>
                    <w:t>应定期对废弃光伏组件的材料回收效果和污染物排放情况进行监测和评估，必要时应采取改进措施。</w:t>
                  </w:r>
                </w:p>
              </w:tc>
              <w:tc>
                <w:tcPr>
                  <w:tcW w:w="3719" w:type="dxa"/>
                  <w:tcBorders>
                    <w:tl2br w:val="nil"/>
                    <w:tr2bl w:val="nil"/>
                  </w:tcBorders>
                  <w:vAlign w:val="center"/>
                </w:tcPr>
                <w:p w14:paraId="28392EE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本项目结合</w:t>
                  </w:r>
                  <w:r>
                    <w:rPr>
                      <w:rFonts w:hint="default" w:ascii="Times New Roman" w:hAnsi="Times New Roman" w:eastAsia="宋体" w:cs="Times New Roman"/>
                      <w:b w:val="0"/>
                      <w:bCs w:val="0"/>
                      <w:color w:val="000000" w:themeColor="text1"/>
                      <w:spacing w:val="0"/>
                      <w:kern w:val="0"/>
                      <w:sz w:val="21"/>
                      <w:szCs w:val="21"/>
                      <w:lang w:val="en-US" w:eastAsia="zh-CN"/>
                      <w14:textFill>
                        <w14:solidFill>
                          <w14:schemeClr w14:val="tx1"/>
                        </w14:solidFill>
                      </w14:textFill>
                    </w:rPr>
                    <w:t>《排污单位自行监测技术指南 总则》</w:t>
                  </w:r>
                  <w:r>
                    <w:rPr>
                      <w:rFonts w:hint="eastAsia" w:ascii="Times New Roman" w:hAnsi="Times New Roman" w:cs="Times New Roman"/>
                      <w:b w:val="0"/>
                      <w:bCs w:val="0"/>
                      <w:color w:val="000000" w:themeColor="text1"/>
                      <w:spacing w:val="0"/>
                      <w:kern w:val="0"/>
                      <w:sz w:val="21"/>
                      <w:szCs w:val="21"/>
                      <w:lang w:val="en-US" w:eastAsia="zh-CN"/>
                      <w14:textFill>
                        <w14:solidFill>
                          <w14:schemeClr w14:val="tx1"/>
                        </w14:solidFill>
                      </w14:textFill>
                    </w:rPr>
                    <w:t>（</w:t>
                  </w:r>
                  <w:r>
                    <w:rPr>
                      <w:rFonts w:hint="default" w:ascii="Times New Roman" w:hAnsi="Times New Roman" w:eastAsia="宋体" w:cs="Times New Roman"/>
                      <w:b w:val="0"/>
                      <w:bCs w:val="0"/>
                      <w:color w:val="000000" w:themeColor="text1"/>
                      <w:spacing w:val="0"/>
                      <w:kern w:val="0"/>
                      <w:sz w:val="21"/>
                      <w:szCs w:val="21"/>
                      <w:lang w:val="en-US" w:eastAsia="zh-CN"/>
                      <w14:textFill>
                        <w14:solidFill>
                          <w14:schemeClr w14:val="tx1"/>
                        </w14:solidFill>
                      </w14:textFill>
                    </w:rPr>
                    <w:t>HJ819-2017）、《排污许可证申请与核发技术规</w:t>
                  </w:r>
                  <w:r>
                    <w:rPr>
                      <w:rFonts w:hint="default" w:ascii="Times New Roman" w:hAnsi="Times New Roman" w:eastAsia="宋体" w:cs="Times New Roman"/>
                      <w:color w:val="000000" w:themeColor="text1"/>
                      <w:spacing w:val="0"/>
                      <w:sz w:val="21"/>
                      <w:szCs w:val="21"/>
                      <w14:textFill>
                        <w14:solidFill>
                          <w14:schemeClr w14:val="tx1"/>
                        </w14:solidFill>
                      </w14:textFill>
                    </w:rPr>
                    <w:t>范</w:t>
                  </w:r>
                  <w:r>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t xml:space="preserve"> 工业噪声</w:t>
                  </w:r>
                  <w:r>
                    <w:rPr>
                      <w:rFonts w:hint="default" w:ascii="Times New Roman" w:hAnsi="Times New Roman" w:eastAsia="宋体" w:cs="Times New Roman"/>
                      <w:color w:val="000000" w:themeColor="text1"/>
                      <w:spacing w:val="0"/>
                      <w:sz w:val="21"/>
                      <w:szCs w:val="21"/>
                      <w:lang w:eastAsia="zh-CN"/>
                      <w14:textFill>
                        <w14:solidFill>
                          <w14:schemeClr w14:val="tx1"/>
                        </w14:solidFill>
                      </w14:textFill>
                    </w:rPr>
                    <w:t>》</w:t>
                  </w:r>
                  <w:r>
                    <w:rPr>
                      <w:rFonts w:hint="eastAsia" w:ascii="Times New Roman" w:hAnsi="Times New Roman"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t>HJ1301-2023</w:t>
                  </w:r>
                  <w:r>
                    <w:rPr>
                      <w:rFonts w:hint="default" w:ascii="Times New Roman" w:hAnsi="Times New Roman" w:eastAsia="宋体" w:cs="Times New Roman"/>
                      <w:color w:val="000000" w:themeColor="text1"/>
                      <w:spacing w:val="0"/>
                      <w:sz w:val="21"/>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b w:val="0"/>
                      <w:bCs w:val="0"/>
                      <w:color w:val="000000" w:themeColor="text1"/>
                      <w:spacing w:val="0"/>
                      <w:kern w:val="0"/>
                      <w:sz w:val="21"/>
                      <w:szCs w:val="21"/>
                      <w:lang w:val="en-US" w:eastAsia="zh-CN"/>
                      <w14:textFill>
                        <w14:solidFill>
                          <w14:schemeClr w14:val="tx1"/>
                        </w14:solidFill>
                      </w14:textFill>
                    </w:rPr>
                    <w:t>《排污许可证申请与核发技术规</w:t>
                  </w:r>
                  <w:r>
                    <w:rPr>
                      <w:rFonts w:hint="default" w:ascii="Times New Roman" w:hAnsi="Times New Roman" w:eastAsia="宋体" w:cs="Times New Roman"/>
                      <w:color w:val="000000" w:themeColor="text1"/>
                      <w:spacing w:val="0"/>
                      <w:sz w:val="21"/>
                      <w:szCs w:val="21"/>
                      <w14:textFill>
                        <w14:solidFill>
                          <w14:schemeClr w14:val="tx1"/>
                        </w14:solidFill>
                      </w14:textFill>
                    </w:rPr>
                    <w:t>范</w:t>
                  </w:r>
                  <w:r>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废弃资源加工工业》</w:t>
                  </w:r>
                  <w:r>
                    <w:rPr>
                      <w:rFonts w:hint="eastAsia" w:ascii="Times New Roman" w:hAnsi="Times New Roman" w:cs="Times New Roman"/>
                      <w:color w:val="000000" w:themeColor="text1"/>
                      <w:spacing w:val="0"/>
                      <w:sz w:val="21"/>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HJ1034-2019）</w:t>
                  </w:r>
                  <w:r>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t>等要求，制定监测计划。</w:t>
                  </w:r>
                </w:p>
              </w:tc>
              <w:tc>
                <w:tcPr>
                  <w:tcW w:w="1195" w:type="dxa"/>
                  <w:tcBorders>
                    <w:tl2br w:val="nil"/>
                    <w:tr2bl w:val="nil"/>
                  </w:tcBorders>
                  <w:vAlign w:val="center"/>
                </w:tcPr>
                <w:p w14:paraId="5F9E142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符合</w:t>
                  </w:r>
                </w:p>
              </w:tc>
            </w:tr>
          </w:tbl>
          <w:p w14:paraId="113998D0">
            <w:pPr>
              <w:spacing w:line="460" w:lineRule="exact"/>
              <w:jc w:val="both"/>
              <w:rPr>
                <w:rFonts w:hint="default" w:ascii="Times New Roman" w:hAnsi="Times New Roman" w:eastAsia="宋体" w:cs="Times New Roman"/>
                <w:b/>
                <w:color w:val="000000" w:themeColor="text1"/>
                <w:spacing w:val="0"/>
                <w:w w:val="100"/>
                <w:position w:val="0"/>
                <w:sz w:val="24"/>
                <w:lang w:val="en-US" w:eastAsia="zh-CN"/>
                <w14:textFill>
                  <w14:solidFill>
                    <w14:schemeClr w14:val="tx1"/>
                  </w14:solidFill>
                </w14:textFill>
              </w:rPr>
            </w:pPr>
            <w:r>
              <w:rPr>
                <w:rFonts w:hint="eastAsia"/>
                <w:b/>
                <w:color w:val="000000" w:themeColor="text1"/>
                <w:spacing w:val="0"/>
                <w:w w:val="100"/>
                <w:position w:val="0"/>
                <w:sz w:val="24"/>
                <w:lang w:val="en-US" w:eastAsia="zh-CN"/>
                <w14:textFill>
                  <w14:solidFill>
                    <w14:schemeClr w14:val="tx1"/>
                  </w14:solidFill>
                </w14:textFill>
              </w:rPr>
              <w:t>10</w:t>
            </w:r>
            <w:r>
              <w:rPr>
                <w:rFonts w:hint="eastAsia" w:eastAsia="宋体"/>
                <w:b/>
                <w:color w:val="000000" w:themeColor="text1"/>
                <w:spacing w:val="0"/>
                <w:w w:val="100"/>
                <w:position w:val="0"/>
                <w:sz w:val="24"/>
                <w:lang w:val="en-US" w:eastAsia="zh-CN"/>
                <w14:textFill>
                  <w14:solidFill>
                    <w14:schemeClr w14:val="tx1"/>
                  </w14:solidFill>
                </w14:textFill>
              </w:rPr>
              <w:t>、与</w:t>
            </w:r>
            <w:r>
              <w:rPr>
                <w:rFonts w:hint="eastAsia" w:ascii="Times New Roman" w:hAnsi="Times New Roman" w:eastAsia="宋体" w:cs="Times New Roman"/>
                <w:b/>
                <w:color w:val="000000" w:themeColor="text1"/>
                <w:spacing w:val="0"/>
                <w:w w:val="100"/>
                <w:position w:val="0"/>
                <w:sz w:val="24"/>
                <w:lang w:val="en-US" w:eastAsia="zh-CN"/>
                <w14:textFill>
                  <w14:solidFill>
                    <w14:schemeClr w14:val="tx1"/>
                  </w14:solidFill>
                </w14:textFill>
              </w:rPr>
              <w:t>《空气质量持续改善行动计划》</w:t>
            </w:r>
            <w:r>
              <w:rPr>
                <w:rFonts w:hint="eastAsia" w:cs="Times New Roman"/>
                <w:b/>
                <w:color w:val="000000" w:themeColor="text1"/>
                <w:spacing w:val="0"/>
                <w:w w:val="100"/>
                <w:position w:val="0"/>
                <w:sz w:val="24"/>
                <w:lang w:val="en-US" w:eastAsia="zh-CN"/>
                <w14:textFill>
                  <w14:solidFill>
                    <w14:schemeClr w14:val="tx1"/>
                  </w14:solidFill>
                </w14:textFill>
              </w:rPr>
              <w:t>（</w:t>
            </w:r>
            <w:r>
              <w:rPr>
                <w:rFonts w:hint="eastAsia" w:ascii="Times New Roman" w:hAnsi="Times New Roman" w:eastAsia="宋体" w:cs="Times New Roman"/>
                <w:b/>
                <w:color w:val="000000" w:themeColor="text1"/>
                <w:spacing w:val="0"/>
                <w:w w:val="100"/>
                <w:position w:val="0"/>
                <w:sz w:val="24"/>
                <w:lang w:val="en-US" w:eastAsia="zh-CN"/>
                <w14:textFill>
                  <w14:solidFill>
                    <w14:schemeClr w14:val="tx1"/>
                  </w14:solidFill>
                </w14:textFill>
              </w:rPr>
              <w:t>国发</w:t>
            </w:r>
            <w:r>
              <w:rPr>
                <w:rFonts w:hint="eastAsia" w:ascii="宋体" w:hAnsi="宋体" w:eastAsia="宋体" w:cs="宋体"/>
                <w:b/>
                <w:color w:val="000000" w:themeColor="text1"/>
                <w:spacing w:val="0"/>
                <w:w w:val="100"/>
                <w:position w:val="0"/>
                <w:sz w:val="24"/>
                <w:lang w:val="en-US" w:eastAsia="zh-CN"/>
                <w14:textFill>
                  <w14:solidFill>
                    <w14:schemeClr w14:val="tx1"/>
                  </w14:solidFill>
                </w14:textFill>
              </w:rPr>
              <w:t>〔</w:t>
            </w:r>
            <w:r>
              <w:rPr>
                <w:rFonts w:hint="eastAsia" w:ascii="Times New Roman" w:hAnsi="Times New Roman" w:eastAsia="宋体" w:cs="Times New Roman"/>
                <w:b/>
                <w:color w:val="000000" w:themeColor="text1"/>
                <w:spacing w:val="0"/>
                <w:w w:val="100"/>
                <w:position w:val="0"/>
                <w:sz w:val="24"/>
                <w:lang w:val="en-US" w:eastAsia="zh-CN"/>
                <w14:textFill>
                  <w14:solidFill>
                    <w14:schemeClr w14:val="tx1"/>
                  </w14:solidFill>
                </w14:textFill>
              </w:rPr>
              <w:t>2023</w:t>
            </w:r>
            <w:r>
              <w:rPr>
                <w:rFonts w:hint="eastAsia" w:ascii="仿宋" w:hAnsi="仿宋" w:eastAsia="仿宋" w:cs="仿宋"/>
                <w:b/>
                <w:color w:val="000000" w:themeColor="text1"/>
                <w:spacing w:val="0"/>
                <w:w w:val="100"/>
                <w:position w:val="0"/>
                <w:sz w:val="24"/>
                <w:lang w:val="en-US" w:eastAsia="zh-CN"/>
                <w14:textFill>
                  <w14:solidFill>
                    <w14:schemeClr w14:val="tx1"/>
                  </w14:solidFill>
                </w14:textFill>
              </w:rPr>
              <w:t>〕</w:t>
            </w:r>
            <w:r>
              <w:rPr>
                <w:rFonts w:hint="eastAsia" w:ascii="Times New Roman" w:hAnsi="Times New Roman" w:eastAsia="宋体" w:cs="Times New Roman"/>
                <w:b/>
                <w:color w:val="000000" w:themeColor="text1"/>
                <w:spacing w:val="0"/>
                <w:w w:val="100"/>
                <w:position w:val="0"/>
                <w:sz w:val="24"/>
                <w:lang w:val="en-US" w:eastAsia="zh-CN"/>
                <w14:textFill>
                  <w14:solidFill>
                    <w14:schemeClr w14:val="tx1"/>
                  </w14:solidFill>
                </w14:textFill>
              </w:rPr>
              <w:t>24号）、《安徽省空气质量持续改善行动方案》</w:t>
            </w:r>
            <w:r>
              <w:rPr>
                <w:rFonts w:hint="eastAsia" w:cs="Times New Roman"/>
                <w:b/>
                <w:color w:val="000000" w:themeColor="text1"/>
                <w:spacing w:val="0"/>
                <w:w w:val="100"/>
                <w:position w:val="0"/>
                <w:sz w:val="24"/>
                <w:lang w:val="en-US" w:eastAsia="zh-CN"/>
                <w14:textFill>
                  <w14:solidFill>
                    <w14:schemeClr w14:val="tx1"/>
                  </w14:solidFill>
                </w14:textFill>
              </w:rPr>
              <w:t>（</w:t>
            </w:r>
            <w:r>
              <w:rPr>
                <w:rFonts w:hint="eastAsia" w:ascii="Times New Roman" w:hAnsi="Times New Roman" w:eastAsia="宋体" w:cs="Times New Roman"/>
                <w:b/>
                <w:color w:val="000000" w:themeColor="text1"/>
                <w:spacing w:val="0"/>
                <w:w w:val="100"/>
                <w:position w:val="0"/>
                <w:sz w:val="24"/>
                <w:lang w:val="en-US" w:eastAsia="zh-CN"/>
                <w14:textFill>
                  <w14:solidFill>
                    <w14:schemeClr w14:val="tx1"/>
                  </w14:solidFill>
                </w14:textFill>
              </w:rPr>
              <w:t>皖政</w:t>
            </w:r>
            <w:r>
              <w:rPr>
                <w:rFonts w:hint="eastAsia" w:cs="Times New Roman"/>
                <w:b/>
                <w:color w:val="000000" w:themeColor="text1"/>
                <w:spacing w:val="0"/>
                <w:w w:val="100"/>
                <w:position w:val="0"/>
                <w:sz w:val="24"/>
                <w:lang w:val="en-US" w:eastAsia="zh-CN"/>
                <w14:textFill>
                  <w14:solidFill>
                    <w14:schemeClr w14:val="tx1"/>
                  </w14:solidFill>
                </w14:textFill>
              </w:rPr>
              <w:t>〔</w:t>
            </w:r>
            <w:r>
              <w:rPr>
                <w:rFonts w:hint="eastAsia" w:ascii="Times New Roman" w:hAnsi="Times New Roman" w:eastAsia="宋体" w:cs="Times New Roman"/>
                <w:b/>
                <w:color w:val="000000" w:themeColor="text1"/>
                <w:spacing w:val="0"/>
                <w:w w:val="100"/>
                <w:position w:val="0"/>
                <w:sz w:val="24"/>
                <w:lang w:val="en-US" w:eastAsia="zh-CN"/>
                <w14:textFill>
                  <w14:solidFill>
                    <w14:schemeClr w14:val="tx1"/>
                  </w14:solidFill>
                </w14:textFill>
              </w:rPr>
              <w:t>2024</w:t>
            </w:r>
            <w:r>
              <w:rPr>
                <w:rFonts w:hint="eastAsia" w:cs="Times New Roman"/>
                <w:b/>
                <w:color w:val="000000" w:themeColor="text1"/>
                <w:spacing w:val="0"/>
                <w:w w:val="100"/>
                <w:position w:val="0"/>
                <w:sz w:val="24"/>
                <w:lang w:val="en-US" w:eastAsia="zh-CN"/>
                <w14:textFill>
                  <w14:solidFill>
                    <w14:schemeClr w14:val="tx1"/>
                  </w14:solidFill>
                </w14:textFill>
              </w:rPr>
              <w:t>〕</w:t>
            </w:r>
            <w:r>
              <w:rPr>
                <w:rFonts w:hint="eastAsia" w:ascii="Times New Roman" w:hAnsi="Times New Roman" w:eastAsia="宋体" w:cs="Times New Roman"/>
                <w:b/>
                <w:color w:val="000000" w:themeColor="text1"/>
                <w:spacing w:val="0"/>
                <w:w w:val="100"/>
                <w:position w:val="0"/>
                <w:sz w:val="24"/>
                <w:lang w:val="en-US" w:eastAsia="zh-CN"/>
                <w14:textFill>
                  <w14:solidFill>
                    <w14:schemeClr w14:val="tx1"/>
                  </w14:solidFill>
                </w14:textFill>
              </w:rPr>
              <w:t>36号）符合性分析</w:t>
            </w:r>
          </w:p>
          <w:p w14:paraId="5B1C4D17">
            <w:pPr>
              <w:keepNext w:val="0"/>
              <w:keepLines w:val="0"/>
              <w:pageBreakBefore w:val="0"/>
              <w:widowControl/>
              <w:suppressLineNumbers w:val="0"/>
              <w:kinsoku/>
              <w:wordWrap/>
              <w:overflowPunct/>
              <w:topLinePunct w:val="0"/>
              <w:autoSpaceDE/>
              <w:autoSpaceDN/>
              <w:bidi w:val="0"/>
              <w:adjustRightInd/>
              <w:snapToGrid/>
              <w:spacing w:line="480" w:lineRule="atLeast"/>
              <w:ind w:firstLine="0" w:firstLineChars="0"/>
              <w:jc w:val="center"/>
              <w:textAlignment w:val="auto"/>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pPr>
            <w:r>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t>表1-</w:t>
            </w:r>
            <w:r>
              <w:rPr>
                <w:rFonts w:hint="eastAsia" w:cs="Times New Roman"/>
                <w:b/>
                <w:bCs/>
                <w:color w:val="000000" w:themeColor="text1"/>
                <w:spacing w:val="0"/>
                <w:w w:val="100"/>
                <w:kern w:val="2"/>
                <w:sz w:val="21"/>
                <w:szCs w:val="21"/>
                <w:lang w:val="en-US" w:eastAsia="zh-CN" w:bidi="ar-SA"/>
                <w14:textFill>
                  <w14:solidFill>
                    <w14:schemeClr w14:val="tx1"/>
                  </w14:solidFill>
                </w14:textFill>
              </w:rPr>
              <w:t>12</w:t>
            </w:r>
            <w:r>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t xml:space="preserve">  项目与国发</w:t>
            </w:r>
            <w:r>
              <w:rPr>
                <w:rFonts w:hint="eastAsia" w:cs="Times New Roman"/>
                <w:b/>
                <w:bCs/>
                <w:color w:val="000000" w:themeColor="text1"/>
                <w:spacing w:val="0"/>
                <w:w w:val="100"/>
                <w:kern w:val="2"/>
                <w:sz w:val="21"/>
                <w:szCs w:val="21"/>
                <w:lang w:val="en-US" w:eastAsia="zh-CN" w:bidi="ar-SA"/>
                <w14:textFill>
                  <w14:solidFill>
                    <w14:schemeClr w14:val="tx1"/>
                  </w14:solidFill>
                </w14:textFill>
              </w:rPr>
              <w:t>〔</w:t>
            </w:r>
            <w:r>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t>2023</w:t>
            </w:r>
            <w:r>
              <w:rPr>
                <w:rFonts w:hint="eastAsia" w:cs="Times New Roman"/>
                <w:b/>
                <w:bCs/>
                <w:color w:val="000000" w:themeColor="text1"/>
                <w:spacing w:val="0"/>
                <w:w w:val="100"/>
                <w:kern w:val="2"/>
                <w:sz w:val="21"/>
                <w:szCs w:val="21"/>
                <w:lang w:val="en-US" w:eastAsia="zh-CN" w:bidi="ar-SA"/>
                <w14:textFill>
                  <w14:solidFill>
                    <w14:schemeClr w14:val="tx1"/>
                  </w14:solidFill>
                </w14:textFill>
              </w:rPr>
              <w:t>〕</w:t>
            </w:r>
            <w:r>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t>24号、皖政</w:t>
            </w:r>
            <w:r>
              <w:rPr>
                <w:rFonts w:hint="eastAsia" w:cs="Times New Roman"/>
                <w:b/>
                <w:bCs/>
                <w:color w:val="000000" w:themeColor="text1"/>
                <w:spacing w:val="0"/>
                <w:w w:val="100"/>
                <w:kern w:val="2"/>
                <w:sz w:val="21"/>
                <w:szCs w:val="21"/>
                <w:lang w:val="en-US" w:eastAsia="zh-CN" w:bidi="ar-SA"/>
                <w14:textFill>
                  <w14:solidFill>
                    <w14:schemeClr w14:val="tx1"/>
                  </w14:solidFill>
                </w14:textFill>
              </w:rPr>
              <w:t>〔</w:t>
            </w:r>
            <w:r>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t>2024</w:t>
            </w:r>
            <w:r>
              <w:rPr>
                <w:rFonts w:hint="eastAsia" w:cs="Times New Roman"/>
                <w:b/>
                <w:bCs/>
                <w:color w:val="000000" w:themeColor="text1"/>
                <w:spacing w:val="0"/>
                <w:w w:val="100"/>
                <w:kern w:val="2"/>
                <w:sz w:val="21"/>
                <w:szCs w:val="21"/>
                <w:lang w:val="en-US" w:eastAsia="zh-CN" w:bidi="ar-SA"/>
                <w14:textFill>
                  <w14:solidFill>
                    <w14:schemeClr w14:val="tx1"/>
                  </w14:solidFill>
                </w14:textFill>
              </w:rPr>
              <w:t>〕</w:t>
            </w:r>
            <w:r>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t>36号符合性分析</w:t>
            </w:r>
          </w:p>
          <w:tbl>
            <w:tblPr>
              <w:tblStyle w:val="26"/>
              <w:tblW w:w="49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49"/>
              <w:gridCol w:w="4368"/>
              <w:gridCol w:w="2296"/>
              <w:gridCol w:w="841"/>
            </w:tblGrid>
            <w:tr w14:paraId="1D284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jc w:val="center"/>
              </w:trPr>
              <w:tc>
                <w:tcPr>
                  <w:tcW w:w="3740" w:type="pct"/>
                  <w:gridSpan w:val="2"/>
                  <w:noWrap w:val="0"/>
                  <w:vAlign w:val="center"/>
                </w:tcPr>
                <w:p w14:paraId="18F657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aps w:val="0"/>
                      <w:smallCaps w:val="0"/>
                      <w:color w:val="auto"/>
                      <w:spacing w:val="0"/>
                      <w:position w:val="0"/>
                      <w:sz w:val="21"/>
                      <w:szCs w:val="21"/>
                    </w:rPr>
                  </w:pPr>
                  <w:r>
                    <w:rPr>
                      <w:b/>
                      <w:bCs/>
                      <w:caps w:val="0"/>
                      <w:smallCaps w:val="0"/>
                      <w:color w:val="auto"/>
                      <w:spacing w:val="0"/>
                      <w:position w:val="0"/>
                      <w:sz w:val="21"/>
                      <w:szCs w:val="21"/>
                    </w:rPr>
                    <w:t>文件要求</w:t>
                  </w:r>
                </w:p>
              </w:tc>
              <w:tc>
                <w:tcPr>
                  <w:tcW w:w="921" w:type="pct"/>
                  <w:vMerge w:val="restart"/>
                  <w:noWrap w:val="0"/>
                  <w:vAlign w:val="center"/>
                </w:tcPr>
                <w:p w14:paraId="28C45832">
                  <w:pPr>
                    <w:spacing w:line="240" w:lineRule="auto"/>
                    <w:ind w:firstLine="0" w:firstLineChars="0"/>
                    <w:jc w:val="center"/>
                    <w:rPr>
                      <w:b/>
                      <w:bCs/>
                      <w:caps w:val="0"/>
                      <w:smallCaps w:val="0"/>
                      <w:color w:val="auto"/>
                      <w:spacing w:val="0"/>
                      <w:position w:val="0"/>
                      <w:sz w:val="21"/>
                      <w:szCs w:val="21"/>
                    </w:rPr>
                  </w:pPr>
                  <w:r>
                    <w:rPr>
                      <w:b/>
                      <w:bCs/>
                      <w:caps w:val="0"/>
                      <w:smallCaps w:val="0"/>
                      <w:color w:val="auto"/>
                      <w:spacing w:val="0"/>
                      <w:position w:val="0"/>
                      <w:sz w:val="21"/>
                      <w:szCs w:val="21"/>
                    </w:rPr>
                    <w:t>本项目内容</w:t>
                  </w:r>
                </w:p>
              </w:tc>
              <w:tc>
                <w:tcPr>
                  <w:tcW w:w="337" w:type="pct"/>
                  <w:vMerge w:val="restart"/>
                  <w:noWrap w:val="0"/>
                  <w:vAlign w:val="center"/>
                </w:tcPr>
                <w:p w14:paraId="1A3D4A10">
                  <w:pPr>
                    <w:spacing w:line="240" w:lineRule="auto"/>
                    <w:ind w:firstLine="0" w:firstLineChars="0"/>
                    <w:jc w:val="center"/>
                    <w:rPr>
                      <w:b/>
                      <w:bCs/>
                      <w:caps w:val="0"/>
                      <w:smallCaps w:val="0"/>
                      <w:color w:val="auto"/>
                      <w:spacing w:val="0"/>
                      <w:position w:val="0"/>
                      <w:sz w:val="21"/>
                      <w:szCs w:val="21"/>
                    </w:rPr>
                  </w:pPr>
                  <w:r>
                    <w:rPr>
                      <w:rFonts w:hint="eastAsia"/>
                      <w:b/>
                      <w:bCs/>
                      <w:caps w:val="0"/>
                      <w:smallCaps w:val="0"/>
                      <w:color w:val="auto"/>
                      <w:spacing w:val="0"/>
                      <w:position w:val="0"/>
                      <w:sz w:val="21"/>
                      <w:szCs w:val="21"/>
                      <w:lang w:val="en-US" w:eastAsia="zh-CN"/>
                    </w:rPr>
                    <w:t>符合</w:t>
                  </w:r>
                  <w:r>
                    <w:rPr>
                      <w:b/>
                      <w:bCs/>
                      <w:caps w:val="0"/>
                      <w:smallCaps w:val="0"/>
                      <w:color w:val="auto"/>
                      <w:spacing w:val="0"/>
                      <w:position w:val="0"/>
                      <w:sz w:val="21"/>
                      <w:szCs w:val="21"/>
                    </w:rPr>
                    <w:t>性</w:t>
                  </w:r>
                </w:p>
              </w:tc>
            </w:tr>
            <w:tr w14:paraId="2C812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jc w:val="center"/>
              </w:trPr>
              <w:tc>
                <w:tcPr>
                  <w:tcW w:w="1986" w:type="pct"/>
                  <w:noWrap w:val="0"/>
                  <w:vAlign w:val="center"/>
                </w:tcPr>
                <w:p w14:paraId="5F9F7A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aps w:val="0"/>
                      <w:smallCaps w:val="0"/>
                      <w:color w:val="auto"/>
                      <w:spacing w:val="0"/>
                      <w:position w:val="0"/>
                      <w:sz w:val="21"/>
                      <w:szCs w:val="21"/>
                    </w:rPr>
                  </w:pPr>
                  <w:r>
                    <w:rPr>
                      <w:rFonts w:hint="eastAsia" w:ascii="Times New Roman" w:hAnsi="Times New Roman" w:eastAsia="宋体" w:cs="Times New Roman"/>
                      <w:b/>
                      <w:caps w:val="0"/>
                      <w:smallCaps w:val="0"/>
                      <w:color w:val="auto"/>
                      <w:spacing w:val="0"/>
                      <w:position w:val="0"/>
                      <w:sz w:val="21"/>
                      <w:szCs w:val="21"/>
                      <w:lang w:val="en-US" w:eastAsia="zh-CN"/>
                    </w:rPr>
                    <w:t>国发</w:t>
                  </w:r>
                  <w:r>
                    <w:rPr>
                      <w:rFonts w:hint="eastAsia" w:cs="Times New Roman"/>
                      <w:b/>
                      <w:caps w:val="0"/>
                      <w:smallCaps w:val="0"/>
                      <w:color w:val="auto"/>
                      <w:spacing w:val="0"/>
                      <w:position w:val="0"/>
                      <w:sz w:val="21"/>
                      <w:szCs w:val="21"/>
                      <w:lang w:val="en-US" w:eastAsia="zh-CN"/>
                    </w:rPr>
                    <w:t>〔2023〕24号</w:t>
                  </w:r>
                </w:p>
              </w:tc>
              <w:tc>
                <w:tcPr>
                  <w:tcW w:w="1753" w:type="pct"/>
                  <w:noWrap w:val="0"/>
                  <w:vAlign w:val="center"/>
                </w:tcPr>
                <w:p w14:paraId="738648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aps w:val="0"/>
                      <w:smallCaps w:val="0"/>
                      <w:color w:val="auto"/>
                      <w:spacing w:val="0"/>
                      <w:position w:val="0"/>
                      <w:sz w:val="21"/>
                      <w:szCs w:val="21"/>
                    </w:rPr>
                  </w:pPr>
                  <w:r>
                    <w:rPr>
                      <w:rFonts w:hint="eastAsia" w:ascii="Times New Roman" w:hAnsi="Times New Roman" w:eastAsia="宋体" w:cs="Times New Roman"/>
                      <w:b/>
                      <w:caps w:val="0"/>
                      <w:smallCaps w:val="0"/>
                      <w:color w:val="auto"/>
                      <w:spacing w:val="0"/>
                      <w:position w:val="0"/>
                      <w:sz w:val="21"/>
                      <w:szCs w:val="21"/>
                      <w:lang w:val="en-US" w:eastAsia="zh-CN"/>
                    </w:rPr>
                    <w:t>皖政[2024]36号</w:t>
                  </w:r>
                </w:p>
              </w:tc>
              <w:tc>
                <w:tcPr>
                  <w:tcW w:w="921" w:type="pct"/>
                  <w:vMerge w:val="continue"/>
                  <w:noWrap w:val="0"/>
                  <w:vAlign w:val="center"/>
                </w:tcPr>
                <w:p w14:paraId="107FF5ED">
                  <w:pPr>
                    <w:spacing w:line="240" w:lineRule="auto"/>
                    <w:ind w:firstLine="0" w:firstLineChars="0"/>
                    <w:jc w:val="center"/>
                    <w:rPr>
                      <w:b/>
                      <w:bCs/>
                      <w:caps w:val="0"/>
                      <w:smallCaps w:val="0"/>
                      <w:color w:val="auto"/>
                      <w:spacing w:val="0"/>
                      <w:position w:val="0"/>
                      <w:sz w:val="21"/>
                      <w:szCs w:val="21"/>
                    </w:rPr>
                  </w:pPr>
                </w:p>
              </w:tc>
              <w:tc>
                <w:tcPr>
                  <w:tcW w:w="337" w:type="pct"/>
                  <w:vMerge w:val="continue"/>
                  <w:noWrap w:val="0"/>
                  <w:vAlign w:val="center"/>
                </w:tcPr>
                <w:p w14:paraId="7EB8DA4F">
                  <w:pPr>
                    <w:spacing w:line="240" w:lineRule="auto"/>
                    <w:ind w:firstLine="0" w:firstLineChars="0"/>
                    <w:jc w:val="center"/>
                    <w:rPr>
                      <w:b/>
                      <w:bCs/>
                      <w:caps w:val="0"/>
                      <w:smallCaps w:val="0"/>
                      <w:color w:val="auto"/>
                      <w:spacing w:val="0"/>
                      <w:position w:val="0"/>
                      <w:sz w:val="21"/>
                      <w:szCs w:val="21"/>
                    </w:rPr>
                  </w:pPr>
                </w:p>
              </w:tc>
            </w:tr>
            <w:tr w14:paraId="04109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jc w:val="center"/>
              </w:trPr>
              <w:tc>
                <w:tcPr>
                  <w:tcW w:w="1986" w:type="pct"/>
                  <w:shd w:val="clear" w:color="auto" w:fill="auto"/>
                  <w:noWrap w:val="0"/>
                  <w:vAlign w:val="center"/>
                </w:tcPr>
                <w:p w14:paraId="07E83E0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二）重点区域</w:t>
                  </w:r>
                </w:p>
                <w:p w14:paraId="1AA3432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ascii="Times New Roman" w:hAnsi="Times New Roman" w:eastAsia="宋体" w:cs="Times New Roman"/>
                      <w:caps w:val="0"/>
                      <w:smallCaps w:val="0"/>
                      <w:color w:val="auto"/>
                      <w:spacing w:val="0"/>
                      <w:position w:val="0"/>
                      <w:sz w:val="21"/>
                      <w:szCs w:val="21"/>
                      <w:lang w:eastAsia="zh-CN"/>
                    </w:rPr>
                    <w:t>京津冀及周边地区。包含北京市，天津市，河北省石家庄、唐山、秦皇岛、邯郸、邢台、保定、沧州、廊坊、衡水市以及雄安新区和辛集、定州市，山东省济南、淄博、枣庄、东营、潍坊、济宁、泰安、日照、临沂、德州、聊城、滨州、菏泽市，河南省郑州、开封、洛阳、平顶山、安阳、鹤壁、新乡、焦作、濮阳、许昌、漯河、三门峡、商丘、周口市以及济源市。</w:t>
                  </w:r>
                </w:p>
                <w:p w14:paraId="4544771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ascii="Times New Roman" w:hAnsi="Times New Roman" w:eastAsia="宋体" w:cs="Times New Roman"/>
                      <w:caps w:val="0"/>
                      <w:smallCaps w:val="0"/>
                      <w:color w:val="auto"/>
                      <w:spacing w:val="0"/>
                      <w:position w:val="0"/>
                      <w:sz w:val="21"/>
                      <w:szCs w:val="21"/>
                      <w:lang w:eastAsia="zh-CN"/>
                    </w:rPr>
                    <w:t>长三角地区。包含上海市，江苏省，浙江省杭州、宁波、嘉兴、湖州、绍兴、舟山市，安徽省合肥、芜湖、蚌埠、淮南、马鞍山、淮北、滁州、阜阳、宿州、六安、亳州市。</w:t>
                  </w:r>
                </w:p>
                <w:p w14:paraId="289085A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ascii="Times New Roman" w:hAnsi="Times New Roman" w:eastAsia="宋体" w:cs="Times New Roman"/>
                      <w:caps w:val="0"/>
                      <w:smallCaps w:val="0"/>
                      <w:color w:val="auto"/>
                      <w:spacing w:val="0"/>
                      <w:position w:val="0"/>
                      <w:sz w:val="21"/>
                      <w:szCs w:val="21"/>
                      <w:lang w:eastAsia="zh-CN"/>
                    </w:rPr>
                    <w:t>汾渭平原。包含山西省太原、阳泉、长治、晋城、晋中、运城、临汾、吕梁市，陕西省西安、铜川、宝鸡、咸阳、渭南市以及杨凌农业高新技术产业示范区、韩城市。</w:t>
                  </w:r>
                </w:p>
              </w:tc>
              <w:tc>
                <w:tcPr>
                  <w:tcW w:w="1753" w:type="pct"/>
                  <w:shd w:val="clear" w:color="auto" w:fill="auto"/>
                  <w:noWrap w:val="0"/>
                  <w:vAlign w:val="center"/>
                </w:tcPr>
                <w:p w14:paraId="656664D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caps w:val="0"/>
                      <w:smallCaps w:val="0"/>
                      <w:color w:val="auto"/>
                      <w:spacing w:val="0"/>
                      <w:position w:val="0"/>
                      <w:sz w:val="21"/>
                      <w:szCs w:val="21"/>
                    </w:rPr>
                  </w:pPr>
                  <w:r>
                    <w:rPr>
                      <w:rFonts w:hint="eastAsia"/>
                      <w:caps w:val="0"/>
                      <w:smallCaps w:val="0"/>
                      <w:color w:val="auto"/>
                      <w:spacing w:val="0"/>
                      <w:position w:val="0"/>
                      <w:sz w:val="21"/>
                      <w:szCs w:val="21"/>
                      <w:lang w:eastAsia="zh-CN"/>
                    </w:rPr>
                    <w:t>（</w:t>
                  </w:r>
                  <w:r>
                    <w:rPr>
                      <w:rFonts w:hint="eastAsia"/>
                      <w:caps w:val="0"/>
                      <w:smallCaps w:val="0"/>
                      <w:color w:val="auto"/>
                      <w:spacing w:val="0"/>
                      <w:position w:val="0"/>
                      <w:sz w:val="21"/>
                      <w:szCs w:val="21"/>
                    </w:rPr>
                    <w:t>二）实施范围。</w:t>
                  </w:r>
                </w:p>
                <w:p w14:paraId="0467BF2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caps w:val="0"/>
                      <w:smallCaps w:val="0"/>
                      <w:color w:val="auto"/>
                      <w:spacing w:val="0"/>
                      <w:position w:val="0"/>
                      <w:sz w:val="21"/>
                      <w:szCs w:val="21"/>
                    </w:rPr>
                  </w:pPr>
                  <w:r>
                    <w:rPr>
                      <w:rFonts w:hint="eastAsia"/>
                      <w:caps w:val="0"/>
                      <w:smallCaps w:val="0"/>
                      <w:color w:val="auto"/>
                      <w:spacing w:val="0"/>
                      <w:position w:val="0"/>
                      <w:sz w:val="21"/>
                      <w:szCs w:val="21"/>
                    </w:rPr>
                    <w:t>1．重点区域。合肥、淮北、亳州、宿州、蚌埠、阜阳、淮南、滁州、六安、马鞍山、芜湖市。</w:t>
                  </w:r>
                </w:p>
                <w:p w14:paraId="39C4708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caps w:val="0"/>
                      <w:smallCaps w:val="0"/>
                      <w:color w:val="auto"/>
                      <w:spacing w:val="0"/>
                      <w:position w:val="0"/>
                      <w:sz w:val="21"/>
                      <w:szCs w:val="21"/>
                    </w:rPr>
                    <w:t>2．非重点区域。宣城、铜陵、池州、安庆、黄山市。</w:t>
                  </w:r>
                </w:p>
              </w:tc>
              <w:tc>
                <w:tcPr>
                  <w:tcW w:w="921" w:type="pct"/>
                  <w:shd w:val="clear" w:color="auto" w:fill="auto"/>
                  <w:noWrap w:val="0"/>
                  <w:vAlign w:val="center"/>
                </w:tcPr>
                <w:p w14:paraId="245679A2">
                  <w:pPr>
                    <w:spacing w:line="240" w:lineRule="auto"/>
                    <w:ind w:firstLine="0" w:firstLineChars="0"/>
                    <w:jc w:val="center"/>
                    <w:rPr>
                      <w:rFonts w:hint="default" w:ascii="Times New Roman" w:hAnsi="Times New Roman" w:eastAsia="宋体" w:cs="Times New Roman"/>
                      <w:caps w:val="0"/>
                      <w:smallCaps w:val="0"/>
                      <w:color w:val="auto"/>
                      <w:spacing w:val="0"/>
                      <w:kern w:val="2"/>
                      <w:position w:val="0"/>
                      <w:sz w:val="21"/>
                      <w:szCs w:val="21"/>
                      <w:lang w:val="en-US" w:eastAsia="zh-CN" w:bidi="ar-SA"/>
                    </w:rPr>
                  </w:pPr>
                  <w:r>
                    <w:rPr>
                      <w:rFonts w:hint="eastAsia"/>
                      <w:caps w:val="0"/>
                      <w:smallCaps w:val="0"/>
                      <w:color w:val="auto"/>
                      <w:spacing w:val="0"/>
                      <w:position w:val="0"/>
                      <w:sz w:val="21"/>
                      <w:szCs w:val="21"/>
                      <w:lang w:val="en-US" w:eastAsia="zh-CN"/>
                    </w:rPr>
                    <w:t>本项目位于池州，属于非重点区域。</w:t>
                  </w:r>
                </w:p>
              </w:tc>
              <w:tc>
                <w:tcPr>
                  <w:tcW w:w="337" w:type="pct"/>
                  <w:noWrap w:val="0"/>
                  <w:vAlign w:val="center"/>
                </w:tcPr>
                <w:p w14:paraId="57D2D258">
                  <w:pPr>
                    <w:spacing w:line="240" w:lineRule="auto"/>
                    <w:ind w:firstLine="0" w:firstLineChars="0"/>
                    <w:jc w:val="center"/>
                    <w:rPr>
                      <w:rFonts w:hint="eastAsia" w:eastAsia="宋体"/>
                      <w:b/>
                      <w:bCs/>
                      <w:caps w:val="0"/>
                      <w:smallCaps w:val="0"/>
                      <w:color w:val="auto"/>
                      <w:spacing w:val="0"/>
                      <w:position w:val="0"/>
                      <w:sz w:val="21"/>
                      <w:szCs w:val="21"/>
                      <w:lang w:val="en-US" w:eastAsia="zh-CN"/>
                    </w:rPr>
                  </w:pPr>
                  <w:r>
                    <w:rPr>
                      <w:rFonts w:hint="eastAsia"/>
                      <w:b/>
                      <w:bCs/>
                      <w:caps w:val="0"/>
                      <w:smallCaps w:val="0"/>
                      <w:color w:val="auto"/>
                      <w:spacing w:val="0"/>
                      <w:position w:val="0"/>
                      <w:sz w:val="21"/>
                      <w:szCs w:val="21"/>
                      <w:lang w:val="en-US" w:eastAsia="zh-CN"/>
                    </w:rPr>
                    <w:t>符合</w:t>
                  </w:r>
                </w:p>
              </w:tc>
            </w:tr>
            <w:tr w14:paraId="0A5AE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3" w:hRule="atLeast"/>
                <w:jc w:val="center"/>
              </w:trPr>
              <w:tc>
                <w:tcPr>
                  <w:tcW w:w="1986" w:type="pct"/>
                  <w:noWrap w:val="0"/>
                  <w:vAlign w:val="center"/>
                </w:tcPr>
                <w:p w14:paraId="35E5871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四）坚决遏制高耗能、高排放、低水平项目盲目上马。新改扩建项目严格落实国家产业规划、产业政策、生态环境分区管控方案、规划环评、项目环评、节能审查、产能置换、重点污染物总量控制、污染物排放区域削减、碳排放达峰目标等相关要求，原则上采用清洁运输方式。涉及产能置换的项目，被置换产能及其配套设施关停后，新建项目方可投产。</w:t>
                  </w:r>
                </w:p>
                <w:p w14:paraId="3CCA571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ascii="Times New Roman" w:hAnsi="Times New Roman" w:eastAsia="宋体" w:cs="Times New Roman"/>
                      <w:caps w:val="0"/>
                      <w:smallCaps w:val="0"/>
                      <w:color w:val="auto"/>
                      <w:spacing w:val="0"/>
                      <w:position w:val="0"/>
                      <w:sz w:val="21"/>
                      <w:szCs w:val="21"/>
                      <w:lang w:eastAsia="zh-CN"/>
                    </w:rPr>
                    <w:t>严禁新增钢铁产能。推行钢铁、焦化、烧结一体化布局，大幅减少独立焦化、烧结、球团和热轧企业及工序，淘汰落后煤炭洗选产能</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有序引导高炉—转炉长流程炼钢转型为电炉短流程炼钢。到2025年，短流程炼钢产量占比达15%。京津冀及周边地区继续实施“以钢定焦”，炼焦产能与长流程炼钢产能比控制在0.4左右。</w:t>
                  </w:r>
                </w:p>
              </w:tc>
              <w:tc>
                <w:tcPr>
                  <w:tcW w:w="1753" w:type="pct"/>
                  <w:noWrap w:val="0"/>
                  <w:vAlign w:val="center"/>
                </w:tcPr>
                <w:p w14:paraId="1B0F06BC">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三）坚决遏制高耗能、高排放、低水平项目盲目上马。新改扩建项目严格落实国家产业规划、产业政策、生态环境分区管控方案、规划环评、项目环评、节能审查、产能置换、重点污染物总量控制、污染物排放区域削减、碳排放达峰目标等相关要求，原则上采用清洁运输方式。实施“高污染、高耗能”项目部门联审，源头管控低水平项目上马。制定实施安徽省加强生态环境分区管控方案。严格落实产能置换要求，不以任何名义、任何方式核准、备案产能严重过剩行业新增产能项目，被置换产能及其配套设施关停后，新建项目方可投产。</w:t>
                  </w:r>
                </w:p>
              </w:tc>
              <w:tc>
                <w:tcPr>
                  <w:tcW w:w="921" w:type="pct"/>
                  <w:noWrap w:val="0"/>
                  <w:vAlign w:val="center"/>
                </w:tcPr>
                <w:p w14:paraId="77EB456A">
                  <w:pPr>
                    <w:spacing w:line="240" w:lineRule="auto"/>
                    <w:ind w:firstLine="0" w:firstLineChars="0"/>
                    <w:jc w:val="left"/>
                    <w:rPr>
                      <w:rFonts w:hint="eastAsia" w:eastAsia="宋体" w:cs="Times New Roman"/>
                      <w:caps w:val="0"/>
                      <w:color w:val="000000" w:themeColor="text1"/>
                      <w:spacing w:val="0"/>
                      <w:w w:val="100"/>
                      <w:kern w:val="2"/>
                      <w:position w:val="0"/>
                      <w:sz w:val="21"/>
                      <w:szCs w:val="21"/>
                      <w:lang w:val="en-US" w:eastAsia="zh-CN"/>
                      <w14:textFill>
                        <w14:solidFill>
                          <w14:schemeClr w14:val="tx1"/>
                        </w14:solidFill>
                      </w14:textFill>
                    </w:rPr>
                  </w:pPr>
                  <w:r>
                    <w:rPr>
                      <w:rFonts w:hint="eastAsia" w:cs="Times New Roman"/>
                      <w:caps w:val="0"/>
                      <w:color w:val="000000" w:themeColor="text1"/>
                      <w:spacing w:val="0"/>
                      <w:w w:val="100"/>
                      <w:kern w:val="2"/>
                      <w:position w:val="0"/>
                      <w:sz w:val="21"/>
                      <w:szCs w:val="21"/>
                      <w:lang w:val="en-US" w:eastAsia="zh-CN"/>
                      <w14:textFill>
                        <w14:solidFill>
                          <w14:schemeClr w14:val="tx1"/>
                        </w14:solidFill>
                      </w14:textFill>
                    </w:rPr>
                    <w:t>（1）项目不属于“两高”项目，符合清洁生产指标</w:t>
                  </w:r>
                  <w:r>
                    <w:rPr>
                      <w:rFonts w:hint="eastAsia" w:eastAsia="宋体" w:cs="Times New Roman"/>
                      <w:caps w:val="0"/>
                      <w:color w:val="000000" w:themeColor="text1"/>
                      <w:spacing w:val="0"/>
                      <w:w w:val="100"/>
                      <w:kern w:val="2"/>
                      <w:position w:val="0"/>
                      <w:sz w:val="21"/>
                      <w:szCs w:val="21"/>
                      <w:lang w:val="en-US" w:eastAsia="zh-CN"/>
                      <w14:textFill>
                        <w14:solidFill>
                          <w14:schemeClr w14:val="tx1"/>
                        </w14:solidFill>
                      </w14:textFill>
                    </w:rPr>
                    <w:t>。</w:t>
                  </w:r>
                </w:p>
                <w:p w14:paraId="04909E67">
                  <w:pPr>
                    <w:spacing w:line="240" w:lineRule="auto"/>
                    <w:ind w:firstLine="0" w:firstLineChars="0"/>
                    <w:jc w:val="left"/>
                    <w:rPr>
                      <w:rFonts w:hint="default" w:ascii="Times New Roman" w:hAnsi="Times New Roman" w:eastAsia="宋体" w:cs="宋体"/>
                      <w:caps w:val="0"/>
                      <w:smallCaps w:val="0"/>
                      <w:color w:val="auto"/>
                      <w:spacing w:val="0"/>
                      <w:position w:val="0"/>
                      <w:sz w:val="21"/>
                      <w:szCs w:val="21"/>
                      <w:lang w:val="en-US" w:eastAsia="zh-CN"/>
                    </w:rPr>
                  </w:pPr>
                  <w:r>
                    <w:rPr>
                      <w:rFonts w:hint="eastAsia" w:cs="Times New Roman"/>
                      <w:caps w:val="0"/>
                      <w:color w:val="000000" w:themeColor="text1"/>
                      <w:spacing w:val="0"/>
                      <w:w w:val="100"/>
                      <w:kern w:val="2"/>
                      <w:position w:val="0"/>
                      <w:sz w:val="21"/>
                      <w:szCs w:val="21"/>
                      <w:lang w:val="en-US" w:eastAsia="zh-CN"/>
                      <w14:textFill>
                        <w14:solidFill>
                          <w14:schemeClr w14:val="tx1"/>
                        </w14:solidFill>
                      </w14:textFill>
                    </w:rPr>
                    <w:t>（2）项目建设符合相关规划、政策、</w:t>
                  </w:r>
                  <w:r>
                    <w:rPr>
                      <w:rFonts w:hint="eastAsia" w:ascii="Times New Roman" w:hAnsi="Times New Roman" w:eastAsia="宋体" w:cs="Times New Roman"/>
                      <w:caps w:val="0"/>
                      <w:color w:val="000000" w:themeColor="text1"/>
                      <w:spacing w:val="0"/>
                      <w:w w:val="100"/>
                      <w:kern w:val="2"/>
                      <w:position w:val="0"/>
                      <w:sz w:val="21"/>
                      <w:szCs w:val="21"/>
                      <w:lang w:eastAsia="zh-CN"/>
                      <w14:textFill>
                        <w14:solidFill>
                          <w14:schemeClr w14:val="tx1"/>
                        </w14:solidFill>
                      </w14:textFill>
                    </w:rPr>
                    <w:t>生态环境分区管控</w:t>
                  </w:r>
                  <w:r>
                    <w:rPr>
                      <w:rFonts w:hint="eastAsia" w:cs="Times New Roman"/>
                      <w:caps w:val="0"/>
                      <w:color w:val="000000" w:themeColor="text1"/>
                      <w:spacing w:val="0"/>
                      <w:w w:val="100"/>
                      <w:kern w:val="2"/>
                      <w:position w:val="0"/>
                      <w:sz w:val="21"/>
                      <w:szCs w:val="21"/>
                      <w:lang w:val="en-US" w:eastAsia="zh-CN"/>
                      <w14:textFill>
                        <w14:solidFill>
                          <w14:schemeClr w14:val="tx1"/>
                        </w14:solidFill>
                      </w14:textFill>
                    </w:rPr>
                    <w:t>等要求。</w:t>
                  </w:r>
                </w:p>
              </w:tc>
              <w:tc>
                <w:tcPr>
                  <w:tcW w:w="337" w:type="pct"/>
                  <w:noWrap w:val="0"/>
                  <w:vAlign w:val="center"/>
                </w:tcPr>
                <w:p w14:paraId="7E9FFBE3">
                  <w:pPr>
                    <w:spacing w:line="240" w:lineRule="auto"/>
                    <w:ind w:firstLine="0" w:firstLineChars="0"/>
                    <w:jc w:val="center"/>
                    <w:rPr>
                      <w:rFonts w:hint="eastAsia" w:ascii="Times New Roman" w:hAnsi="Times New Roman" w:eastAsia="宋体" w:cs="宋体"/>
                      <w:caps w:val="0"/>
                      <w:smallCaps w:val="0"/>
                      <w:color w:val="auto"/>
                      <w:spacing w:val="0"/>
                      <w:position w:val="0"/>
                      <w:sz w:val="21"/>
                      <w:szCs w:val="21"/>
                      <w:lang w:val="en-US" w:eastAsia="zh-CN"/>
                    </w:rPr>
                  </w:pPr>
                  <w:r>
                    <w:rPr>
                      <w:rFonts w:hint="eastAsia" w:ascii="Times New Roman" w:hAnsi="Times New Roman" w:eastAsia="宋体" w:cs="宋体"/>
                      <w:caps w:val="0"/>
                      <w:smallCaps w:val="0"/>
                      <w:color w:val="auto"/>
                      <w:spacing w:val="0"/>
                      <w:position w:val="0"/>
                      <w:sz w:val="21"/>
                      <w:szCs w:val="21"/>
                      <w:lang w:val="en-US" w:eastAsia="zh-CN"/>
                    </w:rPr>
                    <w:t>符合</w:t>
                  </w:r>
                </w:p>
              </w:tc>
            </w:tr>
            <w:tr w14:paraId="4E015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86" w:type="pct"/>
                  <w:shd w:val="clear" w:color="auto" w:fill="auto"/>
                  <w:noWrap w:val="0"/>
                  <w:vAlign w:val="center"/>
                </w:tcPr>
                <w:p w14:paraId="5548278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五）加快退出重点行业落后产能。修订《产业结构调整指导目录》，研究将污染物或温室气体排放明显高出行业平均水平、能效和清洁生产水平低的工艺和装备纳入淘汰类和限制类名单。重点区域进一步提高落后产能能耗、环保、质量、安全、技术等要求，逐步退出限制类涉气行业工艺和装备</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逐步淘汰步进式烧结机和球团竖炉以及半封闭式硅锰合金、镍铁、高碳铬铁、高碳锰铁电炉。引导重点区域钢铁、焦化、电解铝等产业有序调整优化</w:t>
                  </w:r>
                  <w:r>
                    <w:rPr>
                      <w:rFonts w:hint="eastAsia" w:cs="Times New Roman"/>
                      <w:caps w:val="0"/>
                      <w:smallCaps w:val="0"/>
                      <w:color w:val="auto"/>
                      <w:spacing w:val="0"/>
                      <w:position w:val="0"/>
                      <w:sz w:val="21"/>
                      <w:szCs w:val="21"/>
                      <w:lang w:eastAsia="zh-CN"/>
                    </w:rPr>
                    <w:t>。</w:t>
                  </w:r>
                </w:p>
              </w:tc>
              <w:tc>
                <w:tcPr>
                  <w:tcW w:w="1753" w:type="pct"/>
                  <w:shd w:val="clear" w:color="auto" w:fill="auto"/>
                  <w:noWrap w:val="0"/>
                  <w:vAlign w:val="center"/>
                </w:tcPr>
                <w:p w14:paraId="46CF900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四）有序推动落后产能淘汰。严格执行《产业结构调整指导目录》。综合运用能耗、环保、质量、安全、技术等要求，依法依规推动落后产能退出，逐步退出限制类涉气行业工艺和装备。有序推动生产设施老旧、工艺水平落后、环境管理水平低下的独立焦化、烧结、球团、热轧企业和落后煤炭洗选企业退出市场。逐步淘汰步进式烧结机和球团竖炉以及半封闭式硅锰合金、镍铁、高碳铬铁、高碳锰铁电炉。严禁违规新增钢铁、水泥</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熟料）、焦化、电解铝、平板玻璃</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不含光伏压延玻璃）产能。鼓励钢铁行业龙头企业实施兼并重组，到</w:t>
                  </w:r>
                  <w:r>
                    <w:rPr>
                      <w:rFonts w:hint="default" w:ascii="Times New Roman" w:hAnsi="Times New Roman" w:eastAsia="宋体" w:cs="Times New Roman"/>
                      <w:caps w:val="0"/>
                      <w:smallCaps w:val="0"/>
                      <w:color w:val="auto"/>
                      <w:spacing w:val="0"/>
                      <w:position w:val="0"/>
                      <w:sz w:val="21"/>
                      <w:szCs w:val="21"/>
                      <w:lang w:eastAsia="zh-CN"/>
                    </w:rPr>
                    <w:t>2025年，短流程炼钢产量占比达15%。</w:t>
                  </w:r>
                </w:p>
              </w:tc>
              <w:tc>
                <w:tcPr>
                  <w:tcW w:w="921" w:type="pct"/>
                  <w:shd w:val="clear" w:color="auto" w:fill="auto"/>
                  <w:noWrap w:val="0"/>
                  <w:vAlign w:val="center"/>
                </w:tcPr>
                <w:p w14:paraId="7C5A70F6">
                  <w:pPr>
                    <w:spacing w:line="240" w:lineRule="auto"/>
                    <w:ind w:firstLine="0" w:firstLineChars="0"/>
                    <w:jc w:val="left"/>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eastAsia="宋体" w:cs="Times New Roman"/>
                      <w:caps w:val="0"/>
                      <w:color w:val="000000" w:themeColor="text1"/>
                      <w:spacing w:val="0"/>
                      <w:w w:val="100"/>
                      <w:kern w:val="2"/>
                      <w:position w:val="0"/>
                      <w:sz w:val="21"/>
                      <w:szCs w:val="21"/>
                      <w:lang w:val="en-US" w:eastAsia="zh-CN"/>
                      <w14:textFill>
                        <w14:solidFill>
                          <w14:schemeClr w14:val="tx1"/>
                        </w14:solidFill>
                      </w14:textFill>
                    </w:rPr>
                    <w:t>项目使用的工艺和设备均不属于</w:t>
                  </w:r>
                  <w:r>
                    <w:rPr>
                      <w:rFonts w:hint="default" w:eastAsia="宋体" w:cs="Times New Roman"/>
                      <w:caps w:val="0"/>
                      <w:color w:val="000000" w:themeColor="text1"/>
                      <w:spacing w:val="0"/>
                      <w:w w:val="100"/>
                      <w:kern w:val="2"/>
                      <w:position w:val="0"/>
                      <w:sz w:val="21"/>
                      <w:szCs w:val="21"/>
                      <w:lang w:val="en-US" w:eastAsia="zh-CN"/>
                      <w14:textFill>
                        <w14:solidFill>
                          <w14:schemeClr w14:val="tx1"/>
                        </w14:solidFill>
                      </w14:textFill>
                    </w:rPr>
                    <w:t>《产业结构调整指导目录</w:t>
                  </w:r>
                  <w:r>
                    <w:rPr>
                      <w:rFonts w:hint="eastAsia" w:cs="Times New Roman"/>
                      <w:caps w:val="0"/>
                      <w:color w:val="000000" w:themeColor="text1"/>
                      <w:spacing w:val="0"/>
                      <w:w w:val="100"/>
                      <w:kern w:val="2"/>
                      <w:position w:val="0"/>
                      <w:sz w:val="21"/>
                      <w:szCs w:val="21"/>
                      <w:lang w:val="en-US" w:eastAsia="zh-CN"/>
                      <w14:textFill>
                        <w14:solidFill>
                          <w14:schemeClr w14:val="tx1"/>
                        </w14:solidFill>
                      </w14:textFill>
                    </w:rPr>
                    <w:t>（</w:t>
                  </w:r>
                  <w:r>
                    <w:rPr>
                      <w:rFonts w:hint="default" w:eastAsia="宋体" w:cs="Times New Roman"/>
                      <w:caps w:val="0"/>
                      <w:color w:val="000000" w:themeColor="text1"/>
                      <w:spacing w:val="0"/>
                      <w:w w:val="100"/>
                      <w:kern w:val="2"/>
                      <w:position w:val="0"/>
                      <w:sz w:val="21"/>
                      <w:szCs w:val="21"/>
                      <w:lang w:val="en-US" w:eastAsia="zh-CN"/>
                      <w14:textFill>
                        <w14:solidFill>
                          <w14:schemeClr w14:val="tx1"/>
                        </w14:solidFill>
                      </w14:textFill>
                    </w:rPr>
                    <w:t>20</w:t>
                  </w:r>
                  <w:r>
                    <w:rPr>
                      <w:rFonts w:hint="eastAsia" w:eastAsia="宋体" w:cs="Times New Roman"/>
                      <w:caps w:val="0"/>
                      <w:color w:val="000000" w:themeColor="text1"/>
                      <w:spacing w:val="0"/>
                      <w:w w:val="100"/>
                      <w:kern w:val="2"/>
                      <w:position w:val="0"/>
                      <w:sz w:val="21"/>
                      <w:szCs w:val="21"/>
                      <w:lang w:val="en-US" w:eastAsia="zh-CN"/>
                      <w14:textFill>
                        <w14:solidFill>
                          <w14:schemeClr w14:val="tx1"/>
                        </w14:solidFill>
                      </w14:textFill>
                    </w:rPr>
                    <w:t>24</w:t>
                  </w:r>
                  <w:r>
                    <w:rPr>
                      <w:rFonts w:hint="default" w:eastAsia="宋体" w:cs="Times New Roman"/>
                      <w:caps w:val="0"/>
                      <w:color w:val="000000" w:themeColor="text1"/>
                      <w:spacing w:val="0"/>
                      <w:w w:val="100"/>
                      <w:kern w:val="2"/>
                      <w:position w:val="0"/>
                      <w:sz w:val="21"/>
                      <w:szCs w:val="21"/>
                      <w:lang w:val="en-US" w:eastAsia="zh-CN"/>
                      <w14:textFill>
                        <w14:solidFill>
                          <w14:schemeClr w14:val="tx1"/>
                        </w14:solidFill>
                      </w14:textFill>
                    </w:rPr>
                    <w:t>年本）》</w:t>
                  </w:r>
                  <w:r>
                    <w:rPr>
                      <w:rFonts w:hint="eastAsia" w:eastAsia="宋体" w:cs="Times New Roman"/>
                      <w:caps w:val="0"/>
                      <w:color w:val="000000" w:themeColor="text1"/>
                      <w:spacing w:val="0"/>
                      <w:w w:val="100"/>
                      <w:kern w:val="2"/>
                      <w:position w:val="0"/>
                      <w:sz w:val="21"/>
                      <w:szCs w:val="21"/>
                      <w:lang w:val="en-US" w:eastAsia="zh-CN"/>
                      <w14:textFill>
                        <w14:solidFill>
                          <w14:schemeClr w14:val="tx1"/>
                        </w14:solidFill>
                      </w14:textFill>
                    </w:rPr>
                    <w:t>和</w:t>
                  </w:r>
                  <w:r>
                    <w:rPr>
                      <w:rFonts w:hint="default" w:eastAsia="宋体" w:cs="Times New Roman"/>
                      <w:caps w:val="0"/>
                      <w:color w:val="000000" w:themeColor="text1"/>
                      <w:spacing w:val="0"/>
                      <w:w w:val="100"/>
                      <w:kern w:val="2"/>
                      <w:position w:val="0"/>
                      <w:sz w:val="21"/>
                      <w:szCs w:val="21"/>
                      <w:lang w:val="en-US" w:eastAsia="zh-CN"/>
                      <w14:textFill>
                        <w14:solidFill>
                          <w14:schemeClr w14:val="tx1"/>
                        </w14:solidFill>
                      </w14:textFill>
                    </w:rPr>
                    <w:t>《市场准入负面清单</w:t>
                  </w:r>
                  <w:r>
                    <w:rPr>
                      <w:rFonts w:hint="eastAsia" w:cs="Times New Roman"/>
                      <w:caps w:val="0"/>
                      <w:color w:val="000000" w:themeColor="text1"/>
                      <w:spacing w:val="0"/>
                      <w:w w:val="100"/>
                      <w:kern w:val="2"/>
                      <w:position w:val="0"/>
                      <w:sz w:val="21"/>
                      <w:szCs w:val="21"/>
                      <w:lang w:val="en-US" w:eastAsia="zh-CN"/>
                      <w14:textFill>
                        <w14:solidFill>
                          <w14:schemeClr w14:val="tx1"/>
                        </w14:solidFill>
                      </w14:textFill>
                    </w:rPr>
                    <w:t>（</w:t>
                  </w:r>
                  <w:r>
                    <w:rPr>
                      <w:rFonts w:hint="default" w:eastAsia="宋体" w:cs="Times New Roman"/>
                      <w:caps w:val="0"/>
                      <w:color w:val="000000" w:themeColor="text1"/>
                      <w:spacing w:val="0"/>
                      <w:w w:val="100"/>
                      <w:kern w:val="2"/>
                      <w:position w:val="0"/>
                      <w:sz w:val="21"/>
                      <w:szCs w:val="21"/>
                      <w:lang w:val="en-US" w:eastAsia="zh-CN"/>
                      <w14:textFill>
                        <w14:solidFill>
                          <w14:schemeClr w14:val="tx1"/>
                        </w14:solidFill>
                      </w14:textFill>
                    </w:rPr>
                    <w:t>202</w:t>
                  </w:r>
                  <w:r>
                    <w:rPr>
                      <w:rFonts w:hint="eastAsia" w:eastAsia="宋体" w:cs="Times New Roman"/>
                      <w:caps w:val="0"/>
                      <w:color w:val="000000" w:themeColor="text1"/>
                      <w:spacing w:val="0"/>
                      <w:w w:val="100"/>
                      <w:kern w:val="2"/>
                      <w:position w:val="0"/>
                      <w:sz w:val="21"/>
                      <w:szCs w:val="21"/>
                      <w:lang w:val="en-US" w:eastAsia="zh-CN"/>
                      <w14:textFill>
                        <w14:solidFill>
                          <w14:schemeClr w14:val="tx1"/>
                        </w14:solidFill>
                      </w14:textFill>
                    </w:rPr>
                    <w:t>5</w:t>
                  </w:r>
                  <w:r>
                    <w:rPr>
                      <w:rFonts w:hint="default" w:eastAsia="宋体" w:cs="Times New Roman"/>
                      <w:caps w:val="0"/>
                      <w:color w:val="000000" w:themeColor="text1"/>
                      <w:spacing w:val="0"/>
                      <w:w w:val="100"/>
                      <w:kern w:val="2"/>
                      <w:position w:val="0"/>
                      <w:sz w:val="21"/>
                      <w:szCs w:val="21"/>
                      <w:lang w:val="en-US" w:eastAsia="zh-CN"/>
                      <w14:textFill>
                        <w14:solidFill>
                          <w14:schemeClr w14:val="tx1"/>
                        </w14:solidFill>
                      </w14:textFill>
                    </w:rPr>
                    <w:t>年版）》</w:t>
                  </w:r>
                  <w:r>
                    <w:rPr>
                      <w:rFonts w:hint="eastAsia" w:eastAsia="宋体" w:cs="Times New Roman"/>
                      <w:caps w:val="0"/>
                      <w:color w:val="000000" w:themeColor="text1"/>
                      <w:spacing w:val="0"/>
                      <w:w w:val="100"/>
                      <w:kern w:val="2"/>
                      <w:position w:val="0"/>
                      <w:sz w:val="21"/>
                      <w:szCs w:val="21"/>
                      <w:lang w:val="en-US" w:eastAsia="zh-CN"/>
                      <w14:textFill>
                        <w14:solidFill>
                          <w14:schemeClr w14:val="tx1"/>
                        </w14:solidFill>
                      </w14:textFill>
                    </w:rPr>
                    <w:t>中限制类和禁止类。</w:t>
                  </w:r>
                </w:p>
              </w:tc>
              <w:tc>
                <w:tcPr>
                  <w:tcW w:w="337" w:type="pct"/>
                  <w:shd w:val="clear" w:color="auto" w:fill="auto"/>
                  <w:noWrap w:val="0"/>
                  <w:vAlign w:val="center"/>
                </w:tcPr>
                <w:p w14:paraId="3300B7BF">
                  <w:pPr>
                    <w:spacing w:line="240" w:lineRule="auto"/>
                    <w:ind w:firstLine="0" w:firstLineChars="0"/>
                    <w:jc w:val="center"/>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caps w:val="0"/>
                      <w:smallCaps w:val="0"/>
                      <w:color w:val="auto"/>
                      <w:spacing w:val="0"/>
                      <w:position w:val="0"/>
                      <w:sz w:val="21"/>
                      <w:szCs w:val="21"/>
                    </w:rPr>
                    <w:t>符合</w:t>
                  </w:r>
                </w:p>
              </w:tc>
            </w:tr>
            <w:tr w14:paraId="0281D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4" w:hRule="atLeast"/>
                <w:jc w:val="center"/>
              </w:trPr>
              <w:tc>
                <w:tcPr>
                  <w:tcW w:w="1986" w:type="pct"/>
                  <w:noWrap w:val="0"/>
                  <w:vAlign w:val="center"/>
                </w:tcPr>
                <w:p w14:paraId="07491F1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十二）实施工业炉窑清洁能源替代。有序推进以电代煤，积极稳妥推进以气代煤。重点区域不再新增燃料类煤气发生炉，新改扩建加热炉、热处理炉、干燥炉、熔化炉原则上采用清洁低碳能源</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安全稳妥推进使用高污染燃料的工业炉窑改用工业余热、电能、天然气等</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燃料类煤气发生炉实行清洁能源替代，或因地制宜采取园区</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集群）集中供气、分散使用方式</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逐步淘汰固定床间歇式煤气发生炉。</w:t>
                  </w:r>
                </w:p>
              </w:tc>
              <w:tc>
                <w:tcPr>
                  <w:tcW w:w="1753" w:type="pct"/>
                  <w:noWrap w:val="0"/>
                  <w:vAlign w:val="center"/>
                </w:tcPr>
                <w:p w14:paraId="4946D25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十）推动工业炉窑清洁能源替代。有序推进工业领域电能替代，提高电气化水平，推动大用户直供气，降低供气成本。重点区域不再新增燃料类煤气发生炉，新改扩建加热炉、热处理炉、干燥炉、熔化炉原则上采用清洁低碳能源。燃料类煤气发生炉实施清洁能源替代，或因地制宜采取园区</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集群）集中供气、分散使用方式。逐步淘汰固定床间歇式煤气发生炉，鼓励现有煤气发生炉“小改大”。安全稳妥推进使用高污染燃料的工业炉窑改用工业余热、电能、天然气等，推动石油焦、重油等高污染燃料逐步替代。</w:t>
                  </w:r>
                </w:p>
              </w:tc>
              <w:tc>
                <w:tcPr>
                  <w:tcW w:w="921" w:type="pct"/>
                  <w:noWrap w:val="0"/>
                  <w:vAlign w:val="center"/>
                </w:tcPr>
                <w:p w14:paraId="4948EC46">
                  <w:pPr>
                    <w:spacing w:line="240" w:lineRule="auto"/>
                    <w:ind w:firstLine="0" w:firstLineChars="0"/>
                    <w:jc w:val="center"/>
                    <w:rPr>
                      <w:rFonts w:hint="default" w:eastAsia="宋体" w:cs="Times New Roman"/>
                      <w:caps w:val="0"/>
                      <w:smallCaps w:val="0"/>
                      <w:color w:val="auto"/>
                      <w:spacing w:val="0"/>
                      <w:position w:val="0"/>
                      <w:sz w:val="21"/>
                      <w:szCs w:val="21"/>
                      <w:lang w:val="en-US" w:eastAsia="zh-CN"/>
                    </w:rPr>
                  </w:pP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w:t>
                  </w:r>
                  <w:r>
                    <w:rPr>
                      <w:rFonts w:hint="eastAsia" w:cs="Times New Roman"/>
                      <w:color w:val="000000" w:themeColor="text1"/>
                      <w:spacing w:val="0"/>
                      <w:w w:val="100"/>
                      <w:sz w:val="21"/>
                      <w:szCs w:val="21"/>
                      <w:lang w:val="en-US" w:eastAsia="zh-CN"/>
                      <w14:textFill>
                        <w14:solidFill>
                          <w14:schemeClr w14:val="tx1"/>
                        </w14:solidFill>
                      </w14:textFill>
                    </w:rPr>
                    <w:t>不使用煤炭，不涉及煤气发生炉。热解炉主要采用热解不凝气和热解油作为燃料，清洗炉和烘干炉均热解油作为燃料，充分资源利用</w:t>
                  </w:r>
                  <w:r>
                    <w:rPr>
                      <w:rFonts w:hint="eastAsia" w:ascii="Times New Roman" w:hAnsi="Times New Roman" w:eastAsia="宋体" w:cs="Times New Roman"/>
                      <w:color w:val="000000" w:themeColor="text1"/>
                      <w:spacing w:val="0"/>
                      <w:w w:val="100"/>
                      <w:kern w:val="0"/>
                      <w:sz w:val="21"/>
                      <w:szCs w:val="21"/>
                      <w:lang w:val="en-US" w:eastAsia="zh-CN" w:bidi="ar"/>
                      <w14:textFill>
                        <w14:solidFill>
                          <w14:schemeClr w14:val="tx1"/>
                        </w14:solidFill>
                      </w14:textFill>
                    </w:rPr>
                    <w:t>。</w:t>
                  </w:r>
                </w:p>
              </w:tc>
              <w:tc>
                <w:tcPr>
                  <w:tcW w:w="337" w:type="pct"/>
                  <w:noWrap w:val="0"/>
                  <w:vAlign w:val="center"/>
                </w:tcPr>
                <w:p w14:paraId="6F3F5448">
                  <w:pPr>
                    <w:spacing w:line="240" w:lineRule="auto"/>
                    <w:ind w:firstLine="0" w:firstLineChars="0"/>
                    <w:jc w:val="center"/>
                    <w:rPr>
                      <w:rFonts w:hint="eastAsia"/>
                      <w:caps w:val="0"/>
                      <w:smallCaps w:val="0"/>
                      <w:color w:val="auto"/>
                      <w:spacing w:val="0"/>
                      <w:position w:val="0"/>
                      <w:sz w:val="21"/>
                      <w:szCs w:val="21"/>
                    </w:rPr>
                  </w:pPr>
                  <w:r>
                    <w:rPr>
                      <w:rFonts w:hint="eastAsia"/>
                      <w:caps w:val="0"/>
                      <w:smallCaps w:val="0"/>
                      <w:color w:val="auto"/>
                      <w:spacing w:val="0"/>
                      <w:position w:val="0"/>
                      <w:sz w:val="21"/>
                      <w:szCs w:val="21"/>
                    </w:rPr>
                    <w:t>符合</w:t>
                  </w:r>
                </w:p>
              </w:tc>
            </w:tr>
            <w:tr w14:paraId="66F2D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1" w:hRule="atLeast"/>
                <w:jc w:val="center"/>
              </w:trPr>
              <w:tc>
                <w:tcPr>
                  <w:tcW w:w="1986" w:type="pct"/>
                  <w:noWrap w:val="0"/>
                  <w:vAlign w:val="center"/>
                </w:tcPr>
                <w:p w14:paraId="60677D7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二十一）强化VOCs全流程、全环节综合治理。鼓励储罐使用低泄漏的呼吸阀、紧急泄压阀，定期开展密封性检测。汽车罐车推广使用密封式快速接头。污水处理场所高浓度有机废气要单独收集处理</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含VOCs有机废水储罐、装置区集水井</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池）有机废气要密闭收集处理。重点区域石化、化工行业集中的城市和重点工业园区，2024年年底前建立统一的泄漏检测与修复信息管理平台。企业开停工、检维修期间，及时收集处理退料、清洗、吹扫等作业产生的VOCs废气。企业不得将火炬燃烧装置作为日常大气污染处理设施。</w:t>
                  </w:r>
                </w:p>
              </w:tc>
              <w:tc>
                <w:tcPr>
                  <w:tcW w:w="1753" w:type="pct"/>
                  <w:noWrap w:val="0"/>
                  <w:vAlign w:val="center"/>
                </w:tcPr>
                <w:p w14:paraId="2600130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position w:val="0"/>
                      <w:sz w:val="21"/>
                      <w:szCs w:val="21"/>
                      <w:lang w:eastAsia="zh-CN"/>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十八）加强VOCs综合治理。鼓励储罐使用低泄漏的呼吸阀、紧急泄压阀。汽车罐车推广使用密封式快速接头。污水处理场所高浓度有机废气单独收集处理</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含VOCs有机废水储罐、装置区集水井</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池）有机废气密闭收集处理。石化、化工行业集中的城市和重点工业园区，2024年底前建立统一的泄漏检测与修复信息管理平台。企业开停工、检维修期间，及时收集处理退料、清洗、吹扫等作业产生的VOCs废气，不得将火炬燃烧装置作为日常大气污染处理设施。</w:t>
                  </w:r>
                </w:p>
              </w:tc>
              <w:tc>
                <w:tcPr>
                  <w:tcW w:w="921" w:type="pct"/>
                  <w:noWrap w:val="0"/>
                  <w:vAlign w:val="center"/>
                </w:tcPr>
                <w:p w14:paraId="368131E8">
                  <w:pPr>
                    <w:spacing w:line="240" w:lineRule="auto"/>
                    <w:ind w:firstLine="0" w:firstLineChars="0"/>
                    <w:jc w:val="left"/>
                    <w:rPr>
                      <w:rFonts w:hint="default" w:ascii="Times New Roman" w:hAnsi="Times New Roman" w:eastAsia="宋体" w:cs="Times New Roman"/>
                      <w:caps w:val="0"/>
                      <w:smallCaps w:val="0"/>
                      <w:color w:val="auto"/>
                      <w:spacing w:val="0"/>
                      <w:position w:val="0"/>
                      <w:sz w:val="21"/>
                      <w:szCs w:val="21"/>
                      <w:lang w:val="en-US" w:eastAsia="zh-CN"/>
                    </w:rPr>
                  </w:pPr>
                  <w:r>
                    <w:rPr>
                      <w:rFonts w:hint="eastAsia" w:cs="Times New Roman"/>
                      <w:i w:val="0"/>
                      <w:iCs w:val="0"/>
                      <w:color w:val="000000" w:themeColor="text1"/>
                      <w:spacing w:val="0"/>
                      <w:w w:val="100"/>
                      <w:kern w:val="0"/>
                      <w:sz w:val="21"/>
                      <w:szCs w:val="21"/>
                      <w:u w:val="none"/>
                      <w:lang w:val="en-US" w:eastAsia="zh-CN" w:bidi="ar"/>
                      <w14:textFill>
                        <w14:solidFill>
                          <w14:schemeClr w14:val="tx1"/>
                        </w14:solidFill>
                      </w14:textFill>
                    </w:rPr>
                    <w:t>项目热解产生的不凝气VOCs经焚烧后，采用二级活性炭吸附装置进一步处理达标后排放。</w:t>
                  </w:r>
                </w:p>
              </w:tc>
              <w:tc>
                <w:tcPr>
                  <w:tcW w:w="337" w:type="pct"/>
                  <w:noWrap w:val="0"/>
                  <w:vAlign w:val="center"/>
                </w:tcPr>
                <w:p w14:paraId="45E5CC32">
                  <w:pPr>
                    <w:spacing w:line="240" w:lineRule="auto"/>
                    <w:ind w:firstLine="0" w:firstLineChars="0"/>
                    <w:jc w:val="center"/>
                    <w:rPr>
                      <w:rFonts w:hint="default" w:ascii="Times New Roman" w:hAnsi="Times New Roman" w:eastAsia="宋体" w:cs="Times New Roman"/>
                      <w:caps w:val="0"/>
                      <w:smallCaps w:val="0"/>
                      <w:color w:val="auto"/>
                      <w:spacing w:val="0"/>
                      <w:position w:val="0"/>
                      <w:sz w:val="21"/>
                      <w:szCs w:val="21"/>
                      <w:lang w:val="en-US" w:eastAsia="zh-CN"/>
                    </w:rPr>
                  </w:pPr>
                  <w:r>
                    <w:rPr>
                      <w:rFonts w:hint="eastAsia" w:ascii="Times New Roman" w:hAnsi="Times New Roman" w:eastAsia="宋体" w:cs="Times New Roman"/>
                      <w:caps w:val="0"/>
                      <w:smallCaps w:val="0"/>
                      <w:color w:val="auto"/>
                      <w:spacing w:val="0"/>
                      <w:position w:val="0"/>
                      <w:sz w:val="21"/>
                      <w:szCs w:val="21"/>
                      <w:lang w:val="en-US" w:eastAsia="zh-CN"/>
                    </w:rPr>
                    <w:t>符合</w:t>
                  </w:r>
                </w:p>
              </w:tc>
            </w:tr>
            <w:tr w14:paraId="2AD1C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3" w:hRule="atLeast"/>
                <w:jc w:val="center"/>
              </w:trPr>
              <w:tc>
                <w:tcPr>
                  <w:tcW w:w="1986" w:type="pct"/>
                  <w:shd w:val="clear" w:color="auto" w:fill="auto"/>
                  <w:noWrap w:val="0"/>
                  <w:vAlign w:val="center"/>
                </w:tcPr>
                <w:p w14:paraId="67DC371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二十二）推进重点行业污染深度治理。高质量推进钢铁、水泥、焦化等重点行业及燃煤锅炉超低排放改造。到2025年，全国80%以上的钢铁产能完成超低排放改造任务</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重点区域全部实现钢铁行业超低排放，基本完成燃煤锅炉超低排放改造。确保工业企业全面稳定达标排放。推进玻璃、石灰、矿棉、有色等行业深度治理。全面开展锅炉和工业炉窑简易低效污染治理设施排查，通过清洁能源替代、升级改造、整合退出等方式实施分类处置。推进燃气锅炉低氮燃烧改造。生物质锅炉采用专用锅炉，配套布袋等高效除尘设施，禁止掺烧煤炭、生活垃圾等其他物料。推进整合小型生物质锅炉，积极引导城市建成区内生物质锅炉</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含电力）超低排放改造。强化治污设施运行维护，减少非正常工况排放。重点涉气企业逐步取消烟气和含VOCs废气旁路，因安全生产需要无法取消的，安装在线监控系统及备用处置设施。</w:t>
                  </w:r>
                </w:p>
              </w:tc>
              <w:tc>
                <w:tcPr>
                  <w:tcW w:w="1753" w:type="pct"/>
                  <w:shd w:val="clear" w:color="auto" w:fill="auto"/>
                  <w:noWrap w:val="0"/>
                  <w:vAlign w:val="center"/>
                </w:tcPr>
                <w:p w14:paraId="4E757D3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二十）加快涉气重点行业深度治理。高质量推进钢铁、水泥、焦化等重点行业及燃煤锅炉超低排放改造。到2025年，全省钢铁冶炼企业、燃煤锅炉全面完成超低排放改造，独立烧结、球团、热轧企业参照钢铁超低排放标准力争完成改造。推进重点行业深度治理，推进燃气锅炉低氮燃烧改造。生物质锅炉采用专用锅炉，配套布袋等高效除尘设施。推进整合小型生物质锅炉，积极引导城市建成区内生物质锅炉</w:t>
                  </w:r>
                  <w:r>
                    <w:rPr>
                      <w:rFonts w:hint="eastAsia" w:cs="Times New Roman"/>
                      <w:caps w:val="0"/>
                      <w:smallCaps w:val="0"/>
                      <w:color w:val="auto"/>
                      <w:spacing w:val="0"/>
                      <w:position w:val="0"/>
                      <w:sz w:val="21"/>
                      <w:szCs w:val="21"/>
                      <w:lang w:eastAsia="zh-CN"/>
                    </w:rPr>
                    <w:t>（</w:t>
                  </w:r>
                  <w:r>
                    <w:rPr>
                      <w:rFonts w:hint="eastAsia" w:ascii="Times New Roman" w:hAnsi="Times New Roman" w:eastAsia="宋体" w:cs="Times New Roman"/>
                      <w:caps w:val="0"/>
                      <w:smallCaps w:val="0"/>
                      <w:color w:val="auto"/>
                      <w:spacing w:val="0"/>
                      <w:position w:val="0"/>
                      <w:sz w:val="21"/>
                      <w:szCs w:val="21"/>
                      <w:lang w:eastAsia="zh-CN"/>
                    </w:rPr>
                    <w:t>含电力）超低排放改造。减少非正常工况排放，重点涉气企业逐步取消烟气和含VOCs废气旁路。</w:t>
                  </w:r>
                </w:p>
              </w:tc>
              <w:tc>
                <w:tcPr>
                  <w:tcW w:w="921" w:type="pct"/>
                  <w:shd w:val="clear" w:color="auto" w:fill="auto"/>
                  <w:noWrap w:val="0"/>
                  <w:vAlign w:val="center"/>
                </w:tcPr>
                <w:p w14:paraId="37BD38EA">
                  <w:pPr>
                    <w:numPr>
                      <w:ilvl w:val="0"/>
                      <w:numId w:val="4"/>
                    </w:numPr>
                    <w:spacing w:line="240" w:lineRule="auto"/>
                    <w:ind w:firstLine="0" w:firstLineChars="0"/>
                    <w:jc w:val="left"/>
                    <w:rPr>
                      <w:rFonts w:hint="eastAsia" w:ascii="Times New Roman" w:hAnsi="Times New Roman" w:eastAsia="宋体" w:cs="Times New Roman"/>
                      <w:color w:val="000000" w:themeColor="text1"/>
                      <w:spacing w:val="0"/>
                      <w:w w:val="100"/>
                      <w:kern w:val="0"/>
                      <w:sz w:val="21"/>
                      <w:szCs w:val="21"/>
                      <w:lang w:val="en-US" w:eastAsia="zh-CN" w:bidi="ar"/>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热解炉主要采用热解不凝气和热解油作为燃料，清洗炉和烘干炉均热解油作为燃料，充分资源利用</w:t>
                  </w:r>
                  <w:r>
                    <w:rPr>
                      <w:rFonts w:hint="eastAsia" w:ascii="Times New Roman" w:hAnsi="Times New Roman" w:eastAsia="宋体" w:cs="Times New Roman"/>
                      <w:color w:val="000000" w:themeColor="text1"/>
                      <w:spacing w:val="0"/>
                      <w:w w:val="100"/>
                      <w:kern w:val="0"/>
                      <w:sz w:val="21"/>
                      <w:szCs w:val="21"/>
                      <w:lang w:val="en-US" w:eastAsia="zh-CN" w:bidi="ar"/>
                      <w14:textFill>
                        <w14:solidFill>
                          <w14:schemeClr w14:val="tx1"/>
                        </w14:solidFill>
                      </w14:textFill>
                    </w:rPr>
                    <w:t>。</w:t>
                  </w:r>
                </w:p>
                <w:p w14:paraId="0ABD7920">
                  <w:pPr>
                    <w:numPr>
                      <w:ilvl w:val="0"/>
                      <w:numId w:val="4"/>
                    </w:numPr>
                    <w:spacing w:line="240" w:lineRule="auto"/>
                    <w:ind w:firstLine="0" w:firstLineChars="0"/>
                    <w:jc w:val="left"/>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ascii="Times New Roman" w:hAnsi="Times New Roman" w:eastAsia="宋体" w:cs="Times New Roman"/>
                      <w:color w:val="000000" w:themeColor="text1"/>
                      <w:spacing w:val="0"/>
                      <w:w w:val="100"/>
                      <w:kern w:val="0"/>
                      <w:sz w:val="21"/>
                      <w:szCs w:val="21"/>
                      <w:lang w:val="en-US" w:eastAsia="zh-CN" w:bidi="ar"/>
                      <w14:textFill>
                        <w14:solidFill>
                          <w14:schemeClr w14:val="tx1"/>
                        </w14:solidFill>
                      </w14:textFill>
                    </w:rPr>
                    <w:t>项目</w:t>
                  </w:r>
                  <w:r>
                    <w:rPr>
                      <w:rFonts w:hint="eastAsia" w:cs="Times New Roman"/>
                      <w:color w:val="000000" w:themeColor="text1"/>
                      <w:spacing w:val="0"/>
                      <w:w w:val="100"/>
                      <w:sz w:val="21"/>
                      <w:szCs w:val="21"/>
                      <w:lang w:val="en-US" w:eastAsia="zh-CN"/>
                      <w14:textFill>
                        <w14:solidFill>
                          <w14:schemeClr w14:val="tx1"/>
                        </w14:solidFill>
                      </w14:textFill>
                    </w:rPr>
                    <w:t>热解炉、清洗炉和烘干炉</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尾气采用“</w:t>
                  </w:r>
                  <w:r>
                    <w:rPr>
                      <w:rFonts w:hint="eastAsia" w:cs="Times New Roman"/>
                      <w:color w:val="000000" w:themeColor="text1"/>
                      <w:spacing w:val="0"/>
                      <w:w w:val="100"/>
                      <w:sz w:val="21"/>
                      <w:szCs w:val="21"/>
                      <w:lang w:val="en-US" w:eastAsia="zh-CN"/>
                      <w14:textFill>
                        <w14:solidFill>
                          <w14:schemeClr w14:val="tx1"/>
                        </w14:solidFill>
                      </w14:textFill>
                    </w:rPr>
                    <w:t>碱喷淋塔+干式过滤器+覆膜布袋除尘器+二级活性炭吸附装置</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”处理</w:t>
                  </w:r>
                  <w:r>
                    <w:rPr>
                      <w:rFonts w:hint="default" w:ascii="Times New Roman" w:hAnsi="Times New Roman" w:cs="Times New Roman"/>
                      <w:color w:val="000000" w:themeColor="text1"/>
                      <w:spacing w:val="0"/>
                      <w:w w:val="100"/>
                      <w:sz w:val="21"/>
                      <w:szCs w:val="21"/>
                      <w14:textFill>
                        <w14:solidFill>
                          <w14:schemeClr w14:val="tx1"/>
                        </w14:solidFill>
                      </w14:textFill>
                    </w:rPr>
                    <w:t>。</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废气</w:t>
                  </w:r>
                  <w:r>
                    <w:rPr>
                      <w:rFonts w:hint="default" w:ascii="Times New Roman" w:hAnsi="Times New Roman" w:cs="Times New Roman"/>
                      <w:color w:val="000000" w:themeColor="text1"/>
                      <w:spacing w:val="0"/>
                      <w:w w:val="100"/>
                      <w:sz w:val="21"/>
                      <w:szCs w:val="21"/>
                      <w14:textFill>
                        <w14:solidFill>
                          <w14:schemeClr w14:val="tx1"/>
                        </w14:solidFill>
                      </w14:textFill>
                    </w:rPr>
                    <w:t>排放</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满足</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《危险废物焚烧污染控制标准》</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GB18484-2020）、《大气污染物综合排放标准》</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GB16297-1996）》 要求限值</w:t>
                  </w:r>
                  <w:r>
                    <w:rPr>
                      <w:rFonts w:hint="default" w:ascii="Times New Roman" w:hAnsi="Times New Roman" w:cs="Times New Roman"/>
                      <w:color w:val="000000" w:themeColor="text1"/>
                      <w:spacing w:val="0"/>
                      <w:w w:val="100"/>
                      <w:sz w:val="21"/>
                      <w:szCs w:val="21"/>
                      <w14:textFill>
                        <w14:solidFill>
                          <w14:schemeClr w14:val="tx1"/>
                        </w14:solidFill>
                      </w14:textFill>
                    </w:rPr>
                    <w:t>。</w:t>
                  </w:r>
                </w:p>
              </w:tc>
              <w:tc>
                <w:tcPr>
                  <w:tcW w:w="337" w:type="pct"/>
                  <w:shd w:val="clear" w:color="auto" w:fill="auto"/>
                  <w:noWrap w:val="0"/>
                  <w:vAlign w:val="center"/>
                </w:tcPr>
                <w:p w14:paraId="03B641BF">
                  <w:pPr>
                    <w:spacing w:line="240" w:lineRule="auto"/>
                    <w:ind w:firstLine="0" w:firstLineChars="0"/>
                    <w:jc w:val="center"/>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caps w:val="0"/>
                      <w:smallCaps w:val="0"/>
                      <w:color w:val="auto"/>
                      <w:spacing w:val="0"/>
                      <w:position w:val="0"/>
                      <w:sz w:val="21"/>
                      <w:szCs w:val="21"/>
                    </w:rPr>
                    <w:t>符合</w:t>
                  </w:r>
                </w:p>
              </w:tc>
            </w:tr>
          </w:tbl>
          <w:p w14:paraId="321BB831">
            <w:pPr>
              <w:keepNext w:val="0"/>
              <w:keepLines w:val="0"/>
              <w:pageBreakBefore w:val="0"/>
              <w:widowControl w:val="0"/>
              <w:kinsoku/>
              <w:wordWrap/>
              <w:overflowPunct/>
              <w:topLinePunct w:val="0"/>
              <w:autoSpaceDE/>
              <w:autoSpaceDN/>
              <w:bidi w:val="0"/>
              <w:adjustRightInd/>
              <w:snapToGrid/>
              <w:spacing w:line="480" w:lineRule="atLeast"/>
              <w:textAlignment w:val="auto"/>
              <w:rPr>
                <w:b/>
                <w:bCs/>
                <w:color w:val="000000" w:themeColor="text1"/>
                <w:sz w:val="24"/>
                <w:szCs w:val="32"/>
                <w14:textFill>
                  <w14:solidFill>
                    <w14:schemeClr w14:val="tx1"/>
                  </w14:solidFill>
                </w14:textFill>
              </w:rPr>
            </w:pPr>
            <w:r>
              <w:rPr>
                <w:rFonts w:hint="eastAsia"/>
                <w:b/>
                <w:bCs/>
                <w:color w:val="000000" w:themeColor="text1"/>
                <w:sz w:val="24"/>
                <w:szCs w:val="32"/>
                <w:lang w:val="en-US" w:eastAsia="zh-CN"/>
                <w14:textFill>
                  <w14:solidFill>
                    <w14:schemeClr w14:val="tx1"/>
                  </w14:solidFill>
                </w14:textFill>
              </w:rPr>
              <w:t>11、</w:t>
            </w:r>
            <w:r>
              <w:rPr>
                <w:b/>
                <w:bCs/>
                <w:color w:val="000000" w:themeColor="text1"/>
                <w:sz w:val="24"/>
                <w:szCs w:val="32"/>
                <w14:textFill>
                  <w14:solidFill>
                    <w14:schemeClr w14:val="tx1"/>
                  </w14:solidFill>
                </w14:textFill>
              </w:rPr>
              <w:t>与《工业窑炉大气污染综合治理方案》</w:t>
            </w:r>
            <w:r>
              <w:rPr>
                <w:rFonts w:hint="eastAsia"/>
                <w:b/>
                <w:bCs/>
                <w:color w:val="000000" w:themeColor="text1"/>
                <w:sz w:val="24"/>
                <w:szCs w:val="32"/>
                <w:lang w:eastAsia="zh-CN"/>
                <w14:textFill>
                  <w14:solidFill>
                    <w14:schemeClr w14:val="tx1"/>
                  </w14:solidFill>
                </w14:textFill>
              </w:rPr>
              <w:t>（</w:t>
            </w:r>
            <w:r>
              <w:rPr>
                <w:b/>
                <w:bCs/>
                <w:color w:val="000000" w:themeColor="text1"/>
                <w:sz w:val="24"/>
                <w:szCs w:val="32"/>
                <w14:textFill>
                  <w14:solidFill>
                    <w14:schemeClr w14:val="tx1"/>
                  </w14:solidFill>
                </w14:textFill>
              </w:rPr>
              <w:t>环大气〔2019〕56号）的符合性分析</w:t>
            </w:r>
          </w:p>
          <w:p w14:paraId="1A813C04">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color w:val="000000" w:themeColor="text1"/>
                <w:sz w:val="24"/>
                <w:szCs w:val="32"/>
                <w:lang w:val="en-GB"/>
                <w14:textFill>
                  <w14:solidFill>
                    <w14:schemeClr w14:val="tx1"/>
                  </w14:solidFill>
                </w14:textFill>
              </w:rPr>
            </w:pPr>
            <w:r>
              <w:rPr>
                <w:color w:val="000000" w:themeColor="text1"/>
                <w:sz w:val="24"/>
                <w:szCs w:val="32"/>
                <w14:textFill>
                  <w14:solidFill>
                    <w14:schemeClr w14:val="tx1"/>
                  </w14:solidFill>
                </w14:textFill>
              </w:rPr>
              <w:t>《工业窑炉大气污染综合治理方案》</w:t>
            </w:r>
            <w:r>
              <w:rPr>
                <w:rFonts w:hint="eastAsia"/>
                <w:color w:val="000000" w:themeColor="text1"/>
                <w:sz w:val="24"/>
                <w:szCs w:val="32"/>
                <w:lang w:eastAsia="zh-CN"/>
                <w14:textFill>
                  <w14:solidFill>
                    <w14:schemeClr w14:val="tx1"/>
                  </w14:solidFill>
                </w14:textFill>
              </w:rPr>
              <w:t>（</w:t>
            </w:r>
            <w:r>
              <w:rPr>
                <w:color w:val="000000" w:themeColor="text1"/>
                <w:sz w:val="24"/>
                <w:szCs w:val="32"/>
                <w14:textFill>
                  <w14:solidFill>
                    <w14:schemeClr w14:val="tx1"/>
                  </w14:solidFill>
                </w14:textFill>
              </w:rPr>
              <w:t>环大气〔2019〕56号）中提出的工业窑炉产业技术要求与本项目相符性分析见下表：</w:t>
            </w:r>
          </w:p>
          <w:p w14:paraId="580D4F7A">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b/>
                <w:bCs/>
                <w:color w:val="000000" w:themeColor="text1"/>
                <w:sz w:val="21"/>
                <w:szCs w:val="24"/>
                <w:lang w:val="en-GB"/>
                <w14:textFill>
                  <w14:solidFill>
                    <w14:schemeClr w14:val="tx1"/>
                  </w14:solidFill>
                </w14:textFill>
              </w:rPr>
            </w:pPr>
            <w:r>
              <w:rPr>
                <w:b/>
                <w:bCs/>
                <w:color w:val="000000" w:themeColor="text1"/>
                <w:sz w:val="21"/>
                <w:szCs w:val="24"/>
                <w:lang w:val="en-GB"/>
                <w14:textFill>
                  <w14:solidFill>
                    <w14:schemeClr w14:val="tx1"/>
                  </w14:solidFill>
                </w14:textFill>
              </w:rPr>
              <w:t>表</w:t>
            </w:r>
            <w:r>
              <w:rPr>
                <w:rFonts w:hint="eastAsia"/>
                <w:b/>
                <w:bCs/>
                <w:color w:val="000000" w:themeColor="text1"/>
                <w:sz w:val="21"/>
                <w:szCs w:val="24"/>
                <w:lang w:val="en-US" w:eastAsia="zh-CN"/>
                <w14:textFill>
                  <w14:solidFill>
                    <w14:schemeClr w14:val="tx1"/>
                  </w14:solidFill>
                </w14:textFill>
              </w:rPr>
              <w:t xml:space="preserve">1-13  </w:t>
            </w:r>
            <w:r>
              <w:rPr>
                <w:b/>
                <w:bCs/>
                <w:color w:val="000000" w:themeColor="text1"/>
                <w:sz w:val="21"/>
                <w:szCs w:val="24"/>
                <w:lang w:val="en-GB"/>
                <w14:textFill>
                  <w14:solidFill>
                    <w14:schemeClr w14:val="tx1"/>
                  </w14:solidFill>
                </w14:textFill>
              </w:rPr>
              <w:t>与《工业窑炉大气污染综合治理方案》符合性</w:t>
            </w:r>
          </w:p>
          <w:tbl>
            <w:tblPr>
              <w:tblStyle w:val="26"/>
              <w:tblW w:w="12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2"/>
              <w:gridCol w:w="5439"/>
              <w:gridCol w:w="5205"/>
              <w:gridCol w:w="1100"/>
            </w:tblGrid>
            <w:tr w14:paraId="1AC45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2B98E56C">
                  <w:pPr>
                    <w:adjustRightInd/>
                    <w:snapToGrid/>
                    <w:spacing w:line="240" w:lineRule="auto"/>
                    <w:ind w:firstLine="0" w:firstLineChars="0"/>
                    <w:jc w:val="center"/>
                    <w:rPr>
                      <w:rFonts w:ascii="Times New Roman" w:hAnsi="Times New Roman" w:eastAsia="宋体" w:cs="Times New Roman"/>
                      <w:b/>
                      <w:bCs/>
                      <w:color w:val="000000" w:themeColor="text1"/>
                      <w:spacing w:val="0"/>
                      <w:kern w:val="2"/>
                      <w:sz w:val="21"/>
                      <w:szCs w:val="21"/>
                      <w14:textFill>
                        <w14:solidFill>
                          <w14:schemeClr w14:val="tx1"/>
                        </w14:solidFill>
                      </w14:textFill>
                    </w:rPr>
                  </w:pPr>
                  <w:r>
                    <w:rPr>
                      <w:rFonts w:ascii="Times New Roman" w:hAnsi="Times New Roman" w:eastAsia="宋体" w:cs="Times New Roman"/>
                      <w:b/>
                      <w:bCs/>
                      <w:color w:val="000000" w:themeColor="text1"/>
                      <w:spacing w:val="0"/>
                      <w:kern w:val="2"/>
                      <w:sz w:val="21"/>
                      <w:szCs w:val="21"/>
                      <w14:textFill>
                        <w14:solidFill>
                          <w14:schemeClr w14:val="tx1"/>
                        </w14:solidFill>
                      </w14:textFill>
                    </w:rPr>
                    <w:t>序号</w:t>
                  </w:r>
                </w:p>
              </w:tc>
              <w:tc>
                <w:tcPr>
                  <w:tcW w:w="5439" w:type="dxa"/>
                  <w:tcBorders>
                    <w:tl2br w:val="nil"/>
                    <w:tr2bl w:val="nil"/>
                  </w:tcBorders>
                  <w:vAlign w:val="center"/>
                </w:tcPr>
                <w:p w14:paraId="28BA7691">
                  <w:pPr>
                    <w:adjustRightInd/>
                    <w:snapToGrid/>
                    <w:spacing w:line="240" w:lineRule="auto"/>
                    <w:ind w:firstLine="0" w:firstLineChars="0"/>
                    <w:jc w:val="center"/>
                    <w:rPr>
                      <w:rFonts w:ascii="Times New Roman" w:hAnsi="Times New Roman" w:eastAsia="宋体" w:cs="Times New Roman"/>
                      <w:b/>
                      <w:bCs/>
                      <w:color w:val="000000" w:themeColor="text1"/>
                      <w:spacing w:val="0"/>
                      <w:kern w:val="2"/>
                      <w:sz w:val="21"/>
                      <w:szCs w:val="21"/>
                      <w14:textFill>
                        <w14:solidFill>
                          <w14:schemeClr w14:val="tx1"/>
                        </w14:solidFill>
                      </w14:textFill>
                    </w:rPr>
                  </w:pPr>
                  <w:r>
                    <w:rPr>
                      <w:rFonts w:ascii="Times New Roman" w:hAnsi="Times New Roman" w:eastAsia="宋体" w:cs="Times New Roman"/>
                      <w:b/>
                      <w:bCs/>
                      <w:color w:val="000000" w:themeColor="text1"/>
                      <w:spacing w:val="0"/>
                      <w:kern w:val="2"/>
                      <w:sz w:val="21"/>
                      <w:szCs w:val="21"/>
                      <w14:textFill>
                        <w14:solidFill>
                          <w14:schemeClr w14:val="tx1"/>
                        </w14:solidFill>
                      </w14:textFill>
                    </w:rPr>
                    <w:t>《工业窑炉大气污染综合治理方案》要求</w:t>
                  </w:r>
                </w:p>
              </w:tc>
              <w:tc>
                <w:tcPr>
                  <w:tcW w:w="5205" w:type="dxa"/>
                  <w:tcBorders>
                    <w:tl2br w:val="nil"/>
                    <w:tr2bl w:val="nil"/>
                  </w:tcBorders>
                  <w:vAlign w:val="center"/>
                </w:tcPr>
                <w:p w14:paraId="66D251F0">
                  <w:pPr>
                    <w:adjustRightInd/>
                    <w:snapToGrid/>
                    <w:spacing w:line="240" w:lineRule="auto"/>
                    <w:ind w:firstLine="0" w:firstLineChars="0"/>
                    <w:jc w:val="center"/>
                    <w:rPr>
                      <w:rFonts w:ascii="Times New Roman" w:hAnsi="Times New Roman" w:eastAsia="宋体" w:cs="Times New Roman"/>
                      <w:b/>
                      <w:bCs/>
                      <w:color w:val="000000" w:themeColor="text1"/>
                      <w:spacing w:val="0"/>
                      <w:kern w:val="2"/>
                      <w:sz w:val="21"/>
                      <w:szCs w:val="21"/>
                      <w14:textFill>
                        <w14:solidFill>
                          <w14:schemeClr w14:val="tx1"/>
                        </w14:solidFill>
                      </w14:textFill>
                    </w:rPr>
                  </w:pPr>
                  <w:r>
                    <w:rPr>
                      <w:rFonts w:ascii="Times New Roman" w:hAnsi="Times New Roman" w:eastAsia="宋体" w:cs="Times New Roman"/>
                      <w:b/>
                      <w:bCs/>
                      <w:color w:val="000000" w:themeColor="text1"/>
                      <w:spacing w:val="0"/>
                      <w:kern w:val="2"/>
                      <w:sz w:val="21"/>
                      <w:szCs w:val="21"/>
                      <w14:textFill>
                        <w14:solidFill>
                          <w14:schemeClr w14:val="tx1"/>
                        </w14:solidFill>
                      </w14:textFill>
                    </w:rPr>
                    <w:t>本项目情况</w:t>
                  </w:r>
                </w:p>
              </w:tc>
              <w:tc>
                <w:tcPr>
                  <w:tcW w:w="1100" w:type="dxa"/>
                  <w:tcBorders>
                    <w:tl2br w:val="nil"/>
                    <w:tr2bl w:val="nil"/>
                  </w:tcBorders>
                  <w:vAlign w:val="center"/>
                </w:tcPr>
                <w:p w14:paraId="5F74566B">
                  <w:pPr>
                    <w:adjustRightInd/>
                    <w:snapToGrid/>
                    <w:spacing w:line="240" w:lineRule="auto"/>
                    <w:ind w:firstLine="0" w:firstLineChars="0"/>
                    <w:jc w:val="center"/>
                    <w:rPr>
                      <w:rFonts w:ascii="Times New Roman" w:hAnsi="Times New Roman" w:eastAsia="宋体" w:cs="Times New Roman"/>
                      <w:b/>
                      <w:bCs/>
                      <w:color w:val="000000" w:themeColor="text1"/>
                      <w:spacing w:val="0"/>
                      <w:kern w:val="2"/>
                      <w:sz w:val="21"/>
                      <w:szCs w:val="21"/>
                      <w14:textFill>
                        <w14:solidFill>
                          <w14:schemeClr w14:val="tx1"/>
                        </w14:solidFill>
                      </w14:textFill>
                    </w:rPr>
                  </w:pPr>
                  <w:r>
                    <w:rPr>
                      <w:rFonts w:ascii="Times New Roman" w:hAnsi="Times New Roman" w:eastAsia="宋体" w:cs="Times New Roman"/>
                      <w:b/>
                      <w:bCs/>
                      <w:color w:val="000000" w:themeColor="text1"/>
                      <w:spacing w:val="0"/>
                      <w:kern w:val="2"/>
                      <w:sz w:val="21"/>
                      <w:szCs w:val="21"/>
                      <w14:textFill>
                        <w14:solidFill>
                          <w14:schemeClr w14:val="tx1"/>
                        </w14:solidFill>
                      </w14:textFill>
                    </w:rPr>
                    <w:t>符合性</w:t>
                  </w:r>
                </w:p>
              </w:tc>
            </w:tr>
            <w:tr w14:paraId="2608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1FB7082D">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1</w:t>
                  </w:r>
                </w:p>
              </w:tc>
              <w:tc>
                <w:tcPr>
                  <w:tcW w:w="5439" w:type="dxa"/>
                  <w:tcBorders>
                    <w:tl2br w:val="nil"/>
                    <w:tr2bl w:val="nil"/>
                  </w:tcBorders>
                  <w:vAlign w:val="center"/>
                </w:tcPr>
                <w:p w14:paraId="7D482E69">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严格建设项目环境准入。新建涉工业炉窑的建设项目，原则上要入园区，配套建设高效环保治理设施。重点区域严格控制涉工业炉窑建设项目，严禁新增钢铁、焦化、电解铝、铸造、水泥和平板玻璃等产能，加快燃料清洁低碳化替代</w:t>
                  </w:r>
                </w:p>
              </w:tc>
              <w:tc>
                <w:tcPr>
                  <w:tcW w:w="5205" w:type="dxa"/>
                  <w:tcBorders>
                    <w:tl2br w:val="nil"/>
                    <w:tr2bl w:val="nil"/>
                  </w:tcBorders>
                  <w:vAlign w:val="center"/>
                </w:tcPr>
                <w:p w14:paraId="27391C40">
                  <w:pPr>
                    <w:numPr>
                      <w:ilvl w:val="0"/>
                      <w:numId w:val="5"/>
                    </w:numPr>
                    <w:adjustRightInd/>
                    <w:snapToGrid/>
                    <w:spacing w:line="240" w:lineRule="auto"/>
                    <w:ind w:firstLine="0" w:firstLineChars="0"/>
                    <w:jc w:val="left"/>
                    <w:rPr>
                      <w:rFonts w:hint="eastAsia" w:ascii="Times New Roman" w:hAnsi="Times New Roman" w:cs="Times New Roman"/>
                      <w:color w:val="000000" w:themeColor="text1"/>
                      <w:spacing w:val="0"/>
                      <w:kern w:val="2"/>
                      <w:sz w:val="21"/>
                      <w:szCs w:val="21"/>
                      <w:lang w:val="en-US" w:eastAsia="zh-CN"/>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本项目涉及工业炉窑的主要为</w:t>
                  </w:r>
                  <w:r>
                    <w:rPr>
                      <w:rFonts w:hint="eastAsia" w:ascii="Times New Roman" w:hAnsi="Times New Roman" w:cs="Times New Roman"/>
                      <w:color w:val="000000" w:themeColor="text1"/>
                      <w:spacing w:val="0"/>
                      <w:kern w:val="2"/>
                      <w:sz w:val="21"/>
                      <w:szCs w:val="21"/>
                      <w:lang w:val="en-US" w:eastAsia="zh-CN"/>
                      <w14:textFill>
                        <w14:solidFill>
                          <w14:schemeClr w14:val="tx1"/>
                        </w14:solidFill>
                      </w14:textFill>
                    </w:rPr>
                    <w:t>热解炉、清洗炉和烘干炉</w:t>
                  </w:r>
                  <w:r>
                    <w:rPr>
                      <w:rFonts w:ascii="Times New Roman" w:hAnsi="Times New Roman" w:eastAsia="宋体" w:cs="Times New Roman"/>
                      <w:color w:val="000000" w:themeColor="text1"/>
                      <w:spacing w:val="0"/>
                      <w:kern w:val="2"/>
                      <w:sz w:val="21"/>
                      <w:szCs w:val="21"/>
                      <w14:textFill>
                        <w14:solidFill>
                          <w14:schemeClr w14:val="tx1"/>
                        </w14:solidFill>
                      </w14:textFill>
                    </w:rPr>
                    <w:t>，炉窑</w:t>
                  </w:r>
                  <w:r>
                    <w:rPr>
                      <w:rFonts w:hint="eastAsia" w:ascii="Times New Roman" w:hAnsi="Times New Roman" w:cs="Times New Roman"/>
                      <w:color w:val="000000" w:themeColor="text1"/>
                      <w:spacing w:val="0"/>
                      <w:kern w:val="2"/>
                      <w:sz w:val="21"/>
                      <w:szCs w:val="21"/>
                      <w:lang w:val="en-US" w:eastAsia="zh-CN"/>
                      <w14:textFill>
                        <w14:solidFill>
                          <w14:schemeClr w14:val="tx1"/>
                        </w14:solidFill>
                      </w14:textFill>
                    </w:rPr>
                    <w:t>点火采用柴油，正常生产后采用热解油和不凝气。</w:t>
                  </w:r>
                </w:p>
                <w:p w14:paraId="4E9A6490">
                  <w:pPr>
                    <w:numPr>
                      <w:ilvl w:val="0"/>
                      <w:numId w:val="5"/>
                    </w:numPr>
                    <w:adjustRightInd/>
                    <w:snapToGrid/>
                    <w:spacing w:line="240" w:lineRule="auto"/>
                    <w:ind w:firstLine="0" w:firstLineChars="0"/>
                    <w:jc w:val="left"/>
                    <w:rPr>
                      <w:rFonts w:ascii="Times New Roman" w:hAnsi="Times New Roman" w:eastAsia="宋体" w:cs="Times New Roman"/>
                      <w:color w:val="000000" w:themeColor="text1"/>
                      <w:spacing w:val="0"/>
                      <w:kern w:val="2"/>
                      <w:sz w:val="21"/>
                      <w:szCs w:val="21"/>
                      <w14:textFill>
                        <w14:solidFill>
                          <w14:schemeClr w14:val="tx1"/>
                        </w14:solidFill>
                      </w14:textFill>
                    </w:rPr>
                  </w:pPr>
                  <w:r>
                    <w:rPr>
                      <w:rFonts w:hint="eastAsia" w:ascii="Arial" w:hAnsi="Arial" w:eastAsia="Arial" w:cs="Arial"/>
                      <w:snapToGrid w:val="0"/>
                      <w:color w:val="000000" w:themeColor="text1"/>
                      <w:spacing w:val="0"/>
                      <w:w w:val="100"/>
                      <w:kern w:val="0"/>
                      <w:sz w:val="21"/>
                      <w:szCs w:val="21"/>
                      <w:lang w:val="en-US" w:eastAsia="zh-CN"/>
                      <w14:textFill>
                        <w14:solidFill>
                          <w14:schemeClr w14:val="tx1"/>
                        </w14:solidFill>
                      </w14:textFill>
                    </w:rPr>
                    <w:t>项目选址位于</w:t>
                  </w:r>
                  <w:r>
                    <w:rPr>
                      <w:rFonts w:hint="eastAsia"/>
                      <w:color w:val="auto"/>
                      <w:spacing w:val="0"/>
                      <w:position w:val="0"/>
                      <w:sz w:val="21"/>
                      <w:szCs w:val="21"/>
                      <w:lang w:val="en-US" w:eastAsia="zh-CN"/>
                    </w:rPr>
                    <w:t>皖江江南新兴产业集中区</w:t>
                  </w:r>
                  <w:r>
                    <w:rPr>
                      <w:rFonts w:hint="eastAsia" w:ascii="Times New Roman" w:hAnsi="Times New Roman" w:eastAsia="宋体" w:cs="Times New Roman"/>
                      <w:color w:val="000000" w:themeColor="text1"/>
                      <w:spacing w:val="0"/>
                      <w:kern w:val="2"/>
                      <w:sz w:val="21"/>
                      <w:szCs w:val="21"/>
                      <w14:textFill>
                        <w14:solidFill>
                          <w14:schemeClr w14:val="tx1"/>
                        </w14:solidFill>
                      </w14:textFill>
                    </w:rPr>
                    <w:t>。</w:t>
                  </w:r>
                </w:p>
              </w:tc>
              <w:tc>
                <w:tcPr>
                  <w:tcW w:w="1100" w:type="dxa"/>
                  <w:tcBorders>
                    <w:tl2br w:val="nil"/>
                    <w:tr2bl w:val="nil"/>
                  </w:tcBorders>
                  <w:vAlign w:val="center"/>
                </w:tcPr>
                <w:p w14:paraId="2353DF75">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符合</w:t>
                  </w:r>
                </w:p>
              </w:tc>
            </w:tr>
            <w:tr w14:paraId="2E07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1B3DD5E7">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2</w:t>
                  </w:r>
                </w:p>
              </w:tc>
              <w:tc>
                <w:tcPr>
                  <w:tcW w:w="5439" w:type="dxa"/>
                  <w:tcBorders>
                    <w:tl2br w:val="nil"/>
                    <w:tr2bl w:val="nil"/>
                  </w:tcBorders>
                  <w:vAlign w:val="center"/>
                </w:tcPr>
                <w:p w14:paraId="443D2518">
                  <w:pPr>
                    <w:adjustRightInd/>
                    <w:snapToGrid/>
                    <w:spacing w:line="240" w:lineRule="auto"/>
                    <w:ind w:firstLine="0" w:firstLineChars="0"/>
                    <w:jc w:val="center"/>
                    <w:rPr>
                      <w:rFonts w:hint="eastAsia" w:ascii="Times New Roman" w:hAnsi="Times New Roman" w:eastAsia="宋体" w:cs="Times New Roman"/>
                      <w:color w:val="000000" w:themeColor="text1"/>
                      <w:spacing w:val="0"/>
                      <w:kern w:val="2"/>
                      <w:sz w:val="21"/>
                      <w:szCs w:val="21"/>
                      <w:lang w:eastAsia="zh-CN"/>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重点区域范围：京津冀及周边地区、长三角地区、汾渭平原</w:t>
                  </w:r>
                  <w:r>
                    <w:rPr>
                      <w:rFonts w:hint="eastAsia" w:cs="Times New Roman"/>
                      <w:color w:val="000000" w:themeColor="text1"/>
                      <w:spacing w:val="0"/>
                      <w:kern w:val="2"/>
                      <w:sz w:val="21"/>
                      <w:szCs w:val="21"/>
                      <w:lang w:eastAsia="zh-CN"/>
                      <w14:textFill>
                        <w14:solidFill>
                          <w14:schemeClr w14:val="tx1"/>
                        </w14:solidFill>
                      </w14:textFill>
                    </w:rPr>
                    <w:t>；</w:t>
                  </w:r>
                </w:p>
              </w:tc>
              <w:tc>
                <w:tcPr>
                  <w:tcW w:w="5205" w:type="dxa"/>
                  <w:tcBorders>
                    <w:tl2br w:val="nil"/>
                    <w:tr2bl w:val="nil"/>
                  </w:tcBorders>
                  <w:vAlign w:val="center"/>
                </w:tcPr>
                <w:p w14:paraId="765E5A92">
                  <w:pPr>
                    <w:adjustRightInd/>
                    <w:snapToGrid/>
                    <w:spacing w:line="240" w:lineRule="auto"/>
                    <w:ind w:firstLine="0" w:firstLineChars="0"/>
                    <w:jc w:val="left"/>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本项目位于安徽省</w:t>
                  </w:r>
                  <w:r>
                    <w:rPr>
                      <w:rFonts w:hint="eastAsia" w:ascii="Times New Roman" w:hAnsi="Times New Roman" w:eastAsia="宋体" w:cs="Times New Roman"/>
                      <w:color w:val="000000" w:themeColor="text1"/>
                      <w:spacing w:val="0"/>
                      <w:kern w:val="2"/>
                      <w:sz w:val="21"/>
                      <w:szCs w:val="21"/>
                      <w14:textFill>
                        <w14:solidFill>
                          <w14:schemeClr w14:val="tx1"/>
                        </w14:solidFill>
                      </w14:textFill>
                    </w:rPr>
                    <w:t>铜陵市</w:t>
                  </w:r>
                  <w:r>
                    <w:rPr>
                      <w:rFonts w:ascii="Times New Roman" w:hAnsi="Times New Roman" w:eastAsia="宋体" w:cs="Times New Roman"/>
                      <w:color w:val="000000" w:themeColor="text1"/>
                      <w:spacing w:val="0"/>
                      <w:kern w:val="2"/>
                      <w:sz w:val="21"/>
                      <w:szCs w:val="21"/>
                      <w14:textFill>
                        <w14:solidFill>
                          <w14:schemeClr w14:val="tx1"/>
                        </w14:solidFill>
                      </w14:textFill>
                    </w:rPr>
                    <w:t>，在重点区域范围内。</w:t>
                  </w:r>
                </w:p>
              </w:tc>
              <w:tc>
                <w:tcPr>
                  <w:tcW w:w="1100" w:type="dxa"/>
                  <w:tcBorders>
                    <w:tl2br w:val="nil"/>
                    <w:tr2bl w:val="nil"/>
                  </w:tcBorders>
                  <w:vAlign w:val="center"/>
                </w:tcPr>
                <w:p w14:paraId="05DA0B87">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符合</w:t>
                  </w:r>
                </w:p>
              </w:tc>
            </w:tr>
            <w:tr w14:paraId="5ACD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0CAD46B2">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3</w:t>
                  </w:r>
                </w:p>
              </w:tc>
              <w:tc>
                <w:tcPr>
                  <w:tcW w:w="5439" w:type="dxa"/>
                  <w:tcBorders>
                    <w:tl2br w:val="nil"/>
                    <w:tr2bl w:val="nil"/>
                  </w:tcBorders>
                  <w:vAlign w:val="center"/>
                </w:tcPr>
                <w:p w14:paraId="2BC274D5">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加大产业结构调整力度。严格建设项目环境准入。新建涉工业炉窑的建设项目，原则上要入园区，配套建设高效环保治理设施。</w:t>
                  </w:r>
                </w:p>
              </w:tc>
              <w:tc>
                <w:tcPr>
                  <w:tcW w:w="5205" w:type="dxa"/>
                  <w:tcBorders>
                    <w:tl2br w:val="nil"/>
                    <w:tr2bl w:val="nil"/>
                  </w:tcBorders>
                  <w:vAlign w:val="center"/>
                </w:tcPr>
                <w:p w14:paraId="5722CFCB">
                  <w:pPr>
                    <w:adjustRightInd/>
                    <w:snapToGrid/>
                    <w:spacing w:line="240" w:lineRule="auto"/>
                    <w:ind w:firstLine="0" w:firstLineChars="0"/>
                    <w:jc w:val="left"/>
                    <w:rPr>
                      <w:rFonts w:ascii="Times New Roman" w:hAnsi="Times New Roman" w:eastAsia="宋体" w:cs="Times New Roman"/>
                      <w:color w:val="000000" w:themeColor="text1"/>
                      <w:spacing w:val="0"/>
                      <w:kern w:val="2"/>
                      <w:sz w:val="21"/>
                      <w:szCs w:val="21"/>
                      <w14:textFill>
                        <w14:solidFill>
                          <w14:schemeClr w14:val="tx1"/>
                        </w14:solidFill>
                      </w14:textFill>
                    </w:rPr>
                  </w:pPr>
                  <w:r>
                    <w:rPr>
                      <w:rFonts w:hint="eastAsia" w:ascii="Arial" w:hAnsi="Arial" w:eastAsia="Arial" w:cs="Arial"/>
                      <w:snapToGrid w:val="0"/>
                      <w:color w:val="000000" w:themeColor="text1"/>
                      <w:spacing w:val="0"/>
                      <w:w w:val="100"/>
                      <w:kern w:val="0"/>
                      <w:sz w:val="21"/>
                      <w:szCs w:val="21"/>
                      <w:lang w:val="en-US" w:eastAsia="zh-CN"/>
                      <w14:textFill>
                        <w14:solidFill>
                          <w14:schemeClr w14:val="tx1"/>
                        </w14:solidFill>
                      </w14:textFill>
                    </w:rPr>
                    <w:t>项目选址位于</w:t>
                  </w:r>
                  <w:r>
                    <w:rPr>
                      <w:rFonts w:hint="eastAsia"/>
                      <w:color w:val="auto"/>
                      <w:spacing w:val="0"/>
                      <w:position w:val="0"/>
                      <w:sz w:val="21"/>
                      <w:szCs w:val="21"/>
                      <w:lang w:val="en-US" w:eastAsia="zh-CN"/>
                    </w:rPr>
                    <w:t>皖江江南新兴产业集中区</w:t>
                  </w:r>
                  <w:r>
                    <w:rPr>
                      <w:rFonts w:hint="eastAsia" w:ascii="宋体" w:hAnsi="宋体" w:eastAsia="宋体" w:cs="宋体"/>
                      <w:snapToGrid w:val="0"/>
                      <w:color w:val="000000" w:themeColor="text1"/>
                      <w:spacing w:val="0"/>
                      <w:w w:val="100"/>
                      <w:kern w:val="0"/>
                      <w:sz w:val="21"/>
                      <w:szCs w:val="21"/>
                      <w:lang w:val="en-US" w:eastAsia="zh-CN"/>
                      <w14:textFill>
                        <w14:solidFill>
                          <w14:schemeClr w14:val="tx1"/>
                        </w14:solidFill>
                      </w14:textFill>
                    </w:rPr>
                    <w:t>”</w:t>
                  </w:r>
                  <w:r>
                    <w:rPr>
                      <w:rFonts w:hint="eastAsia" w:cs="Times New Roman"/>
                      <w:color w:val="000000" w:themeColor="text1"/>
                      <w:spacing w:val="0"/>
                      <w:w w:val="100"/>
                      <w:sz w:val="21"/>
                      <w:szCs w:val="21"/>
                      <w:lang w:val="en-US" w:eastAsia="zh-CN"/>
                      <w14:textFill>
                        <w14:solidFill>
                          <w14:schemeClr w14:val="tx1"/>
                        </w14:solidFill>
                      </w14:textFill>
                    </w:rPr>
                    <w:t>热解炉、清洗炉和烘干炉</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尾气采用“</w:t>
                  </w:r>
                  <w:r>
                    <w:rPr>
                      <w:rFonts w:hint="eastAsia" w:cs="Times New Roman"/>
                      <w:color w:val="000000" w:themeColor="text1"/>
                      <w:spacing w:val="0"/>
                      <w:w w:val="100"/>
                      <w:sz w:val="21"/>
                      <w:szCs w:val="21"/>
                      <w:lang w:val="en-US" w:eastAsia="zh-CN"/>
                      <w14:textFill>
                        <w14:solidFill>
                          <w14:schemeClr w14:val="tx1"/>
                        </w14:solidFill>
                      </w14:textFill>
                    </w:rPr>
                    <w:t>碱喷淋塔+干式过滤器+覆膜布袋除尘器+二级活性炭吸附装置</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”处理</w:t>
                  </w:r>
                  <w:r>
                    <w:rPr>
                      <w:rFonts w:hint="default" w:ascii="Times New Roman" w:hAnsi="Times New Roman" w:cs="Times New Roman"/>
                      <w:color w:val="000000" w:themeColor="text1"/>
                      <w:spacing w:val="0"/>
                      <w:w w:val="100"/>
                      <w:sz w:val="21"/>
                      <w:szCs w:val="21"/>
                      <w14:textFill>
                        <w14:solidFill>
                          <w14:schemeClr w14:val="tx1"/>
                        </w14:solidFill>
                      </w14:textFill>
                    </w:rPr>
                    <w:t>。</w:t>
                  </w:r>
                </w:p>
              </w:tc>
              <w:tc>
                <w:tcPr>
                  <w:tcW w:w="1100" w:type="dxa"/>
                  <w:tcBorders>
                    <w:tl2br w:val="nil"/>
                    <w:tr2bl w:val="nil"/>
                  </w:tcBorders>
                  <w:vAlign w:val="center"/>
                </w:tcPr>
                <w:p w14:paraId="19708A82">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符合</w:t>
                  </w:r>
                </w:p>
              </w:tc>
            </w:tr>
            <w:tr w14:paraId="2F6A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166F6908">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4</w:t>
                  </w:r>
                </w:p>
              </w:tc>
              <w:tc>
                <w:tcPr>
                  <w:tcW w:w="5439" w:type="dxa"/>
                  <w:tcBorders>
                    <w:tl2br w:val="nil"/>
                    <w:tr2bl w:val="nil"/>
                  </w:tcBorders>
                  <w:vAlign w:val="center"/>
                </w:tcPr>
                <w:p w14:paraId="78A8F0B3">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对热效率低下、敞开未封闭，装备简易落后、自动化程度低，无组织排放突出，以及无治理设施或治理设施工艺落后等严重污染环境的工业炉窑，依法责令停业关闭。</w:t>
                  </w:r>
                </w:p>
              </w:tc>
              <w:tc>
                <w:tcPr>
                  <w:tcW w:w="5205" w:type="dxa"/>
                  <w:tcBorders>
                    <w:tl2br w:val="nil"/>
                    <w:tr2bl w:val="nil"/>
                  </w:tcBorders>
                  <w:vAlign w:val="center"/>
                </w:tcPr>
                <w:p w14:paraId="70F44BCF">
                  <w:pPr>
                    <w:adjustRightInd/>
                    <w:snapToGrid/>
                    <w:spacing w:line="240" w:lineRule="auto"/>
                    <w:ind w:firstLine="0" w:firstLineChars="0"/>
                    <w:jc w:val="left"/>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本项目采用先进的生产设备，物料密闭，“机械化、连续化、密闭化”程度高，无组织排放可有效控制。</w:t>
                  </w:r>
                </w:p>
              </w:tc>
              <w:tc>
                <w:tcPr>
                  <w:tcW w:w="1100" w:type="dxa"/>
                  <w:tcBorders>
                    <w:tl2br w:val="nil"/>
                    <w:tr2bl w:val="nil"/>
                  </w:tcBorders>
                  <w:vAlign w:val="center"/>
                </w:tcPr>
                <w:p w14:paraId="3DF7EAC1">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符合</w:t>
                  </w:r>
                </w:p>
              </w:tc>
            </w:tr>
            <w:tr w14:paraId="6D39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5DEE8435">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5</w:t>
                  </w:r>
                </w:p>
              </w:tc>
              <w:tc>
                <w:tcPr>
                  <w:tcW w:w="5439" w:type="dxa"/>
                  <w:tcBorders>
                    <w:tl2br w:val="nil"/>
                    <w:tr2bl w:val="nil"/>
                  </w:tcBorders>
                  <w:vAlign w:val="center"/>
                </w:tcPr>
                <w:p w14:paraId="0BBB4237">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加快燃料清洁低碳化替代。</w:t>
                  </w:r>
                </w:p>
              </w:tc>
              <w:tc>
                <w:tcPr>
                  <w:tcW w:w="5205" w:type="dxa"/>
                  <w:tcBorders>
                    <w:tl2br w:val="nil"/>
                    <w:tr2bl w:val="nil"/>
                  </w:tcBorders>
                  <w:vAlign w:val="center"/>
                </w:tcPr>
                <w:p w14:paraId="36B8735F">
                  <w:pPr>
                    <w:adjustRightInd/>
                    <w:snapToGrid/>
                    <w:spacing w:line="240" w:lineRule="auto"/>
                    <w:ind w:firstLine="0" w:firstLineChars="0"/>
                    <w:jc w:val="left"/>
                    <w:rPr>
                      <w:rFonts w:ascii="Times New Roman" w:hAnsi="Times New Roman" w:eastAsia="宋体" w:cs="Times New Roman"/>
                      <w:color w:val="000000" w:themeColor="text1"/>
                      <w:spacing w:val="0"/>
                      <w:kern w:val="2"/>
                      <w:sz w:val="21"/>
                      <w:szCs w:val="21"/>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热解炉主要采用热解不凝气和热解油作为燃料，清洗炉和烘干炉均热解油作为燃料，充分资源利用</w:t>
                  </w:r>
                  <w:r>
                    <w:rPr>
                      <w:rFonts w:hint="eastAsia" w:ascii="Times New Roman" w:hAnsi="Times New Roman" w:eastAsia="宋体" w:cs="Times New Roman"/>
                      <w:color w:val="000000" w:themeColor="text1"/>
                      <w:spacing w:val="0"/>
                      <w:w w:val="100"/>
                      <w:kern w:val="0"/>
                      <w:sz w:val="21"/>
                      <w:szCs w:val="21"/>
                      <w:lang w:val="en-US" w:eastAsia="zh-CN" w:bidi="ar"/>
                      <w14:textFill>
                        <w14:solidFill>
                          <w14:schemeClr w14:val="tx1"/>
                        </w14:solidFill>
                      </w14:textFill>
                    </w:rPr>
                    <w:t>。</w:t>
                  </w:r>
                </w:p>
              </w:tc>
              <w:tc>
                <w:tcPr>
                  <w:tcW w:w="1100" w:type="dxa"/>
                  <w:tcBorders>
                    <w:tl2br w:val="nil"/>
                    <w:tr2bl w:val="nil"/>
                  </w:tcBorders>
                  <w:vAlign w:val="center"/>
                </w:tcPr>
                <w:p w14:paraId="0D1B2A9A">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符合</w:t>
                  </w:r>
                </w:p>
              </w:tc>
            </w:tr>
            <w:tr w14:paraId="1BD82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3F90E2C8">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6</w:t>
                  </w:r>
                </w:p>
              </w:tc>
              <w:tc>
                <w:tcPr>
                  <w:tcW w:w="5439" w:type="dxa"/>
                  <w:tcBorders>
                    <w:tl2br w:val="nil"/>
                    <w:tr2bl w:val="nil"/>
                  </w:tcBorders>
                  <w:vAlign w:val="center"/>
                </w:tcPr>
                <w:p w14:paraId="152935D7">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实施污染深度治理。推进工业炉窑全面达标排放。已有行业排放标准的工业炉窑，严格执行行业排放标准相关规定，配套建设高效脱硫脱硝除尘设施，确保稳定达标排放。已制定更严格地方排放标准的，按地方标准执行。重点区域钢铁、水泥、焦化、石化、化工、有色等行业，二氧化硫、氮氧化物、颗粒物、挥发性有机物</w:t>
                  </w:r>
                  <w:r>
                    <w:rPr>
                      <w:rFonts w:hint="eastAsia" w:cs="Times New Roman"/>
                      <w:color w:val="000000" w:themeColor="text1"/>
                      <w:spacing w:val="0"/>
                      <w:kern w:val="2"/>
                      <w:sz w:val="21"/>
                      <w:szCs w:val="21"/>
                      <w:lang w:eastAsia="zh-CN"/>
                      <w14:textFill>
                        <w14:solidFill>
                          <w14:schemeClr w14:val="tx1"/>
                        </w14:solidFill>
                      </w14:textFill>
                    </w:rPr>
                    <w:t>（</w:t>
                  </w:r>
                  <w:r>
                    <w:rPr>
                      <w:rFonts w:ascii="Times New Roman" w:hAnsi="Times New Roman" w:eastAsia="宋体" w:cs="Times New Roman"/>
                      <w:color w:val="000000" w:themeColor="text1"/>
                      <w:spacing w:val="0"/>
                      <w:kern w:val="2"/>
                      <w:sz w:val="21"/>
                      <w:szCs w:val="21"/>
                      <w14:textFill>
                        <w14:solidFill>
                          <w14:schemeClr w14:val="tx1"/>
                        </w14:solidFill>
                      </w14:textFill>
                    </w:rPr>
                    <w:t>VOCs）排放全面执行大气污染物特别排放限值。</w:t>
                  </w:r>
                </w:p>
              </w:tc>
              <w:tc>
                <w:tcPr>
                  <w:tcW w:w="5205" w:type="dxa"/>
                  <w:tcBorders>
                    <w:tl2br w:val="nil"/>
                    <w:tr2bl w:val="nil"/>
                  </w:tcBorders>
                  <w:vAlign w:val="center"/>
                </w:tcPr>
                <w:p w14:paraId="50DE0A48">
                  <w:pPr>
                    <w:adjustRightInd/>
                    <w:snapToGrid/>
                    <w:spacing w:line="240" w:lineRule="auto"/>
                    <w:ind w:firstLine="0" w:firstLineChars="0"/>
                    <w:jc w:val="left"/>
                    <w:rPr>
                      <w:rFonts w:ascii="Times New Roman" w:hAnsi="Times New Roman" w:eastAsia="宋体" w:cs="Times New Roman"/>
                      <w:color w:val="000000" w:themeColor="text1"/>
                      <w:spacing w:val="0"/>
                      <w:kern w:val="2"/>
                      <w:sz w:val="21"/>
                      <w:szCs w:val="21"/>
                      <w14:textFill>
                        <w14:solidFill>
                          <w14:schemeClr w14:val="tx1"/>
                        </w14:solidFill>
                      </w14:textFill>
                    </w:rPr>
                  </w:pP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废气</w:t>
                  </w:r>
                  <w:r>
                    <w:rPr>
                      <w:rFonts w:hint="default" w:ascii="Times New Roman" w:hAnsi="Times New Roman" w:cs="Times New Roman"/>
                      <w:color w:val="000000" w:themeColor="text1"/>
                      <w:spacing w:val="0"/>
                      <w:w w:val="100"/>
                      <w:sz w:val="21"/>
                      <w:szCs w:val="21"/>
                      <w14:textFill>
                        <w14:solidFill>
                          <w14:schemeClr w14:val="tx1"/>
                        </w14:solidFill>
                      </w14:textFill>
                    </w:rPr>
                    <w:t>排放</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满足</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《危险废物焚烧污染控制标准》</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GB18484-2020）、《大气污染物综合排放标准》</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 xml:space="preserve">GB16297-1996）、《挥发性有机物无组织排放控制标准》 </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GB37822-2019）等要求限值</w:t>
                  </w:r>
                  <w:r>
                    <w:rPr>
                      <w:rFonts w:hint="default" w:ascii="Times New Roman" w:hAnsi="Times New Roman" w:cs="Times New Roman"/>
                      <w:color w:val="000000" w:themeColor="text1"/>
                      <w:spacing w:val="0"/>
                      <w:w w:val="100"/>
                      <w:sz w:val="21"/>
                      <w:szCs w:val="21"/>
                      <w14:textFill>
                        <w14:solidFill>
                          <w14:schemeClr w14:val="tx1"/>
                        </w14:solidFill>
                      </w14:textFill>
                    </w:rPr>
                    <w:t>。</w:t>
                  </w:r>
                </w:p>
              </w:tc>
              <w:tc>
                <w:tcPr>
                  <w:tcW w:w="1100" w:type="dxa"/>
                  <w:tcBorders>
                    <w:tl2br w:val="nil"/>
                    <w:tr2bl w:val="nil"/>
                  </w:tcBorders>
                  <w:vAlign w:val="center"/>
                </w:tcPr>
                <w:p w14:paraId="1E4E8628">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符合</w:t>
                  </w:r>
                </w:p>
              </w:tc>
            </w:tr>
            <w:tr w14:paraId="39C59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7AF506BD">
                  <w:pPr>
                    <w:adjustRightInd/>
                    <w:snapToGrid/>
                    <w:spacing w:line="240" w:lineRule="auto"/>
                    <w:ind w:firstLine="0" w:firstLineChars="0"/>
                    <w:jc w:val="center"/>
                    <w:rPr>
                      <w:rFonts w:hint="eastAsia" w:ascii="Times New Roman" w:hAnsi="Times New Roman" w:eastAsia="宋体" w:cs="Times New Roman"/>
                      <w:color w:val="000000" w:themeColor="text1"/>
                      <w:spacing w:val="0"/>
                      <w:kern w:val="2"/>
                      <w:sz w:val="21"/>
                      <w:szCs w:val="21"/>
                      <w:lang w:eastAsia="zh-CN"/>
                      <w14:textFill>
                        <w14:solidFill>
                          <w14:schemeClr w14:val="tx1"/>
                        </w14:solidFill>
                      </w14:textFill>
                    </w:rPr>
                  </w:pPr>
                  <w:r>
                    <w:rPr>
                      <w:rFonts w:hint="eastAsia" w:ascii="Times New Roman" w:hAnsi="Times New Roman" w:cs="Times New Roman"/>
                      <w:color w:val="000000" w:themeColor="text1"/>
                      <w:spacing w:val="0"/>
                      <w:kern w:val="2"/>
                      <w:sz w:val="21"/>
                      <w:szCs w:val="21"/>
                      <w:lang w:val="en-US" w:eastAsia="zh-CN"/>
                      <w14:textFill>
                        <w14:solidFill>
                          <w14:schemeClr w14:val="tx1"/>
                        </w14:solidFill>
                      </w14:textFill>
                    </w:rPr>
                    <w:t>7</w:t>
                  </w:r>
                </w:p>
              </w:tc>
              <w:tc>
                <w:tcPr>
                  <w:tcW w:w="5439" w:type="dxa"/>
                  <w:tcBorders>
                    <w:tl2br w:val="nil"/>
                    <w:tr2bl w:val="nil"/>
                  </w:tcBorders>
                  <w:vAlign w:val="center"/>
                </w:tcPr>
                <w:p w14:paraId="4EE4AE63">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全面加强无组织排放管理。严格控制工业炉窑生产工艺过程及相关物料储存、输送等无组织排放，在保障生产安全的前提下，采取密闭、封闭等有效措施，有效提高废气收集率，产尘点及车间不得有可见烟</w:t>
                  </w:r>
                  <w:r>
                    <w:rPr>
                      <w:rFonts w:hint="eastAsia" w:cs="Times New Roman"/>
                      <w:color w:val="000000" w:themeColor="text1"/>
                      <w:spacing w:val="0"/>
                      <w:kern w:val="2"/>
                      <w:sz w:val="21"/>
                      <w:szCs w:val="21"/>
                      <w:lang w:eastAsia="zh-CN"/>
                      <w14:textFill>
                        <w14:solidFill>
                          <w14:schemeClr w14:val="tx1"/>
                        </w14:solidFill>
                      </w14:textFill>
                    </w:rPr>
                    <w:t>（</w:t>
                  </w:r>
                  <w:r>
                    <w:rPr>
                      <w:rFonts w:ascii="Times New Roman" w:hAnsi="Times New Roman" w:eastAsia="宋体" w:cs="Times New Roman"/>
                      <w:color w:val="000000" w:themeColor="text1"/>
                      <w:spacing w:val="0"/>
                      <w:kern w:val="2"/>
                      <w:sz w:val="21"/>
                      <w:szCs w:val="21"/>
                      <w14:textFill>
                        <w14:solidFill>
                          <w14:schemeClr w14:val="tx1"/>
                        </w14:solidFill>
                      </w14:textFill>
                    </w:rPr>
                    <w:t>粉）尘外逸。生产工艺产尘点</w:t>
                  </w:r>
                  <w:r>
                    <w:rPr>
                      <w:rFonts w:hint="eastAsia" w:cs="Times New Roman"/>
                      <w:color w:val="000000" w:themeColor="text1"/>
                      <w:spacing w:val="0"/>
                      <w:kern w:val="2"/>
                      <w:sz w:val="21"/>
                      <w:szCs w:val="21"/>
                      <w:lang w:eastAsia="zh-CN"/>
                      <w14:textFill>
                        <w14:solidFill>
                          <w14:schemeClr w14:val="tx1"/>
                        </w14:solidFill>
                      </w14:textFill>
                    </w:rPr>
                    <w:t>（</w:t>
                  </w:r>
                  <w:r>
                    <w:rPr>
                      <w:rFonts w:ascii="Times New Roman" w:hAnsi="Times New Roman" w:eastAsia="宋体" w:cs="Times New Roman"/>
                      <w:color w:val="000000" w:themeColor="text1"/>
                      <w:spacing w:val="0"/>
                      <w:kern w:val="2"/>
                      <w:sz w:val="21"/>
                      <w:szCs w:val="21"/>
                      <w14:textFill>
                        <w14:solidFill>
                          <w14:schemeClr w14:val="tx1"/>
                        </w14:solidFill>
                      </w14:textFill>
                    </w:rPr>
                    <w:t>装置）应采取密闭、封闭或设置集气罩等措施。煤粉、粉煤灰、石灰、除尘灰、脱硫灰等粉状物料应密闭或封闭储存，采用密闭皮带、封闭通廊、管状带式输送机或密闭车厢、真空罐车、气力输送等方式输送。粒状、块状物料应采用入棚入仓或建设防风抑尘网等方式进行储存，粒状物料采用密闭、封闭等方式输送。物料输送过程中产尘点应采取有效抑尘措施。</w:t>
                  </w:r>
                </w:p>
              </w:tc>
              <w:tc>
                <w:tcPr>
                  <w:tcW w:w="5205" w:type="dxa"/>
                  <w:tcBorders>
                    <w:tl2br w:val="nil"/>
                    <w:tr2bl w:val="nil"/>
                  </w:tcBorders>
                  <w:vAlign w:val="center"/>
                </w:tcPr>
                <w:p w14:paraId="704B9BEC">
                  <w:pPr>
                    <w:adjustRightInd/>
                    <w:snapToGrid/>
                    <w:spacing w:line="240" w:lineRule="auto"/>
                    <w:ind w:firstLine="0" w:firstLineChars="0"/>
                    <w:jc w:val="left"/>
                    <w:rPr>
                      <w:rFonts w:hint="default" w:ascii="Times New Roman" w:hAnsi="Times New Roman" w:eastAsia="宋体" w:cs="Times New Roman"/>
                      <w:color w:val="000000" w:themeColor="text1"/>
                      <w:spacing w:val="0"/>
                      <w:kern w:val="2"/>
                      <w:sz w:val="21"/>
                      <w:szCs w:val="21"/>
                      <w:lang w:val="en-US" w:eastAsia="zh-CN"/>
                      <w14:textFill>
                        <w14:solidFill>
                          <w14:schemeClr w14:val="tx1"/>
                        </w14:solidFill>
                      </w14:textFill>
                    </w:rPr>
                  </w:pPr>
                  <w:r>
                    <w:rPr>
                      <w:rFonts w:hint="eastAsia" w:ascii="Times New Roman" w:hAnsi="Times New Roman" w:cs="Times New Roman"/>
                      <w:color w:val="000000" w:themeColor="text1"/>
                      <w:spacing w:val="0"/>
                      <w:kern w:val="2"/>
                      <w:sz w:val="21"/>
                      <w:szCs w:val="21"/>
                      <w:lang w:val="en-US" w:eastAsia="zh-CN"/>
                      <w14:textFill>
                        <w14:solidFill>
                          <w14:schemeClr w14:val="tx1"/>
                        </w14:solidFill>
                      </w14:textFill>
                    </w:rPr>
                    <w:t>项目热解炉出料口上方设置集气罩，物料转移均采用封闭传送带，物料进仓口上方均设置集气罩，有效防控废气无组织排放。</w:t>
                  </w:r>
                </w:p>
              </w:tc>
              <w:tc>
                <w:tcPr>
                  <w:tcW w:w="1100" w:type="dxa"/>
                  <w:tcBorders>
                    <w:tl2br w:val="nil"/>
                    <w:tr2bl w:val="nil"/>
                  </w:tcBorders>
                  <w:vAlign w:val="center"/>
                </w:tcPr>
                <w:p w14:paraId="37971BD1">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符合</w:t>
                  </w:r>
                </w:p>
              </w:tc>
            </w:tr>
            <w:tr w14:paraId="34112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1D0B2580">
                  <w:pPr>
                    <w:adjustRightInd/>
                    <w:snapToGrid/>
                    <w:spacing w:line="240" w:lineRule="auto"/>
                    <w:ind w:firstLine="0" w:firstLineChars="0"/>
                    <w:jc w:val="center"/>
                    <w:rPr>
                      <w:rFonts w:hint="eastAsia" w:ascii="Times New Roman" w:hAnsi="Times New Roman" w:eastAsia="宋体" w:cs="Times New Roman"/>
                      <w:color w:val="000000" w:themeColor="text1"/>
                      <w:spacing w:val="0"/>
                      <w:kern w:val="2"/>
                      <w:sz w:val="21"/>
                      <w:szCs w:val="21"/>
                      <w:lang w:eastAsia="zh-CN"/>
                      <w14:textFill>
                        <w14:solidFill>
                          <w14:schemeClr w14:val="tx1"/>
                        </w14:solidFill>
                      </w14:textFill>
                    </w:rPr>
                  </w:pPr>
                  <w:r>
                    <w:rPr>
                      <w:rFonts w:hint="eastAsia" w:ascii="Times New Roman" w:hAnsi="Times New Roman" w:cs="Times New Roman"/>
                      <w:color w:val="000000" w:themeColor="text1"/>
                      <w:spacing w:val="0"/>
                      <w:kern w:val="2"/>
                      <w:sz w:val="21"/>
                      <w:szCs w:val="21"/>
                      <w:lang w:val="en-US" w:eastAsia="zh-CN"/>
                      <w14:textFill>
                        <w14:solidFill>
                          <w14:schemeClr w14:val="tx1"/>
                        </w14:solidFill>
                      </w14:textFill>
                    </w:rPr>
                    <w:t>8</w:t>
                  </w:r>
                </w:p>
              </w:tc>
              <w:tc>
                <w:tcPr>
                  <w:tcW w:w="5439" w:type="dxa"/>
                  <w:tcBorders>
                    <w:tl2br w:val="nil"/>
                    <w:tr2bl w:val="nil"/>
                  </w:tcBorders>
                  <w:vAlign w:val="center"/>
                </w:tcPr>
                <w:p w14:paraId="33863E67">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钢铁、焦化、水泥、平板玻璃、陶瓷、氮肥、有色金属冶炼、再生有色金属等行业，严格按照排污许可管理规定安装和运行自动监控设施。</w:t>
                  </w:r>
                </w:p>
              </w:tc>
              <w:tc>
                <w:tcPr>
                  <w:tcW w:w="5205" w:type="dxa"/>
                  <w:tcBorders>
                    <w:tl2br w:val="nil"/>
                    <w:tr2bl w:val="nil"/>
                  </w:tcBorders>
                  <w:vAlign w:val="center"/>
                </w:tcPr>
                <w:p w14:paraId="28757BDA">
                  <w:pPr>
                    <w:adjustRightInd/>
                    <w:snapToGrid/>
                    <w:spacing w:line="240" w:lineRule="auto"/>
                    <w:ind w:firstLine="0" w:firstLineChars="0"/>
                    <w:jc w:val="left"/>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本项目严格按照排污许可管理规定安装和运行自动监控设施。</w:t>
                  </w:r>
                </w:p>
              </w:tc>
              <w:tc>
                <w:tcPr>
                  <w:tcW w:w="1100" w:type="dxa"/>
                  <w:tcBorders>
                    <w:tl2br w:val="nil"/>
                    <w:tr2bl w:val="nil"/>
                  </w:tcBorders>
                  <w:vAlign w:val="center"/>
                </w:tcPr>
                <w:p w14:paraId="15C05E1D">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符合</w:t>
                  </w:r>
                </w:p>
              </w:tc>
            </w:tr>
            <w:tr w14:paraId="3F9A7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02" w:type="dxa"/>
                  <w:tcBorders>
                    <w:tl2br w:val="nil"/>
                    <w:tr2bl w:val="nil"/>
                  </w:tcBorders>
                  <w:vAlign w:val="center"/>
                </w:tcPr>
                <w:p w14:paraId="5E5C56CA">
                  <w:pPr>
                    <w:adjustRightInd/>
                    <w:snapToGrid/>
                    <w:spacing w:line="240" w:lineRule="auto"/>
                    <w:ind w:firstLine="0" w:firstLineChars="0"/>
                    <w:jc w:val="center"/>
                    <w:rPr>
                      <w:rFonts w:hint="eastAsia" w:ascii="Times New Roman" w:hAnsi="Times New Roman" w:eastAsia="宋体" w:cs="Times New Roman"/>
                      <w:color w:val="000000" w:themeColor="text1"/>
                      <w:spacing w:val="0"/>
                      <w:kern w:val="2"/>
                      <w:sz w:val="21"/>
                      <w:szCs w:val="21"/>
                      <w:lang w:eastAsia="zh-CN"/>
                      <w14:textFill>
                        <w14:solidFill>
                          <w14:schemeClr w14:val="tx1"/>
                        </w14:solidFill>
                      </w14:textFill>
                    </w:rPr>
                  </w:pPr>
                  <w:r>
                    <w:rPr>
                      <w:rFonts w:hint="eastAsia" w:ascii="Times New Roman" w:hAnsi="Times New Roman" w:cs="Times New Roman"/>
                      <w:color w:val="000000" w:themeColor="text1"/>
                      <w:spacing w:val="0"/>
                      <w:kern w:val="2"/>
                      <w:sz w:val="21"/>
                      <w:szCs w:val="21"/>
                      <w:lang w:val="en-US" w:eastAsia="zh-CN"/>
                      <w14:textFill>
                        <w14:solidFill>
                          <w14:schemeClr w14:val="tx1"/>
                        </w14:solidFill>
                      </w14:textFill>
                    </w:rPr>
                    <w:t>9</w:t>
                  </w:r>
                </w:p>
              </w:tc>
              <w:tc>
                <w:tcPr>
                  <w:tcW w:w="5439" w:type="dxa"/>
                  <w:tcBorders>
                    <w:tl2br w:val="nil"/>
                    <w:tr2bl w:val="nil"/>
                  </w:tcBorders>
                  <w:vAlign w:val="center"/>
                </w:tcPr>
                <w:p w14:paraId="1017DEBE">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加强排污许可管理。按照排污许可管理名录规定按期完成涉工业炉窑行业排污许可证核发。</w:t>
                  </w:r>
                </w:p>
              </w:tc>
              <w:tc>
                <w:tcPr>
                  <w:tcW w:w="5205" w:type="dxa"/>
                  <w:tcBorders>
                    <w:tl2br w:val="nil"/>
                    <w:tr2bl w:val="nil"/>
                  </w:tcBorders>
                  <w:vAlign w:val="center"/>
                </w:tcPr>
                <w:p w14:paraId="4D6E6DFA">
                  <w:pPr>
                    <w:adjustRightInd/>
                    <w:snapToGrid/>
                    <w:spacing w:line="240" w:lineRule="auto"/>
                    <w:ind w:firstLine="0" w:firstLineChars="0"/>
                    <w:jc w:val="left"/>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本项目</w:t>
                  </w:r>
                  <w:r>
                    <w:rPr>
                      <w:rFonts w:hint="eastAsia" w:ascii="Times New Roman" w:hAnsi="Times New Roman" w:cs="Times New Roman"/>
                      <w:color w:val="000000" w:themeColor="text1"/>
                      <w:spacing w:val="0"/>
                      <w:kern w:val="2"/>
                      <w:sz w:val="21"/>
                      <w:szCs w:val="21"/>
                      <w:lang w:val="en-US" w:eastAsia="zh-CN"/>
                      <w14:textFill>
                        <w14:solidFill>
                          <w14:schemeClr w14:val="tx1"/>
                        </w14:solidFill>
                      </w14:textFill>
                    </w:rPr>
                    <w:t>严格</w:t>
                  </w:r>
                  <w:r>
                    <w:rPr>
                      <w:rFonts w:ascii="Times New Roman" w:hAnsi="Times New Roman" w:eastAsia="宋体" w:cs="Times New Roman"/>
                      <w:color w:val="000000" w:themeColor="text1"/>
                      <w:spacing w:val="0"/>
                      <w:kern w:val="2"/>
                      <w:sz w:val="21"/>
                      <w:szCs w:val="21"/>
                      <w14:textFill>
                        <w14:solidFill>
                          <w14:schemeClr w14:val="tx1"/>
                        </w14:solidFill>
                      </w14:textFill>
                    </w:rPr>
                    <w:t>按照</w:t>
                  </w:r>
                  <w:r>
                    <w:rPr>
                      <w:rFonts w:hint="default" w:ascii="Times New Roman" w:hAnsi="Times New Roman" w:eastAsia="宋体" w:cs="Times New Roman"/>
                      <w:b w:val="0"/>
                      <w:bCs w:val="0"/>
                      <w:color w:val="000000" w:themeColor="text1"/>
                      <w:spacing w:val="0"/>
                      <w:kern w:val="0"/>
                      <w:sz w:val="21"/>
                      <w:szCs w:val="21"/>
                      <w:lang w:val="en-US" w:eastAsia="zh-CN"/>
                      <w14:textFill>
                        <w14:solidFill>
                          <w14:schemeClr w14:val="tx1"/>
                        </w14:solidFill>
                      </w14:textFill>
                    </w:rPr>
                    <w:t>《排污许可证申请与核发技术规</w:t>
                  </w:r>
                  <w:r>
                    <w:rPr>
                      <w:rFonts w:hint="default" w:ascii="Times New Roman" w:hAnsi="Times New Roman" w:eastAsia="宋体" w:cs="Times New Roman"/>
                      <w:color w:val="000000" w:themeColor="text1"/>
                      <w:spacing w:val="0"/>
                      <w:sz w:val="21"/>
                      <w:szCs w:val="21"/>
                      <w14:textFill>
                        <w14:solidFill>
                          <w14:schemeClr w14:val="tx1"/>
                        </w14:solidFill>
                      </w14:textFill>
                    </w:rPr>
                    <w:t>范</w:t>
                  </w:r>
                  <w:r>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废弃资源加工工业》</w:t>
                  </w:r>
                  <w:r>
                    <w:rPr>
                      <w:rFonts w:hint="eastAsia" w:cs="Times New Roman"/>
                      <w:color w:val="000000" w:themeColor="text1"/>
                      <w:spacing w:val="0"/>
                      <w:sz w:val="21"/>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HJ1034-2019）</w:t>
                  </w:r>
                  <w:r>
                    <w:rPr>
                      <w:rFonts w:ascii="Times New Roman" w:hAnsi="Times New Roman" w:eastAsia="宋体" w:cs="Times New Roman"/>
                      <w:color w:val="000000" w:themeColor="text1"/>
                      <w:spacing w:val="0"/>
                      <w:kern w:val="2"/>
                      <w:sz w:val="21"/>
                      <w:szCs w:val="21"/>
                      <w14:textFill>
                        <w14:solidFill>
                          <w14:schemeClr w14:val="tx1"/>
                        </w14:solidFill>
                      </w14:textFill>
                    </w:rPr>
                    <w:t>相关要求完成项目排污许可</w:t>
                  </w:r>
                  <w:r>
                    <w:rPr>
                      <w:rFonts w:hint="eastAsia" w:ascii="Times New Roman" w:hAnsi="Times New Roman" w:eastAsia="宋体" w:cs="Times New Roman"/>
                      <w:color w:val="000000" w:themeColor="text1"/>
                      <w:spacing w:val="0"/>
                      <w:kern w:val="2"/>
                      <w:sz w:val="21"/>
                      <w:szCs w:val="21"/>
                      <w14:textFill>
                        <w14:solidFill>
                          <w14:schemeClr w14:val="tx1"/>
                        </w14:solidFill>
                      </w14:textFill>
                    </w:rPr>
                    <w:t>证。</w:t>
                  </w:r>
                </w:p>
              </w:tc>
              <w:tc>
                <w:tcPr>
                  <w:tcW w:w="1100" w:type="dxa"/>
                  <w:tcBorders>
                    <w:tl2br w:val="nil"/>
                    <w:tr2bl w:val="nil"/>
                  </w:tcBorders>
                  <w:vAlign w:val="center"/>
                </w:tcPr>
                <w:p w14:paraId="2F3BFEC7">
                  <w:pPr>
                    <w:adjustRightInd/>
                    <w:snapToGrid/>
                    <w:spacing w:line="240" w:lineRule="auto"/>
                    <w:ind w:firstLine="0" w:firstLineChars="0"/>
                    <w:jc w:val="center"/>
                    <w:rPr>
                      <w:rFonts w:ascii="Times New Roman" w:hAnsi="Times New Roman" w:eastAsia="宋体" w:cs="Times New Roman"/>
                      <w:color w:val="000000" w:themeColor="text1"/>
                      <w:spacing w:val="0"/>
                      <w:kern w:val="2"/>
                      <w:sz w:val="21"/>
                      <w:szCs w:val="21"/>
                      <w14:textFill>
                        <w14:solidFill>
                          <w14:schemeClr w14:val="tx1"/>
                        </w14:solidFill>
                      </w14:textFill>
                    </w:rPr>
                  </w:pPr>
                  <w:r>
                    <w:rPr>
                      <w:rFonts w:ascii="Times New Roman" w:hAnsi="Times New Roman" w:eastAsia="宋体" w:cs="Times New Roman"/>
                      <w:color w:val="000000" w:themeColor="text1"/>
                      <w:spacing w:val="0"/>
                      <w:kern w:val="2"/>
                      <w:sz w:val="21"/>
                      <w:szCs w:val="21"/>
                      <w14:textFill>
                        <w14:solidFill>
                          <w14:schemeClr w14:val="tx1"/>
                        </w14:solidFill>
                      </w14:textFill>
                    </w:rPr>
                    <w:t>符合</w:t>
                  </w:r>
                </w:p>
              </w:tc>
            </w:tr>
          </w:tbl>
          <w:p w14:paraId="1DC6D299">
            <w:pPr>
              <w:keepNext w:val="0"/>
              <w:keepLines w:val="0"/>
              <w:pageBreakBefore w:val="0"/>
              <w:widowControl w:val="0"/>
              <w:numPr>
                <w:ilvl w:val="0"/>
                <w:numId w:val="0"/>
              </w:numPr>
              <w:tabs>
                <w:tab w:val="left" w:pos="768"/>
              </w:tabs>
              <w:kinsoku/>
              <w:wordWrap/>
              <w:overflowPunct/>
              <w:topLinePunct w:val="0"/>
              <w:autoSpaceDE/>
              <w:autoSpaceDN/>
              <w:bidi w:val="0"/>
              <w:adjustRightInd/>
              <w:snapToGrid/>
              <w:spacing w:after="0" w:line="480" w:lineRule="atLeast"/>
              <w:ind w:right="0" w:rightChars="0"/>
              <w:jc w:val="both"/>
              <w:textAlignment w:val="auto"/>
              <w:rPr>
                <w:rFonts w:hint="default" w:ascii="Times New Roman" w:hAnsi="Times New Roman" w:eastAsia="宋体" w:cs="Times New Roman"/>
                <w:b/>
                <w:bCs/>
                <w:color w:val="000000" w:themeColor="text1"/>
                <w:spacing w:val="0"/>
                <w:w w:val="100"/>
                <w:kern w:val="0"/>
                <w:position w:val="0"/>
                <w:sz w:val="24"/>
                <w:szCs w:val="24"/>
                <w:lang w:val="en-US" w:eastAsia="zh-CN" w:bidi="ar-SA"/>
                <w14:textFill>
                  <w14:solidFill>
                    <w14:schemeClr w14:val="tx1"/>
                  </w14:solidFill>
                </w14:textFill>
              </w:rPr>
            </w:pPr>
            <w:r>
              <w:rPr>
                <w:rFonts w:hint="eastAsia" w:cs="Times New Roman"/>
                <w:b/>
                <w:bCs/>
                <w:color w:val="000000" w:themeColor="text1"/>
                <w:spacing w:val="0"/>
                <w:w w:val="100"/>
                <w:kern w:val="0"/>
                <w:position w:val="0"/>
                <w:sz w:val="24"/>
                <w:szCs w:val="24"/>
                <w:lang w:val="en-US" w:eastAsia="zh-CN" w:bidi="ar-SA"/>
                <w14:textFill>
                  <w14:solidFill>
                    <w14:schemeClr w14:val="tx1"/>
                  </w14:solidFill>
                </w14:textFill>
              </w:rPr>
              <w:t>12</w:t>
            </w:r>
            <w:r>
              <w:rPr>
                <w:rFonts w:hint="default" w:ascii="Times New Roman" w:hAnsi="Times New Roman" w:eastAsia="宋体" w:cs="Times New Roman"/>
                <w:b/>
                <w:bCs/>
                <w:color w:val="000000" w:themeColor="text1"/>
                <w:spacing w:val="0"/>
                <w:w w:val="100"/>
                <w:kern w:val="0"/>
                <w:position w:val="0"/>
                <w:sz w:val="24"/>
                <w:szCs w:val="24"/>
                <w:lang w:val="en-US" w:eastAsia="zh-CN" w:bidi="ar-SA"/>
                <w14:textFill>
                  <w14:solidFill>
                    <w14:schemeClr w14:val="tx1"/>
                  </w14:solidFill>
                </w14:textFill>
              </w:rPr>
              <w:t>、</w:t>
            </w:r>
            <w:r>
              <w:rPr>
                <w:rFonts w:hint="eastAsia" w:cs="Times New Roman"/>
                <w:b/>
                <w:bCs/>
                <w:color w:val="000000" w:themeColor="text1"/>
                <w:spacing w:val="0"/>
                <w:w w:val="100"/>
                <w:kern w:val="0"/>
                <w:position w:val="0"/>
                <w:sz w:val="24"/>
                <w:szCs w:val="24"/>
                <w:lang w:val="en-US" w:eastAsia="zh-CN" w:bidi="ar-SA"/>
                <w14:textFill>
                  <w14:solidFill>
                    <w14:schemeClr w14:val="tx1"/>
                  </w14:solidFill>
                </w14:textFill>
              </w:rPr>
              <w:t>其他</w:t>
            </w:r>
            <w:r>
              <w:rPr>
                <w:rFonts w:hint="default" w:ascii="Times New Roman" w:hAnsi="Times New Roman" w:eastAsia="宋体" w:cs="Times New Roman"/>
                <w:b/>
                <w:bCs/>
                <w:color w:val="000000" w:themeColor="text1"/>
                <w:spacing w:val="0"/>
                <w:w w:val="100"/>
                <w:kern w:val="0"/>
                <w:position w:val="0"/>
                <w:sz w:val="24"/>
                <w:szCs w:val="24"/>
                <w:lang w:val="en-US" w:eastAsia="zh-CN" w:bidi="ar-SA"/>
                <w14:textFill>
                  <w14:solidFill>
                    <w14:schemeClr w14:val="tx1"/>
                  </w14:solidFill>
                </w14:textFill>
              </w:rPr>
              <w:t>相关政策</w:t>
            </w:r>
            <w:r>
              <w:rPr>
                <w:rFonts w:hint="eastAsia" w:ascii="Times New Roman" w:hAnsi="Times New Roman" w:eastAsia="宋体" w:cs="Times New Roman"/>
                <w:b/>
                <w:bCs/>
                <w:color w:val="000000" w:themeColor="text1"/>
                <w:spacing w:val="0"/>
                <w:w w:val="100"/>
                <w:kern w:val="0"/>
                <w:position w:val="0"/>
                <w:sz w:val="24"/>
                <w:szCs w:val="24"/>
                <w:lang w:val="en-US" w:eastAsia="zh-CN" w:bidi="ar-SA"/>
                <w14:textFill>
                  <w14:solidFill>
                    <w14:schemeClr w14:val="tx1"/>
                  </w14:solidFill>
                </w14:textFill>
              </w:rPr>
              <w:t>符合性</w:t>
            </w:r>
            <w:r>
              <w:rPr>
                <w:rFonts w:hint="default" w:ascii="Times New Roman" w:hAnsi="Times New Roman" w:eastAsia="宋体" w:cs="Times New Roman"/>
                <w:b/>
                <w:bCs/>
                <w:color w:val="000000" w:themeColor="text1"/>
                <w:spacing w:val="0"/>
                <w:w w:val="100"/>
                <w:kern w:val="0"/>
                <w:position w:val="0"/>
                <w:sz w:val="24"/>
                <w:szCs w:val="24"/>
                <w:lang w:val="en-US" w:eastAsia="zh-CN" w:bidi="ar-SA"/>
                <w14:textFill>
                  <w14:solidFill>
                    <w14:schemeClr w14:val="tx1"/>
                  </w14:solidFill>
                </w14:textFill>
              </w:rPr>
              <w:t>分析</w:t>
            </w:r>
          </w:p>
          <w:p w14:paraId="26E00807">
            <w:pPr>
              <w:keepNext w:val="0"/>
              <w:keepLines w:val="0"/>
              <w:pageBreakBefore w:val="0"/>
              <w:widowControl w:val="0"/>
              <w:numPr>
                <w:ilvl w:val="0"/>
                <w:numId w:val="0"/>
              </w:numPr>
              <w:tabs>
                <w:tab w:val="left" w:pos="768"/>
              </w:tabs>
              <w:kinsoku/>
              <w:wordWrap/>
              <w:overflowPunct/>
              <w:topLinePunct w:val="0"/>
              <w:autoSpaceDE/>
              <w:autoSpaceDN/>
              <w:bidi w:val="0"/>
              <w:adjustRightInd/>
              <w:snapToGrid/>
              <w:spacing w:after="0" w:line="480" w:lineRule="atLeast"/>
              <w:ind w:leftChars="0" w:right="0" w:rightChars="0" w:firstLine="480" w:firstLineChars="200"/>
              <w:jc w:val="both"/>
              <w:textAlignment w:val="auto"/>
              <w:rPr>
                <w:rFonts w:hint="default"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pPr>
            <w:r>
              <w:rPr>
                <w:rFonts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对照</w:t>
            </w:r>
            <w:r>
              <w:rPr>
                <w:rFonts w:hint="eastAsia"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《安徽省2022年大气污染防治工作要点》、《池州市“十四五”生态环境保护规划》</w:t>
            </w:r>
            <w:r>
              <w:rPr>
                <w:rFonts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kern w:val="2"/>
                <w:position w:val="0"/>
                <w:sz w:val="24"/>
                <w:szCs w:val="24"/>
                <w:lang w:val="en-US" w:eastAsia="en-US" w:bidi="ar-SA"/>
                <w14:textFill>
                  <w14:solidFill>
                    <w14:schemeClr w14:val="tx1"/>
                  </w14:solidFill>
                </w14:textFill>
              </w:rPr>
              <w:t>安徽省生态环境厅关于印发《安徽省</w:t>
            </w:r>
            <w:r>
              <w:rPr>
                <w:rFonts w:hint="eastAsia"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kern w:val="2"/>
                <w:position w:val="0"/>
                <w:sz w:val="24"/>
                <w:szCs w:val="24"/>
                <w:lang w:val="en-US" w:eastAsia="en-US" w:bidi="ar-SA"/>
                <w14:textFill>
                  <w14:solidFill>
                    <w14:schemeClr w14:val="tx1"/>
                  </w14:solidFill>
                </w14:textFill>
              </w:rPr>
              <w:t>十四五</w:t>
            </w:r>
            <w:r>
              <w:rPr>
                <w:rFonts w:hint="eastAsia"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kern w:val="2"/>
                <w:position w:val="0"/>
                <w:sz w:val="24"/>
                <w:szCs w:val="24"/>
                <w:lang w:val="en-US" w:eastAsia="en-US" w:bidi="ar-SA"/>
                <w14:textFill>
                  <w14:solidFill>
                    <w14:schemeClr w14:val="tx1"/>
                  </w14:solidFill>
                </w14:textFill>
              </w:rPr>
              <w:t>大气污染物防治规划》的通知</w:t>
            </w:r>
            <w:r>
              <w:rPr>
                <w:rFonts w:hint="eastAsia"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kern w:val="2"/>
                <w:position w:val="0"/>
                <w:sz w:val="24"/>
                <w:szCs w:val="24"/>
                <w:lang w:val="en-US" w:eastAsia="en-US" w:bidi="ar-SA"/>
                <w14:textFill>
                  <w14:solidFill>
                    <w14:schemeClr w14:val="tx1"/>
                  </w14:solidFill>
                </w14:textFill>
              </w:rPr>
              <w:t>皖环发〔2022〕12号）</w:t>
            </w:r>
            <w:r>
              <w:rPr>
                <w:rFonts w:hint="eastAsia"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《关于提升危险废物环境监管能力、利用处置能力和环境风险防范能力的指导意见》</w:t>
            </w:r>
            <w:r>
              <w:rPr>
                <w:rFonts w:hint="eastAsia"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环固体〔2019〕92号）</w:t>
            </w:r>
            <w:r>
              <w:rPr>
                <w:rFonts w:hint="eastAsia"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Style w:val="85"/>
                <w:rFonts w:eastAsia="宋体" w:cs="Times New Roman"/>
                <w:caps w:val="0"/>
                <w:smallCaps w:val="0"/>
                <w:color w:val="000000" w:themeColor="text1"/>
                <w:spacing w:val="0"/>
                <w:w w:val="100"/>
                <w:position w:val="0"/>
                <w:sz w:val="24"/>
                <w:szCs w:val="24"/>
                <w14:textFill>
                  <w14:solidFill>
                    <w14:schemeClr w14:val="tx1"/>
                  </w14:solidFill>
                </w14:textFill>
              </w:rPr>
              <w:t>《关于全面打造水清岸绿产业优美丽长江</w:t>
            </w:r>
            <w:r>
              <w:rPr>
                <w:rStyle w:val="85"/>
                <w:rFonts w:hint="eastAsia" w:cs="Times New Roman"/>
                <w:caps w:val="0"/>
                <w:smallCaps w:val="0"/>
                <w:color w:val="000000" w:themeColor="text1"/>
                <w:spacing w:val="0"/>
                <w:w w:val="100"/>
                <w:position w:val="0"/>
                <w:sz w:val="24"/>
                <w:szCs w:val="24"/>
                <w14:textFill>
                  <w14:solidFill>
                    <w14:schemeClr w14:val="tx1"/>
                  </w14:solidFill>
                </w14:textFill>
              </w:rPr>
              <w:t>（</w:t>
            </w:r>
            <w:r>
              <w:rPr>
                <w:rStyle w:val="85"/>
                <w:rFonts w:eastAsia="宋体" w:cs="Times New Roman"/>
                <w:caps w:val="0"/>
                <w:smallCaps w:val="0"/>
                <w:color w:val="000000" w:themeColor="text1"/>
                <w:spacing w:val="0"/>
                <w:w w:val="100"/>
                <w:position w:val="0"/>
                <w:sz w:val="24"/>
                <w:szCs w:val="24"/>
                <w14:textFill>
                  <w14:solidFill>
                    <w14:schemeClr w14:val="tx1"/>
                  </w14:solidFill>
                </w14:textFill>
              </w:rPr>
              <w:t>安徽）经济带的实施意见</w:t>
            </w:r>
            <w:r>
              <w:rPr>
                <w:rStyle w:val="85"/>
                <w:rFonts w:hint="eastAsia" w:cs="Times New Roman"/>
                <w:caps w:val="0"/>
                <w:smallCaps w:val="0"/>
                <w:color w:val="000000" w:themeColor="text1"/>
                <w:spacing w:val="0"/>
                <w:w w:val="100"/>
                <w:position w:val="0"/>
                <w:sz w:val="24"/>
                <w:szCs w:val="24"/>
                <w14:textFill>
                  <w14:solidFill>
                    <w14:schemeClr w14:val="tx1"/>
                  </w14:solidFill>
                </w14:textFill>
              </w:rPr>
              <w:t>（</w:t>
            </w:r>
            <w:r>
              <w:rPr>
                <w:rStyle w:val="85"/>
                <w:rFonts w:eastAsia="宋体" w:cs="Times New Roman"/>
                <w:caps w:val="0"/>
                <w:smallCaps w:val="0"/>
                <w:color w:val="000000" w:themeColor="text1"/>
                <w:spacing w:val="0"/>
                <w:w w:val="100"/>
                <w:position w:val="0"/>
                <w:sz w:val="24"/>
                <w:szCs w:val="24"/>
                <w14:textFill>
                  <w14:solidFill>
                    <w14:schemeClr w14:val="tx1"/>
                  </w14:solidFill>
                </w14:textFill>
              </w:rPr>
              <w:t>升级版）》</w:t>
            </w:r>
            <w:r>
              <w:rPr>
                <w:rStyle w:val="85"/>
                <w:rFonts w:hint="eastAsia" w:cs="Times New Roman"/>
                <w:caps w:val="0"/>
                <w:smallCaps w:val="0"/>
                <w:color w:val="000000" w:themeColor="text1"/>
                <w:spacing w:val="0"/>
                <w:w w:val="100"/>
                <w:position w:val="0"/>
                <w:sz w:val="24"/>
                <w:szCs w:val="24"/>
                <w14:textFill>
                  <w14:solidFill>
                    <w14:schemeClr w14:val="tx1"/>
                  </w14:solidFill>
                </w14:textFill>
              </w:rPr>
              <w:t>（</w:t>
            </w:r>
            <w:r>
              <w:rPr>
                <w:rStyle w:val="85"/>
                <w:rFonts w:eastAsia="宋体" w:cs="Times New Roman"/>
                <w:caps w:val="0"/>
                <w:smallCaps w:val="0"/>
                <w:color w:val="000000" w:themeColor="text1"/>
                <w:spacing w:val="0"/>
                <w:w w:val="100"/>
                <w:position w:val="0"/>
                <w:sz w:val="24"/>
                <w:szCs w:val="24"/>
                <w14:textFill>
                  <w14:solidFill>
                    <w14:schemeClr w14:val="tx1"/>
                  </w14:solidFill>
                </w14:textFill>
              </w:rPr>
              <w:t>皖发〔2021〕19号）</w:t>
            </w:r>
            <w:r>
              <w:rPr>
                <w:rFonts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、《中共池州市委 池州市人民政府关于印发全面打造水清岸绿产业优美丽长江经济带</w:t>
            </w:r>
            <w:r>
              <w:rPr>
                <w:rFonts w:hint="eastAsia"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池州段</w:t>
            </w:r>
            <w:r>
              <w:rPr>
                <w:rFonts w:hint="eastAsia"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实施方案的通知》</w:t>
            </w:r>
            <w:r>
              <w:rPr>
                <w:rFonts w:hint="eastAsia"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、《吸附法工业有机废气治理工程技术规范》</w:t>
            </w:r>
            <w:r>
              <w:rPr>
                <w:rFonts w:hint="eastAsia"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hint="eastAsia"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HJ2026-2013）</w:t>
            </w:r>
            <w:r>
              <w:rPr>
                <w:rFonts w:hint="eastAsia"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w:t>
            </w:r>
            <w:r>
              <w:rPr>
                <w:rFonts w:hint="eastAsia" w:ascii="Times New Roman" w:hAnsi="Times New Roman" w:eastAsia="宋体" w:cs="Times New Roman"/>
                <w:b w:val="0"/>
                <w:bCs w:val="0"/>
                <w:color w:val="000000" w:themeColor="text1"/>
                <w:spacing w:val="0"/>
                <w:w w:val="100"/>
                <w:kern w:val="0"/>
                <w:position w:val="0"/>
                <w:sz w:val="24"/>
                <w:szCs w:val="24"/>
                <w:lang w:val="en-US" w:eastAsia="zh-CN"/>
                <w14:textFill>
                  <w14:solidFill>
                    <w14:schemeClr w14:val="tx1"/>
                  </w14:solidFill>
                </w14:textFill>
              </w:rPr>
              <w:t>《</w:t>
            </w:r>
            <w:r>
              <w:rPr>
                <w:rFonts w:hint="default" w:ascii="Times New Roman" w:hAnsi="Times New Roman" w:eastAsia="宋体" w:cs="Times New Roman"/>
                <w:b w:val="0"/>
                <w:bCs w:val="0"/>
                <w:color w:val="000000" w:themeColor="text1"/>
                <w:spacing w:val="0"/>
                <w:w w:val="100"/>
                <w:kern w:val="0"/>
                <w:position w:val="0"/>
                <w:sz w:val="24"/>
                <w:szCs w:val="24"/>
                <w:lang w:val="en-US" w:eastAsia="zh-CN"/>
                <w14:textFill>
                  <w14:solidFill>
                    <w14:schemeClr w14:val="tx1"/>
                  </w14:solidFill>
                </w14:textFill>
              </w:rPr>
              <w:t>安徽省土壤污染源头防控行动计划实施方案</w:t>
            </w:r>
            <w:r>
              <w:rPr>
                <w:rFonts w:hint="eastAsia" w:ascii="Times New Roman" w:hAnsi="Times New Roman" w:eastAsia="宋体" w:cs="Times New Roman"/>
                <w:b w:val="0"/>
                <w:bCs w:val="0"/>
                <w:color w:val="000000" w:themeColor="text1"/>
                <w:spacing w:val="0"/>
                <w:w w:val="100"/>
                <w:kern w:val="0"/>
                <w:position w:val="0"/>
                <w:sz w:val="24"/>
                <w:szCs w:val="24"/>
                <w:lang w:val="en-US" w:eastAsia="zh-CN"/>
                <w14:textFill>
                  <w14:solidFill>
                    <w14:schemeClr w14:val="tx1"/>
                  </w14:solidFill>
                </w14:textFill>
              </w:rPr>
              <w:t>》（皖环发〔2025</w:t>
            </w:r>
            <w:r>
              <w:rPr>
                <w:rFonts w:hint="eastAsia" w:ascii="仿宋" w:hAnsi="仿宋" w:eastAsia="仿宋" w:cs="仿宋"/>
                <w:b w:val="0"/>
                <w:bCs w:val="0"/>
                <w:color w:val="000000" w:themeColor="text1"/>
                <w:spacing w:val="0"/>
                <w:w w:val="100"/>
                <w:kern w:val="0"/>
                <w:position w:val="0"/>
                <w:sz w:val="24"/>
                <w:szCs w:val="24"/>
                <w:lang w:val="en-US" w:eastAsia="zh-CN"/>
                <w14:textFill>
                  <w14:solidFill>
                    <w14:schemeClr w14:val="tx1"/>
                  </w14:solidFill>
                </w14:textFill>
              </w:rPr>
              <w:t>〕</w:t>
            </w:r>
            <w:r>
              <w:rPr>
                <w:rFonts w:hint="eastAsia" w:ascii="Times New Roman" w:hAnsi="Times New Roman" w:eastAsia="宋体" w:cs="Times New Roman"/>
                <w:b w:val="0"/>
                <w:bCs w:val="0"/>
                <w:color w:val="000000" w:themeColor="text1"/>
                <w:spacing w:val="0"/>
                <w:w w:val="100"/>
                <w:kern w:val="0"/>
                <w:position w:val="0"/>
                <w:sz w:val="24"/>
                <w:szCs w:val="24"/>
                <w:lang w:val="en-US" w:eastAsia="zh-CN"/>
                <w14:textFill>
                  <w14:solidFill>
                    <w14:schemeClr w14:val="tx1"/>
                  </w14:solidFill>
                </w14:textFill>
              </w:rPr>
              <w:t>15号）</w:t>
            </w:r>
            <w:r>
              <w:rPr>
                <w:rFonts w:hint="eastAsia" w:ascii="Times New Roman" w:hAnsi="Times New Roman" w:eastAsia="宋体" w:cs="Times New Roman"/>
                <w:caps w:val="0"/>
                <w:smallCaps w:val="0"/>
                <w:color w:val="000000" w:themeColor="text1"/>
                <w:spacing w:val="0"/>
                <w:w w:val="100"/>
                <w:kern w:val="2"/>
                <w:position w:val="0"/>
                <w:sz w:val="24"/>
                <w:szCs w:val="24"/>
                <w:lang w:val="en-US" w:eastAsia="zh-CN" w:bidi="ar-SA"/>
                <w14:textFill>
                  <w14:solidFill>
                    <w14:schemeClr w14:val="tx1"/>
                  </w14:solidFill>
                </w14:textFill>
              </w:rPr>
              <w:t>等相关政策要求，本项目的政策符合性分析如下：</w:t>
            </w:r>
          </w:p>
          <w:p w14:paraId="4237F41F">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eastAsia" w:eastAsia="宋体"/>
                <w:b/>
                <w:bCs/>
                <w:caps w:val="0"/>
                <w:smallCaps w:val="0"/>
                <w:color w:val="000000" w:themeColor="text1"/>
                <w:spacing w:val="0"/>
                <w:w w:val="100"/>
                <w:kern w:val="0"/>
                <w:position w:val="0"/>
                <w:sz w:val="21"/>
                <w:szCs w:val="18"/>
                <w:lang w:val="en-US" w:eastAsia="zh-CN"/>
                <w14:textFill>
                  <w14:solidFill>
                    <w14:schemeClr w14:val="tx1"/>
                  </w14:solidFill>
                </w14:textFill>
              </w:rPr>
            </w:pPr>
            <w:r>
              <w:rPr>
                <w:rFonts w:hint="eastAsia" w:eastAsia="宋体"/>
                <w:b/>
                <w:bCs/>
                <w:caps w:val="0"/>
                <w:smallCaps w:val="0"/>
                <w:color w:val="000000" w:themeColor="text1"/>
                <w:spacing w:val="0"/>
                <w:w w:val="100"/>
                <w:kern w:val="0"/>
                <w:position w:val="0"/>
                <w:sz w:val="21"/>
                <w:szCs w:val="18"/>
                <w:lang w:val="en-US" w:eastAsia="zh-CN"/>
                <w14:textFill>
                  <w14:solidFill>
                    <w14:schemeClr w14:val="tx1"/>
                  </w14:solidFill>
                </w14:textFill>
              </w:rPr>
              <w:t>表1-1</w:t>
            </w:r>
            <w:r>
              <w:rPr>
                <w:rFonts w:hint="eastAsia"/>
                <w:b/>
                <w:bCs/>
                <w:caps w:val="0"/>
                <w:smallCaps w:val="0"/>
                <w:color w:val="000000" w:themeColor="text1"/>
                <w:spacing w:val="0"/>
                <w:w w:val="100"/>
                <w:kern w:val="0"/>
                <w:position w:val="0"/>
                <w:sz w:val="21"/>
                <w:szCs w:val="18"/>
                <w:lang w:val="en-US" w:eastAsia="zh-CN"/>
                <w14:textFill>
                  <w14:solidFill>
                    <w14:schemeClr w14:val="tx1"/>
                  </w14:solidFill>
                </w14:textFill>
              </w:rPr>
              <w:t>4</w:t>
            </w:r>
            <w:r>
              <w:rPr>
                <w:rFonts w:hint="eastAsia" w:eastAsia="宋体"/>
                <w:b/>
                <w:bCs/>
                <w:caps w:val="0"/>
                <w:smallCaps w:val="0"/>
                <w:color w:val="000000" w:themeColor="text1"/>
                <w:spacing w:val="0"/>
                <w:w w:val="100"/>
                <w:kern w:val="0"/>
                <w:position w:val="0"/>
                <w:sz w:val="21"/>
                <w:szCs w:val="18"/>
                <w:lang w:val="en-US" w:eastAsia="zh-CN"/>
                <w14:textFill>
                  <w14:solidFill>
                    <w14:schemeClr w14:val="tx1"/>
                  </w14:solidFill>
                </w14:textFill>
              </w:rPr>
              <w:t xml:space="preserve">  与相关生态环境保护政策的符合性分析</w:t>
            </w:r>
          </w:p>
          <w:tbl>
            <w:tblPr>
              <w:tblStyle w:val="26"/>
              <w:tblW w:w="49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259"/>
              <w:gridCol w:w="6261"/>
              <w:gridCol w:w="3642"/>
              <w:gridCol w:w="816"/>
            </w:tblGrid>
            <w:tr w14:paraId="46A73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37" w:type="pct"/>
                  <w:tcBorders>
                    <w:top w:val="single" w:color="auto" w:sz="4" w:space="0"/>
                    <w:left w:val="single" w:color="auto" w:sz="4" w:space="0"/>
                    <w:bottom w:val="single" w:color="auto" w:sz="4" w:space="0"/>
                    <w:right w:val="single" w:color="auto" w:sz="4" w:space="0"/>
                  </w:tcBorders>
                  <w:noWrap w:val="0"/>
                  <w:vAlign w:val="center"/>
                </w:tcPr>
                <w:p w14:paraId="1625A1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pPr>
                  <w:r>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t>序号</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0522C9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pPr>
                  <w:r>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t>政策名称</w:t>
                  </w:r>
                </w:p>
              </w:tc>
              <w:tc>
                <w:tcPr>
                  <w:tcW w:w="2489" w:type="pct"/>
                  <w:tcBorders>
                    <w:top w:val="single" w:color="auto" w:sz="4" w:space="0"/>
                    <w:left w:val="single" w:color="auto" w:sz="4" w:space="0"/>
                    <w:bottom w:val="single" w:color="auto" w:sz="4" w:space="0"/>
                    <w:right w:val="single" w:color="auto" w:sz="4" w:space="0"/>
                  </w:tcBorders>
                  <w:noWrap w:val="0"/>
                  <w:vAlign w:val="center"/>
                </w:tcPr>
                <w:p w14:paraId="460584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pPr>
                  <w:r>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t>相关要求</w:t>
                  </w:r>
                </w:p>
              </w:tc>
              <w:tc>
                <w:tcPr>
                  <w:tcW w:w="1448" w:type="pct"/>
                  <w:tcBorders>
                    <w:top w:val="single" w:color="auto" w:sz="4" w:space="0"/>
                    <w:left w:val="single" w:color="auto" w:sz="4" w:space="0"/>
                    <w:bottom w:val="single" w:color="auto" w:sz="4" w:space="0"/>
                    <w:right w:val="single" w:color="auto" w:sz="4" w:space="0"/>
                  </w:tcBorders>
                  <w:noWrap w:val="0"/>
                  <w:vAlign w:val="center"/>
                </w:tcPr>
                <w:p w14:paraId="1AA5C4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pPr>
                  <w:r>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t>符合性分析</w:t>
                  </w:r>
                </w:p>
              </w:tc>
              <w:tc>
                <w:tcPr>
                  <w:tcW w:w="324" w:type="pct"/>
                  <w:tcBorders>
                    <w:top w:val="single" w:color="auto" w:sz="4" w:space="0"/>
                    <w:left w:val="single" w:color="auto" w:sz="4" w:space="0"/>
                    <w:bottom w:val="single" w:color="auto" w:sz="4" w:space="0"/>
                    <w:right w:val="single" w:color="auto" w:sz="4" w:space="0"/>
                  </w:tcBorders>
                  <w:noWrap w:val="0"/>
                  <w:vAlign w:val="center"/>
                </w:tcPr>
                <w:p w14:paraId="369F75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pPr>
                  <w:r>
                    <w:rPr>
                      <w:rStyle w:val="85"/>
                      <w:rFonts w:eastAsia="宋体" w:cs="Times New Roman"/>
                      <w:b/>
                      <w:bCs/>
                      <w:caps w:val="0"/>
                      <w:smallCaps w:val="0"/>
                      <w:color w:val="000000" w:themeColor="text1"/>
                      <w:spacing w:val="0"/>
                      <w:w w:val="100"/>
                      <w:kern w:val="0"/>
                      <w:position w:val="0"/>
                      <w:sz w:val="21"/>
                      <w:szCs w:val="21"/>
                      <w14:textFill>
                        <w14:solidFill>
                          <w14:schemeClr w14:val="tx1"/>
                        </w14:solidFill>
                      </w14:textFill>
                    </w:rPr>
                    <w:t>分析结果</w:t>
                  </w:r>
                </w:p>
              </w:tc>
            </w:tr>
            <w:tr w14:paraId="2631C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237" w:type="pct"/>
                  <w:vMerge w:val="restart"/>
                  <w:tcBorders>
                    <w:top w:val="single" w:color="auto" w:sz="4" w:space="0"/>
                    <w:left w:val="single" w:color="auto" w:sz="4" w:space="0"/>
                    <w:right w:val="single" w:color="auto" w:sz="4" w:space="0"/>
                  </w:tcBorders>
                  <w:noWrap w:val="0"/>
                  <w:vAlign w:val="center"/>
                </w:tcPr>
                <w:p w14:paraId="48F70D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default" w:eastAsia="宋体" w:cs="Times New Roman"/>
                      <w:caps w:val="0"/>
                      <w:smallCaps w:val="0"/>
                      <w:color w:val="000000" w:themeColor="text1"/>
                      <w:spacing w:val="0"/>
                      <w:w w:val="100"/>
                      <w:kern w:val="0"/>
                      <w:position w:val="0"/>
                      <w:sz w:val="21"/>
                      <w:szCs w:val="21"/>
                      <w:lang w:val="en-US"/>
                      <w14:textFill>
                        <w14:solidFill>
                          <w14:schemeClr w14:val="tx1"/>
                        </w14:solidFill>
                      </w14:textFill>
                    </w:rPr>
                  </w:pPr>
                  <w:r>
                    <w:rPr>
                      <w:rStyle w:val="85"/>
                      <w:rFonts w:hint="eastAsia" w:eastAsia="宋体" w:cs="Times New Roman"/>
                      <w:caps w:val="0"/>
                      <w:smallCaps w:val="0"/>
                      <w:color w:val="000000" w:themeColor="text1"/>
                      <w:spacing w:val="0"/>
                      <w:w w:val="100"/>
                      <w:kern w:val="0"/>
                      <w:position w:val="0"/>
                      <w:sz w:val="21"/>
                      <w:szCs w:val="21"/>
                      <w:lang w:val="en-US"/>
                      <w14:textFill>
                        <w14:solidFill>
                          <w14:schemeClr w14:val="tx1"/>
                        </w14:solidFill>
                      </w14:textFill>
                    </w:rPr>
                    <w:t>1</w:t>
                  </w:r>
                </w:p>
              </w:tc>
              <w:tc>
                <w:tcPr>
                  <w:tcW w:w="500" w:type="pct"/>
                  <w:vMerge w:val="restart"/>
                  <w:tcBorders>
                    <w:top w:val="single" w:color="auto" w:sz="4" w:space="0"/>
                    <w:left w:val="single" w:color="auto" w:sz="4" w:space="0"/>
                    <w:right w:val="single" w:color="auto" w:sz="4" w:space="0"/>
                  </w:tcBorders>
                  <w:noWrap w:val="0"/>
                  <w:vAlign w:val="center"/>
                </w:tcPr>
                <w:p w14:paraId="61048A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Fonts w:hint="eastAsia" w:ascii="Times New Roman" w:hAnsi="Times New Roman" w:eastAsia="宋体" w:cs="Times New Roman"/>
                      <w:caps w:val="0"/>
                      <w:smallCaps w:val="0"/>
                      <w:color w:val="000000" w:themeColor="text1"/>
                      <w:spacing w:val="0"/>
                      <w:w w:val="100"/>
                      <w:position w:val="0"/>
                      <w:sz w:val="21"/>
                      <w:szCs w:val="21"/>
                      <w:lang w:eastAsia="zh-CN"/>
                      <w14:textFill>
                        <w14:solidFill>
                          <w14:schemeClr w14:val="tx1"/>
                        </w14:solidFill>
                      </w14:textFill>
                    </w:rPr>
                    <w:t>《</w:t>
                  </w:r>
                  <w:r>
                    <w:rPr>
                      <w:rFonts w:hint="eastAsia"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t>安徽省2022年大气污染防治工作要点</w:t>
                  </w:r>
                  <w:r>
                    <w:rPr>
                      <w:rFonts w:hint="eastAsia" w:ascii="Times New Roman" w:hAnsi="Times New Roman" w:eastAsia="宋体" w:cs="Times New Roman"/>
                      <w:caps w:val="0"/>
                      <w:smallCaps w:val="0"/>
                      <w:color w:val="000000" w:themeColor="text1"/>
                      <w:spacing w:val="0"/>
                      <w:w w:val="100"/>
                      <w:position w:val="0"/>
                      <w:sz w:val="21"/>
                      <w:szCs w:val="21"/>
                      <w:lang w:eastAsia="zh-CN"/>
                      <w14:textFill>
                        <w14:solidFill>
                          <w14:schemeClr w14:val="tx1"/>
                        </w14:solidFill>
                      </w14:textFill>
                    </w:rPr>
                    <w:t>》</w:t>
                  </w:r>
                </w:p>
              </w:tc>
              <w:tc>
                <w:tcPr>
                  <w:tcW w:w="2489" w:type="pct"/>
                  <w:tcBorders>
                    <w:top w:val="single" w:color="auto" w:sz="4" w:space="0"/>
                    <w:left w:val="single" w:color="auto" w:sz="4" w:space="0"/>
                    <w:bottom w:val="single" w:color="auto" w:sz="4" w:space="0"/>
                    <w:right w:val="single" w:color="auto" w:sz="4" w:space="0"/>
                  </w:tcBorders>
                  <w:noWrap w:val="0"/>
                  <w:vAlign w:val="center"/>
                </w:tcPr>
                <w:p w14:paraId="60842E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eastAsia="宋体" w:cs="Times New Roman"/>
                      <w:caps w:val="0"/>
                      <w:smallCaps w:val="0"/>
                      <w:color w:val="000000" w:themeColor="text1"/>
                      <w:spacing w:val="0"/>
                      <w:w w:val="100"/>
                      <w:kern w:val="0"/>
                      <w:position w:val="0"/>
                      <w:sz w:val="21"/>
                      <w:szCs w:val="21"/>
                      <w14:textFill>
                        <w14:solidFill>
                          <w14:schemeClr w14:val="tx1"/>
                        </w14:solidFill>
                      </w14:textFill>
                    </w:rPr>
                    <w:t>4.加快产业结构转型升级。严格执行《产业结构调整指导目录》《产业发展与转移指导目录》，落实国家产业结构调整指导目录中碳排放控制要求。有序开展产业承接和重点行业省内调整优化，高水平打造皖北承接产业转移集聚区。全面排查“两高”项目，实施清单管理、分类处置、动态监控，对不符合规定的坚决停批停建，科学稳妥推进符合要求的拟建项目。依法依规淘汰落后产能和化解过剩产能，严禁新增钢铁、焦化、水泥熟料、平板玻璃、电解铝等产能。</w:t>
                  </w:r>
                </w:p>
              </w:tc>
              <w:tc>
                <w:tcPr>
                  <w:tcW w:w="1448" w:type="pct"/>
                  <w:tcBorders>
                    <w:top w:val="single" w:color="auto" w:sz="4" w:space="0"/>
                    <w:left w:val="single" w:color="auto" w:sz="4" w:space="0"/>
                    <w:bottom w:val="single" w:color="auto" w:sz="4" w:space="0"/>
                    <w:right w:val="single" w:color="auto" w:sz="4" w:space="0"/>
                  </w:tcBorders>
                  <w:noWrap w:val="0"/>
                  <w:vAlign w:val="center"/>
                </w:tcPr>
                <w:p w14:paraId="7FEA29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Style w:val="85"/>
                      <w:rFonts w:hint="default" w:eastAsia="宋体" w:cs="Times New Roman"/>
                      <w:caps w:val="0"/>
                      <w:smallCaps w:val="0"/>
                      <w:color w:val="000000" w:themeColor="text1"/>
                      <w:spacing w:val="0"/>
                      <w:w w:val="100"/>
                      <w:kern w:val="0"/>
                      <w:position w:val="0"/>
                      <w:sz w:val="21"/>
                      <w:szCs w:val="21"/>
                      <w:lang w:val="en-US"/>
                      <w14:textFill>
                        <w14:solidFill>
                          <w14:schemeClr w14:val="tx1"/>
                        </w14:solidFill>
                      </w14:textFill>
                    </w:rPr>
                  </w:pPr>
                  <w:r>
                    <w:rPr>
                      <w:rStyle w:val="85"/>
                      <w:rFonts w:hint="eastAsia" w:eastAsia="宋体" w:cs="Times New Roman"/>
                      <w:caps w:val="0"/>
                      <w:smallCaps w:val="0"/>
                      <w:color w:val="000000" w:themeColor="text1"/>
                      <w:spacing w:val="0"/>
                      <w:w w:val="100"/>
                      <w:kern w:val="0"/>
                      <w:position w:val="0"/>
                      <w:sz w:val="21"/>
                      <w:szCs w:val="21"/>
                      <w:lang w:val="en-US"/>
                      <w14:textFill>
                        <w14:solidFill>
                          <w14:schemeClr w14:val="tx1"/>
                        </w14:solidFill>
                      </w14:textFill>
                    </w:rPr>
                    <w:t>本项目不属于</w:t>
                  </w:r>
                  <w:r>
                    <w:rPr>
                      <w:rStyle w:val="85"/>
                      <w:rFonts w:hint="eastAsia" w:eastAsia="宋体" w:cs="Times New Roman"/>
                      <w:caps w:val="0"/>
                      <w:smallCaps w:val="0"/>
                      <w:color w:val="000000" w:themeColor="text1"/>
                      <w:spacing w:val="0"/>
                      <w:w w:val="100"/>
                      <w:kern w:val="0"/>
                      <w:position w:val="0"/>
                      <w:sz w:val="21"/>
                      <w:szCs w:val="21"/>
                      <w14:textFill>
                        <w14:solidFill>
                          <w14:schemeClr w14:val="tx1"/>
                        </w14:solidFill>
                      </w14:textFill>
                    </w:rPr>
                    <w:t>《产业结构调整指导目录》《产业发展与转移指导目录》</w:t>
                  </w:r>
                  <w:r>
                    <w:rPr>
                      <w:rStyle w:val="85"/>
                      <w:rFonts w:hint="eastAsia" w:eastAsia="宋体" w:cs="Times New Roman"/>
                      <w:caps w:val="0"/>
                      <w:smallCaps w:val="0"/>
                      <w:color w:val="000000" w:themeColor="text1"/>
                      <w:spacing w:val="0"/>
                      <w:w w:val="100"/>
                      <w:kern w:val="0"/>
                      <w:position w:val="0"/>
                      <w:sz w:val="21"/>
                      <w:szCs w:val="21"/>
                      <w:lang w:val="en-US"/>
                      <w14:textFill>
                        <w14:solidFill>
                          <w14:schemeClr w14:val="tx1"/>
                        </w14:solidFill>
                      </w14:textFill>
                    </w:rPr>
                    <w:t>中的禁止类和限制类项目，也不属于“两高”项目。</w:t>
                  </w:r>
                </w:p>
              </w:tc>
              <w:tc>
                <w:tcPr>
                  <w:tcW w:w="324" w:type="pct"/>
                  <w:tcBorders>
                    <w:top w:val="single" w:color="auto" w:sz="4" w:space="0"/>
                    <w:left w:val="single" w:color="auto" w:sz="4" w:space="0"/>
                    <w:bottom w:val="single" w:color="auto" w:sz="4" w:space="0"/>
                    <w:right w:val="single" w:color="auto" w:sz="4" w:space="0"/>
                  </w:tcBorders>
                  <w:noWrap w:val="0"/>
                  <w:vAlign w:val="center"/>
                </w:tcPr>
                <w:p w14:paraId="332261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default" w:eastAsia="宋体" w:cs="Times New Roman"/>
                      <w:caps w:val="0"/>
                      <w:smallCaps w:val="0"/>
                      <w:color w:val="000000" w:themeColor="text1"/>
                      <w:spacing w:val="0"/>
                      <w:w w:val="100"/>
                      <w:kern w:val="0"/>
                      <w:position w:val="0"/>
                      <w:sz w:val="21"/>
                      <w:szCs w:val="21"/>
                      <w:lang w:val="en-US"/>
                      <w14:textFill>
                        <w14:solidFill>
                          <w14:schemeClr w14:val="tx1"/>
                        </w14:solidFill>
                      </w14:textFill>
                    </w:rPr>
                  </w:pP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符合</w:t>
                  </w:r>
                </w:p>
              </w:tc>
            </w:tr>
            <w:tr w14:paraId="3CEEA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237" w:type="pct"/>
                  <w:vMerge w:val="continue"/>
                  <w:tcBorders>
                    <w:left w:val="single" w:color="auto" w:sz="4" w:space="0"/>
                    <w:right w:val="single" w:color="auto" w:sz="4" w:space="0"/>
                  </w:tcBorders>
                  <w:noWrap w:val="0"/>
                  <w:vAlign w:val="center"/>
                </w:tcPr>
                <w:p w14:paraId="3A2482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eastAsia="宋体" w:cs="Times New Roman"/>
                      <w:caps w:val="0"/>
                      <w:smallCaps w:val="0"/>
                      <w:color w:val="000000" w:themeColor="text1"/>
                      <w:spacing w:val="0"/>
                      <w:w w:val="100"/>
                      <w:kern w:val="0"/>
                      <w:position w:val="0"/>
                      <w:sz w:val="21"/>
                      <w:szCs w:val="21"/>
                      <w:lang w:val="en-US"/>
                      <w14:textFill>
                        <w14:solidFill>
                          <w14:schemeClr w14:val="tx1"/>
                        </w14:solidFill>
                      </w14:textFill>
                    </w:rPr>
                  </w:pPr>
                </w:p>
              </w:tc>
              <w:tc>
                <w:tcPr>
                  <w:tcW w:w="500" w:type="pct"/>
                  <w:vMerge w:val="continue"/>
                  <w:tcBorders>
                    <w:left w:val="single" w:color="auto" w:sz="4" w:space="0"/>
                    <w:right w:val="single" w:color="auto" w:sz="4" w:space="0"/>
                  </w:tcBorders>
                  <w:noWrap w:val="0"/>
                  <w:vAlign w:val="center"/>
                </w:tcPr>
                <w:p w14:paraId="0FE83C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aps w:val="0"/>
                      <w:smallCaps w:val="0"/>
                      <w:color w:val="000000" w:themeColor="text1"/>
                      <w:spacing w:val="0"/>
                      <w:w w:val="100"/>
                      <w:position w:val="0"/>
                      <w:sz w:val="21"/>
                      <w:szCs w:val="21"/>
                      <w:lang w:eastAsia="zh-CN"/>
                      <w14:textFill>
                        <w14:solidFill>
                          <w14:schemeClr w14:val="tx1"/>
                        </w14:solidFill>
                      </w14:textFill>
                    </w:rPr>
                  </w:pPr>
                </w:p>
              </w:tc>
              <w:tc>
                <w:tcPr>
                  <w:tcW w:w="24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1C230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r>
                    <w:rPr>
                      <w:rStyle w:val="85"/>
                      <w:rFonts w:hint="eastAsia" w:eastAsia="宋体" w:cs="Times New Roman"/>
                      <w:caps w:val="0"/>
                      <w:smallCaps w:val="0"/>
                      <w:color w:val="000000" w:themeColor="text1"/>
                      <w:spacing w:val="0"/>
                      <w:w w:val="100"/>
                      <w:kern w:val="0"/>
                      <w:position w:val="0"/>
                      <w:sz w:val="21"/>
                      <w:szCs w:val="21"/>
                      <w14:textFill>
                        <w14:solidFill>
                          <w14:schemeClr w14:val="tx1"/>
                        </w14:solidFill>
                      </w14:textFill>
                    </w:rPr>
                    <w:t>8.开展臭氧污染防治攻坚。以石化、化工、涂装、医药、包装印刷、油品储运销等行业领域为重点，开展2022年度挥发性有机物综合治理，完成挥发性有机物突出问题排查治理。挥发性有机物年排放量1吨及以上企业编制实施“一厂一策”。严格执行涂料、油墨、胶粘剂、清洗剂VOCs含量限值标准，开展年度含VOCs 原辅材料达标情况联合检查。推进实施重点行业低</w:t>
                  </w:r>
                  <w:r>
                    <w:rPr>
                      <w:rStyle w:val="85"/>
                      <w:rFonts w:hint="eastAsia" w:eastAsia="宋体" w:cs="Times New Roman"/>
                      <w:caps w:val="0"/>
                      <w:smallCaps w:val="0"/>
                      <w:color w:val="000000" w:themeColor="text1"/>
                      <w:spacing w:val="0"/>
                      <w:w w:val="100"/>
                      <w:kern w:val="0"/>
                      <w:position w:val="0"/>
                      <w:sz w:val="21"/>
                      <w:szCs w:val="21"/>
                      <w:lang w:val="en-US"/>
                      <w14:textFill>
                        <w14:solidFill>
                          <w14:schemeClr w14:val="tx1"/>
                        </w14:solidFill>
                      </w14:textFill>
                    </w:rPr>
                    <w:t>V</w:t>
                  </w:r>
                  <w:r>
                    <w:rPr>
                      <w:rStyle w:val="85"/>
                      <w:rFonts w:hint="eastAsia" w:eastAsia="宋体" w:cs="Times New Roman"/>
                      <w:caps w:val="0"/>
                      <w:smallCaps w:val="0"/>
                      <w:color w:val="000000" w:themeColor="text1"/>
                      <w:spacing w:val="0"/>
                      <w:w w:val="100"/>
                      <w:kern w:val="0"/>
                      <w:position w:val="0"/>
                      <w:sz w:val="21"/>
                      <w:szCs w:val="21"/>
                      <w14:textFill>
                        <w14:solidFill>
                          <w14:schemeClr w14:val="tx1"/>
                        </w14:solidFill>
                      </w14:textFill>
                    </w:rPr>
                    <w:t>OCs含量原辅材料源头替代。开展企业升级改造和区域环境综合整治，建立家具制造、木材加工等涉气产业集群排查治理清单，重点涉VOCs 工业园区及产业集群编制执行VOCs综合治理“一园一案”。实施工业锅炉和炉窑提标改造和清洁能源替代，推动焦化、玻璃等行业深度治理。加快推进马钢等钢铁企业超低排放改造，力争2022年底前基本完成。全面摸排现有工业燃煤锅炉，明确超低排放改造时间表。</w:t>
                  </w:r>
                </w:p>
              </w:tc>
              <w:tc>
                <w:tcPr>
                  <w:tcW w:w="14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DB67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t>建设单位项目运营后根据实际生产情况按照要求完成VOCs</w:t>
                  </w:r>
                  <w:r>
                    <w:rPr>
                      <w:rFonts w:hint="eastAsia"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t>“一厂一策”方案的编制</w:t>
                  </w:r>
                  <w:r>
                    <w:rPr>
                      <w:rFonts w:hint="eastAsia" w:ascii="Times New Roman" w:hAnsi="Times New Roman" w:eastAsia="宋体" w:cs="Times New Roman"/>
                      <w:caps w:val="0"/>
                      <w:smallCaps w:val="0"/>
                      <w:color w:val="000000" w:themeColor="text1"/>
                      <w:spacing w:val="0"/>
                      <w:w w:val="100"/>
                      <w:position w:val="0"/>
                      <w:sz w:val="21"/>
                      <w:szCs w:val="21"/>
                      <w:lang w:eastAsia="zh-CN"/>
                      <w14:textFill>
                        <w14:solidFill>
                          <w14:schemeClr w14:val="tx1"/>
                        </w14:solidFill>
                      </w14:textFill>
                    </w:rPr>
                    <w:t>。</w:t>
                  </w:r>
                </w:p>
              </w:tc>
              <w:tc>
                <w:tcPr>
                  <w:tcW w:w="32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76C9B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aps w:val="0"/>
                      <w:smallCaps w:val="0"/>
                      <w:color w:val="000000" w:themeColor="text1"/>
                      <w:spacing w:val="0"/>
                      <w:w w:val="100"/>
                      <w:kern w:val="2"/>
                      <w:position w:val="0"/>
                      <w:sz w:val="21"/>
                      <w:szCs w:val="21"/>
                      <w:lang w:val="en-US" w:eastAsia="zh-CN" w:bidi="ar-SA"/>
                      <w14:textFill>
                        <w14:solidFill>
                          <w14:schemeClr w14:val="tx1"/>
                        </w14:solidFill>
                      </w14:textFill>
                    </w:rPr>
                  </w:pP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符合</w:t>
                  </w:r>
                </w:p>
              </w:tc>
            </w:tr>
            <w:tr w14:paraId="23B10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37" w:type="pct"/>
                  <w:vMerge w:val="restart"/>
                  <w:tcBorders>
                    <w:left w:val="single" w:color="auto" w:sz="4" w:space="0"/>
                    <w:right w:val="single" w:color="auto" w:sz="4" w:space="0"/>
                  </w:tcBorders>
                  <w:noWrap w:val="0"/>
                  <w:vAlign w:val="center"/>
                </w:tcPr>
                <w:p w14:paraId="23F6DA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default"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pP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t>2</w:t>
                  </w:r>
                </w:p>
              </w:tc>
              <w:tc>
                <w:tcPr>
                  <w:tcW w:w="500" w:type="pct"/>
                  <w:vMerge w:val="restart"/>
                  <w:tcBorders>
                    <w:top w:val="single" w:color="auto" w:sz="4" w:space="0"/>
                    <w:left w:val="single" w:color="auto" w:sz="4" w:space="0"/>
                    <w:right w:val="single" w:color="auto" w:sz="4" w:space="0"/>
                  </w:tcBorders>
                  <w:noWrap w:val="0"/>
                  <w:vAlign w:val="center"/>
                </w:tcPr>
                <w:p w14:paraId="41ECBF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pP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t>《</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t>池州市“十四五”生态环境保护规划</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t>》</w:t>
                  </w:r>
                </w:p>
              </w:tc>
              <w:tc>
                <w:tcPr>
                  <w:tcW w:w="2489" w:type="pct"/>
                  <w:tcBorders>
                    <w:top w:val="single" w:color="auto" w:sz="4" w:space="0"/>
                    <w:left w:val="single" w:color="auto" w:sz="4" w:space="0"/>
                    <w:bottom w:val="single" w:color="auto" w:sz="4" w:space="0"/>
                    <w:right w:val="single" w:color="auto" w:sz="4" w:space="0"/>
                  </w:tcBorders>
                  <w:noWrap w:val="0"/>
                  <w:vAlign w:val="center"/>
                </w:tcPr>
                <w:p w14:paraId="03853B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开展挥发性有机物</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 xml:space="preserve"> VOCs </w:t>
                  </w:r>
                  <w:r>
                    <w:rPr>
                      <w:rStyle w:val="85"/>
                      <w:rFonts w:hint="eastAsia" w:eastAsia="宋体"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专项治理。推进重点行业 VOCs治理，将符合国家要求的低VOCs含量原辅材料的企业纳入正面清单和政府绿色采购清单。在省级以上工业园区试点建设“绿岛”，统筹规划建设一批集中涂装中心、活性炭集中处理中心、溶剂回收中心等，实现 VOCs集中高效处理。全面加强油品储运销VOCs综合治理，强化油气回收设施的运行监管。</w:t>
                  </w:r>
                </w:p>
              </w:tc>
              <w:tc>
                <w:tcPr>
                  <w:tcW w:w="1448" w:type="pct"/>
                  <w:vMerge w:val="restart"/>
                  <w:tcBorders>
                    <w:top w:val="single" w:color="auto" w:sz="4" w:space="0"/>
                    <w:left w:val="single" w:color="auto" w:sz="4" w:space="0"/>
                    <w:right w:val="single" w:color="auto" w:sz="4" w:space="0"/>
                  </w:tcBorders>
                  <w:noWrap w:val="0"/>
                  <w:vAlign w:val="center"/>
                </w:tcPr>
                <w:p w14:paraId="480C7E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Style w:val="85"/>
                      <w:rFonts w:hint="default"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pPr>
                  <w:r>
                    <w:rPr>
                      <w:rFonts w:hint="eastAsia" w:cs="Times New Roman"/>
                      <w:i w:val="0"/>
                      <w:iCs w:val="0"/>
                      <w:color w:val="000000" w:themeColor="text1"/>
                      <w:spacing w:val="0"/>
                      <w:w w:val="100"/>
                      <w:kern w:val="0"/>
                      <w:sz w:val="21"/>
                      <w:szCs w:val="21"/>
                      <w:u w:val="none"/>
                      <w:lang w:val="en-US" w:eastAsia="zh-CN" w:bidi="ar"/>
                      <w14:textFill>
                        <w14:solidFill>
                          <w14:schemeClr w14:val="tx1"/>
                        </w14:solidFill>
                      </w14:textFill>
                    </w:rPr>
                    <w:t>项目热解产生的不凝气VOCs经焚烧后，采用二级活性炭吸附装置进一步处理达标后排放。</w:t>
                  </w:r>
                </w:p>
              </w:tc>
              <w:tc>
                <w:tcPr>
                  <w:tcW w:w="324" w:type="pct"/>
                  <w:vMerge w:val="restart"/>
                  <w:tcBorders>
                    <w:top w:val="single" w:color="auto" w:sz="4" w:space="0"/>
                    <w:left w:val="single" w:color="auto" w:sz="4" w:space="0"/>
                    <w:right w:val="single" w:color="auto" w:sz="4" w:space="0"/>
                  </w:tcBorders>
                  <w:noWrap w:val="0"/>
                  <w:vAlign w:val="center"/>
                </w:tcPr>
                <w:p w14:paraId="17263D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000000" w:themeColor="text1"/>
                      <w:spacing w:val="0"/>
                      <w:w w:val="100"/>
                      <w:position w:val="0"/>
                      <w:sz w:val="21"/>
                      <w:szCs w:val="21"/>
                      <w:lang w:val="en-US" w:eastAsia="zh-CN"/>
                      <w14:textFill>
                        <w14:solidFill>
                          <w14:schemeClr w14:val="tx1"/>
                        </w14:solidFill>
                      </w14:textFill>
                    </w:rPr>
                  </w:pPr>
                  <w:r>
                    <w:rPr>
                      <w:rStyle w:val="85"/>
                      <w:rFonts w:hint="default"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符合</w:t>
                  </w:r>
                </w:p>
              </w:tc>
            </w:tr>
            <w:tr w14:paraId="23DF5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237" w:type="pct"/>
                  <w:vMerge w:val="continue"/>
                  <w:tcBorders>
                    <w:left w:val="single" w:color="auto" w:sz="4" w:space="0"/>
                    <w:right w:val="single" w:color="auto" w:sz="4" w:space="0"/>
                  </w:tcBorders>
                  <w:noWrap w:val="0"/>
                  <w:vAlign w:val="center"/>
                </w:tcPr>
                <w:p w14:paraId="722558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pPr>
                </w:p>
              </w:tc>
              <w:tc>
                <w:tcPr>
                  <w:tcW w:w="500" w:type="pct"/>
                  <w:vMerge w:val="continue"/>
                  <w:tcBorders>
                    <w:left w:val="single" w:color="auto" w:sz="4" w:space="0"/>
                    <w:right w:val="single" w:color="auto" w:sz="4" w:space="0"/>
                  </w:tcBorders>
                  <w:noWrap w:val="0"/>
                  <w:vAlign w:val="center"/>
                </w:tcPr>
                <w:p w14:paraId="2A5056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pPr>
                </w:p>
              </w:tc>
              <w:tc>
                <w:tcPr>
                  <w:tcW w:w="2489" w:type="pct"/>
                  <w:tcBorders>
                    <w:top w:val="single" w:color="auto" w:sz="4" w:space="0"/>
                    <w:left w:val="single" w:color="auto" w:sz="4" w:space="0"/>
                    <w:bottom w:val="single" w:color="auto" w:sz="4" w:space="0"/>
                    <w:right w:val="single" w:color="auto" w:sz="4" w:space="0"/>
                  </w:tcBorders>
                  <w:noWrap w:val="0"/>
                  <w:vAlign w:val="center"/>
                </w:tcPr>
                <w:p w14:paraId="7AC339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加强细颗粒物和臭氧协同控制。制定细颗粒物和臭氧协同控制持续改善空气质量行动计划，科学确定细颗粒物和臭氧减排目标和比例。实施氮氧化物和VOCs总量控制，深化涉 VOCs园区和产业集群升级改造，推进重点行业氮氧化物治理，实施源头、过程、末端全流程、全链条、全环节管控，推动PM</w:t>
                  </w:r>
                  <w:r>
                    <w:rPr>
                      <w:rStyle w:val="85"/>
                      <w:rFonts w:hint="eastAsia" w:ascii="Times New Roman" w:hAnsi="Times New Roman" w:eastAsia="宋体" w:cs="Times New Roman"/>
                      <w:caps w:val="0"/>
                      <w:smallCaps w:val="0"/>
                      <w:color w:val="000000" w:themeColor="text1"/>
                      <w:spacing w:val="0"/>
                      <w:w w:val="100"/>
                      <w:kern w:val="0"/>
                      <w:position w:val="0"/>
                      <w:sz w:val="21"/>
                      <w:szCs w:val="21"/>
                      <w:vertAlign w:val="subscript"/>
                      <w:lang w:val="en-US"/>
                      <w14:textFill>
                        <w14:solidFill>
                          <w14:schemeClr w14:val="tx1"/>
                        </w14:solidFill>
                      </w14:textFill>
                    </w:rPr>
                    <w:t>2.5</w:t>
                  </w:r>
                  <w:r>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持续下降，有效遏制臭氧</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O</w:t>
                  </w:r>
                  <w:r>
                    <w:rPr>
                      <w:rStyle w:val="85"/>
                      <w:rFonts w:hint="eastAsia" w:ascii="Times New Roman" w:hAnsi="Times New Roman" w:eastAsia="宋体" w:cs="Times New Roman"/>
                      <w:caps w:val="0"/>
                      <w:smallCaps w:val="0"/>
                      <w:color w:val="000000" w:themeColor="text1"/>
                      <w:spacing w:val="0"/>
                      <w:w w:val="100"/>
                      <w:kern w:val="0"/>
                      <w:position w:val="0"/>
                      <w:sz w:val="21"/>
                      <w:szCs w:val="21"/>
                      <w:vertAlign w:val="subscript"/>
                      <w:lang w:val="en-US"/>
                      <w14:textFill>
                        <w14:solidFill>
                          <w14:schemeClr w14:val="tx1"/>
                        </w14:solidFill>
                      </w14:textFill>
                    </w:rPr>
                    <w:t>3</w:t>
                  </w:r>
                  <w:r>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）增长趋势。开展臭氧形成机理研究与来源解析，深入研究细颗粒物和臭氧污染协同作用机理，加强协同治理关键技术攻关。</w:t>
                  </w:r>
                </w:p>
              </w:tc>
              <w:tc>
                <w:tcPr>
                  <w:tcW w:w="1448" w:type="pct"/>
                  <w:vMerge w:val="continue"/>
                  <w:tcBorders>
                    <w:left w:val="single" w:color="auto" w:sz="4" w:space="0"/>
                    <w:bottom w:val="single" w:color="auto" w:sz="4" w:space="0"/>
                    <w:right w:val="single" w:color="auto" w:sz="4" w:space="0"/>
                  </w:tcBorders>
                  <w:noWrap w:val="0"/>
                  <w:vAlign w:val="center"/>
                </w:tcPr>
                <w:p w14:paraId="60E439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default"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pPr>
                </w:p>
              </w:tc>
              <w:tc>
                <w:tcPr>
                  <w:tcW w:w="324" w:type="pct"/>
                  <w:vMerge w:val="continue"/>
                  <w:tcBorders>
                    <w:left w:val="single" w:color="auto" w:sz="4" w:space="0"/>
                    <w:bottom w:val="single" w:color="auto" w:sz="4" w:space="0"/>
                    <w:right w:val="single" w:color="auto" w:sz="4" w:space="0"/>
                  </w:tcBorders>
                  <w:noWrap w:val="0"/>
                  <w:vAlign w:val="center"/>
                </w:tcPr>
                <w:p w14:paraId="3AB27D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aps w:val="0"/>
                      <w:smallCaps w:val="0"/>
                      <w:color w:val="000000" w:themeColor="text1"/>
                      <w:spacing w:val="0"/>
                      <w:w w:val="100"/>
                      <w:position w:val="0"/>
                      <w:sz w:val="21"/>
                      <w:szCs w:val="21"/>
                      <w:lang w:val="en-US" w:eastAsia="zh-CN"/>
                      <w14:textFill>
                        <w14:solidFill>
                          <w14:schemeClr w14:val="tx1"/>
                        </w14:solidFill>
                      </w14:textFill>
                    </w:rPr>
                  </w:pPr>
                </w:p>
              </w:tc>
            </w:tr>
            <w:tr w14:paraId="68E4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237" w:type="pct"/>
                  <w:vMerge w:val="continue"/>
                  <w:tcBorders>
                    <w:left w:val="single" w:color="auto" w:sz="4" w:space="0"/>
                    <w:right w:val="single" w:color="auto" w:sz="4" w:space="0"/>
                  </w:tcBorders>
                  <w:noWrap w:val="0"/>
                  <w:vAlign w:val="center"/>
                </w:tcPr>
                <w:p w14:paraId="40A572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pPr>
                </w:p>
              </w:tc>
              <w:tc>
                <w:tcPr>
                  <w:tcW w:w="500" w:type="pct"/>
                  <w:vMerge w:val="continue"/>
                  <w:tcBorders>
                    <w:left w:val="single" w:color="auto" w:sz="4" w:space="0"/>
                    <w:right w:val="single" w:color="auto" w:sz="4" w:space="0"/>
                  </w:tcBorders>
                  <w:noWrap w:val="0"/>
                  <w:vAlign w:val="center"/>
                </w:tcPr>
                <w:p w14:paraId="211428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pPr>
                </w:p>
              </w:tc>
              <w:tc>
                <w:tcPr>
                  <w:tcW w:w="2489" w:type="pct"/>
                  <w:tcBorders>
                    <w:top w:val="single" w:color="auto" w:sz="4" w:space="0"/>
                    <w:left w:val="single" w:color="auto" w:sz="4" w:space="0"/>
                    <w:bottom w:val="single" w:color="auto" w:sz="4" w:space="0"/>
                    <w:right w:val="single" w:color="auto" w:sz="4" w:space="0"/>
                  </w:tcBorders>
                  <w:noWrap w:val="0"/>
                  <w:vAlign w:val="center"/>
                </w:tcPr>
                <w:p w14:paraId="06ABB9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eastAsia="宋体" w:cs="Times New Roman"/>
                      <w:caps w:val="0"/>
                      <w:smallCaps w:val="0"/>
                      <w:color w:val="000000" w:themeColor="text1"/>
                      <w:spacing w:val="0"/>
                      <w:w w:val="100"/>
                      <w:kern w:val="0"/>
                      <w:position w:val="0"/>
                      <w:sz w:val="21"/>
                      <w:szCs w:val="21"/>
                      <w14:textFill>
                        <w14:solidFill>
                          <w14:schemeClr w14:val="tx1"/>
                        </w14:solidFill>
                      </w14:textFill>
                    </w:rPr>
                    <w:t>严格控制新增土壤污染。完善池州市土壤环境质量数据库建设，加强未利用地的环境质量管理，建立土壤污染地块名录及其开发利用的负面清单，开展疑似地块土壤环境调查、风险评估。强化有色冶炼、化工、危险废物处置等重点行业新建项目土壤环境影响评价，防止在产业结构和布局调整过程中造成新的难以治理的土壤污染。建立污染企业环境影响后评价制度，开展污染排放企业场地和周边区域环境污染状况评估工作。</w:t>
                  </w:r>
                </w:p>
              </w:tc>
              <w:tc>
                <w:tcPr>
                  <w:tcW w:w="1448" w:type="pct"/>
                  <w:tcBorders>
                    <w:left w:val="single" w:color="auto" w:sz="4" w:space="0"/>
                    <w:bottom w:val="single" w:color="auto" w:sz="4" w:space="0"/>
                    <w:right w:val="single" w:color="auto" w:sz="4" w:space="0"/>
                  </w:tcBorders>
                  <w:noWrap w:val="0"/>
                  <w:vAlign w:val="center"/>
                </w:tcPr>
                <w:p w14:paraId="7B8E49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aps w:val="0"/>
                      <w:smallCaps w:val="0"/>
                      <w:color w:val="000000" w:themeColor="text1"/>
                      <w:spacing w:val="0"/>
                      <w:w w:val="100"/>
                      <w:positio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w w:val="100"/>
                      <w:position w:val="0"/>
                      <w:sz w:val="21"/>
                      <w:szCs w:val="21"/>
                      <w:lang w:val="en-US" w:eastAsia="zh-CN"/>
                      <w14:textFill>
                        <w14:solidFill>
                          <w14:schemeClr w14:val="tx1"/>
                        </w14:solidFill>
                      </w14:textFill>
                    </w:rPr>
                    <w:t>本项目严格做好分区防渗措施</w:t>
                  </w:r>
                  <w:r>
                    <w:rPr>
                      <w:rStyle w:val="85"/>
                      <w:rFonts w:hint="eastAsia" w:eastAsia="宋体" w:cs="Times New Roman"/>
                      <w:caps w:val="0"/>
                      <w:smallCaps w:val="0"/>
                      <w:color w:val="000000" w:themeColor="text1"/>
                      <w:spacing w:val="0"/>
                      <w:w w:val="100"/>
                      <w:kern w:val="0"/>
                      <w:position w:val="0"/>
                      <w:sz w:val="21"/>
                      <w:szCs w:val="21"/>
                      <w14:textFill>
                        <w14:solidFill>
                          <w14:schemeClr w14:val="tx1"/>
                        </w14:solidFill>
                      </w14:textFill>
                    </w:rPr>
                    <w:t>。</w:t>
                  </w:r>
                </w:p>
              </w:tc>
              <w:tc>
                <w:tcPr>
                  <w:tcW w:w="324" w:type="pct"/>
                  <w:tcBorders>
                    <w:top w:val="single" w:color="auto" w:sz="4" w:space="0"/>
                    <w:left w:val="single" w:color="auto" w:sz="4" w:space="0"/>
                    <w:bottom w:val="single" w:color="auto" w:sz="4" w:space="0"/>
                    <w:right w:val="single" w:color="auto" w:sz="4" w:space="0"/>
                  </w:tcBorders>
                  <w:noWrap w:val="0"/>
                  <w:vAlign w:val="center"/>
                </w:tcPr>
                <w:p w14:paraId="0ED259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aps w:val="0"/>
                      <w:smallCaps w:val="0"/>
                      <w:color w:val="000000" w:themeColor="text1"/>
                      <w:spacing w:val="0"/>
                      <w:w w:val="100"/>
                      <w:position w:val="0"/>
                      <w:sz w:val="21"/>
                      <w:szCs w:val="21"/>
                      <w:lang w:val="en-US" w:eastAsia="zh-CN"/>
                      <w14:textFill>
                        <w14:solidFill>
                          <w14:schemeClr w14:val="tx1"/>
                        </w14:solidFill>
                      </w14:textFill>
                    </w:rPr>
                  </w:pP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符合</w:t>
                  </w:r>
                </w:p>
              </w:tc>
            </w:tr>
            <w:tr w14:paraId="74EE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237" w:type="pct"/>
                  <w:vMerge w:val="continue"/>
                  <w:tcBorders>
                    <w:left w:val="single" w:color="auto" w:sz="4" w:space="0"/>
                    <w:bottom w:val="single" w:color="auto" w:sz="4" w:space="0"/>
                    <w:right w:val="single" w:color="auto" w:sz="4" w:space="0"/>
                  </w:tcBorders>
                  <w:noWrap w:val="0"/>
                  <w:vAlign w:val="center"/>
                </w:tcPr>
                <w:p w14:paraId="59E712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pPr>
                </w:p>
              </w:tc>
              <w:tc>
                <w:tcPr>
                  <w:tcW w:w="500" w:type="pct"/>
                  <w:vMerge w:val="continue"/>
                  <w:tcBorders>
                    <w:left w:val="single" w:color="auto" w:sz="4" w:space="0"/>
                    <w:bottom w:val="single" w:color="auto" w:sz="4" w:space="0"/>
                    <w:right w:val="single" w:color="auto" w:sz="4" w:space="0"/>
                  </w:tcBorders>
                  <w:noWrap w:val="0"/>
                  <w:vAlign w:val="center"/>
                </w:tcPr>
                <w:p w14:paraId="651F60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pPr>
                </w:p>
              </w:tc>
              <w:tc>
                <w:tcPr>
                  <w:tcW w:w="2489" w:type="pct"/>
                  <w:tcBorders>
                    <w:top w:val="single" w:color="auto" w:sz="4" w:space="0"/>
                    <w:left w:val="single" w:color="auto" w:sz="4" w:space="0"/>
                    <w:bottom w:val="single" w:color="auto" w:sz="4" w:space="0"/>
                    <w:right w:val="single" w:color="auto" w:sz="4" w:space="0"/>
                  </w:tcBorders>
                  <w:noWrap w:val="0"/>
                  <w:vAlign w:val="center"/>
                </w:tcPr>
                <w:p w14:paraId="7CE5CA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加强危险废物规范化管理。深入实施《危险废物专项整治三年行动实施方案》，对化工园区、尾矿库等重点地区开展危险废物环境风险隐患专项排查。实现危险废物产生情况在线申报、管理计划在线备案、转移联单在线运行、利用处置情况在线报告的全过程在线监控，加强危险废物监管体系建设。加快危险废物收集、贮存设施建设，逐步实现对各类危险废物“就地分类收集、安全及时转移、实时全程监控”"的规范化监管，有效遏制危险废物非法转移、处置造成的环境污染。合理布局危险废物处理处置项目，新建5.1万吨/年危险废物焚烧和综合利用项目。开展化学品和新化学品物质使用情况调查及监控评估，强化废弃危险化学品监管，防止化学品环境污染事故的发生。</w:t>
                  </w:r>
                </w:p>
              </w:tc>
              <w:tc>
                <w:tcPr>
                  <w:tcW w:w="1448" w:type="pct"/>
                  <w:tcBorders>
                    <w:left w:val="single" w:color="auto" w:sz="4" w:space="0"/>
                    <w:bottom w:val="single" w:color="auto" w:sz="4" w:space="0"/>
                    <w:right w:val="single" w:color="auto" w:sz="4" w:space="0"/>
                  </w:tcBorders>
                  <w:noWrap w:val="0"/>
                  <w:vAlign w:val="center"/>
                </w:tcPr>
                <w:p w14:paraId="1C18A3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Style w:val="85"/>
                      <w:rFonts w:hint="default"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pP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t>危险废物分类收集后暂存危废库内，</w:t>
                  </w:r>
                  <w:r>
                    <w:rPr>
                      <w:rFonts w:hint="default"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t>按照《危险废物贮存污染控制标准》</w:t>
                  </w:r>
                  <w:r>
                    <w:rPr>
                      <w:rFonts w:hint="eastAsia" w:cs="Times New Roman"/>
                      <w:caps w:val="0"/>
                      <w:smallCaps w:val="0"/>
                      <w:color w:val="000000" w:themeColor="text1"/>
                      <w:spacing w:val="0"/>
                      <w:w w:val="100"/>
                      <w:position w:val="0"/>
                      <w:sz w:val="21"/>
                      <w:szCs w:val="21"/>
                      <w:lang w:eastAsia="zh-CN"/>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t>GB18597-20</w:t>
                  </w:r>
                  <w:r>
                    <w:rPr>
                      <w:rFonts w:hint="eastAsia" w:ascii="Times New Roman" w:hAnsi="Times New Roman" w:eastAsia="宋体" w:cs="Times New Roman"/>
                      <w:caps w:val="0"/>
                      <w:smallCaps w:val="0"/>
                      <w:color w:val="000000" w:themeColor="text1"/>
                      <w:spacing w:val="0"/>
                      <w:w w:val="100"/>
                      <w:position w:val="0"/>
                      <w:sz w:val="21"/>
                      <w:szCs w:val="21"/>
                      <w:lang w:val="en-US" w:eastAsia="zh-CN"/>
                      <w14:textFill>
                        <w14:solidFill>
                          <w14:schemeClr w14:val="tx1"/>
                        </w14:solidFill>
                      </w14:textFill>
                    </w:rPr>
                    <w:t>23</w:t>
                  </w:r>
                  <w:r>
                    <w:rPr>
                      <w:rFonts w:hint="default"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t>）中的有关规定执行</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，保证危险废物暂存过程对周边环境不产生影响。</w:t>
                  </w:r>
                </w:p>
              </w:tc>
              <w:tc>
                <w:tcPr>
                  <w:tcW w:w="324" w:type="pct"/>
                  <w:tcBorders>
                    <w:top w:val="single" w:color="auto" w:sz="4" w:space="0"/>
                    <w:left w:val="single" w:color="auto" w:sz="4" w:space="0"/>
                    <w:bottom w:val="single" w:color="auto" w:sz="4" w:space="0"/>
                    <w:right w:val="single" w:color="auto" w:sz="4" w:space="0"/>
                  </w:tcBorders>
                  <w:noWrap w:val="0"/>
                  <w:vAlign w:val="center"/>
                </w:tcPr>
                <w:p w14:paraId="136A75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aps w:val="0"/>
                      <w:smallCaps w:val="0"/>
                      <w:color w:val="000000" w:themeColor="text1"/>
                      <w:spacing w:val="0"/>
                      <w:w w:val="100"/>
                      <w:position w:val="0"/>
                      <w:sz w:val="21"/>
                      <w:szCs w:val="21"/>
                      <w:lang w:val="en-US" w:eastAsia="zh-CN"/>
                      <w14:textFill>
                        <w14:solidFill>
                          <w14:schemeClr w14:val="tx1"/>
                        </w14:solidFill>
                      </w14:textFill>
                    </w:rPr>
                  </w:pP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符合</w:t>
                  </w:r>
                </w:p>
              </w:tc>
            </w:tr>
            <w:tr w14:paraId="7B89B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7" w:type="pct"/>
                  <w:tcBorders>
                    <w:left w:val="single" w:color="auto" w:sz="4" w:space="0"/>
                    <w:right w:val="single" w:color="auto" w:sz="4" w:space="0"/>
                  </w:tcBorders>
                  <w:noWrap w:val="0"/>
                  <w:vAlign w:val="center"/>
                </w:tcPr>
                <w:p w14:paraId="3A4FDA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hint="default"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pPr>
                  <w:r>
                    <w:rPr>
                      <w:rStyle w:val="85"/>
                      <w:rFonts w:hint="eastAsia" w:eastAsia="宋体" w:cs="Times New Roman"/>
                      <w:caps w:val="0"/>
                      <w:smallCaps w:val="0"/>
                      <w:color w:val="000000" w:themeColor="text1"/>
                      <w:spacing w:val="0"/>
                      <w:w w:val="100"/>
                      <w:kern w:val="0"/>
                      <w:position w:val="0"/>
                      <w:sz w:val="21"/>
                      <w:szCs w:val="21"/>
                      <w:lang w:val="en-US"/>
                      <w14:textFill>
                        <w14:solidFill>
                          <w14:schemeClr w14:val="tx1"/>
                        </w14:solidFill>
                      </w14:textFill>
                    </w:rPr>
                    <w:t>3</w:t>
                  </w:r>
                </w:p>
              </w:tc>
              <w:tc>
                <w:tcPr>
                  <w:tcW w:w="500" w:type="pct"/>
                  <w:tcBorders>
                    <w:left w:val="single" w:color="auto" w:sz="4" w:space="0"/>
                    <w:right w:val="single" w:color="auto" w:sz="4" w:space="0"/>
                  </w:tcBorders>
                  <w:shd w:val="clear" w:color="auto" w:fill="auto"/>
                  <w:noWrap w:val="0"/>
                  <w:vAlign w:val="center"/>
                </w:tcPr>
                <w:p w14:paraId="4C0A415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Times New Roman" w:hAnsi="Times New Roman" w:eastAsia="宋体" w:cs="Times New Roman"/>
                      <w:caps w:val="0"/>
                      <w:snapToGrid w:val="0"/>
                      <w:color w:val="000000" w:themeColor="text1"/>
                      <w:spacing w:val="0"/>
                      <w:w w:val="100"/>
                      <w:kern w:val="0"/>
                      <w:position w:val="0"/>
                      <w:sz w:val="21"/>
                      <w:szCs w:val="21"/>
                      <w:lang w:val="en-US" w:eastAsia="zh-CN" w:bidi="ar-SA"/>
                      <w14:textFill>
                        <w14:solidFill>
                          <w14:schemeClr w14:val="tx1"/>
                        </w14:solidFill>
                      </w14:textFill>
                    </w:rPr>
                  </w:pP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安徽省生态环境厅关于印发《安徽省</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十四五</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大气污染物防治规划》的通知</w:t>
                  </w:r>
                  <w:r>
                    <w:rPr>
                      <w:rFonts w:hint="eastAsia"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皖环发〔</w:t>
                  </w:r>
                  <w:r>
                    <w:rPr>
                      <w:rFonts w:hint="default" w:ascii="Times New Roman" w:hAnsi="Times New Roman" w:eastAsia="Times New Roman" w:cs="Times New Roman"/>
                      <w:caps w:val="0"/>
                      <w:snapToGrid w:val="0"/>
                      <w:color w:val="000000" w:themeColor="text1"/>
                      <w:spacing w:val="0"/>
                      <w:w w:val="100"/>
                      <w:kern w:val="0"/>
                      <w:position w:val="0"/>
                      <w:sz w:val="21"/>
                      <w:szCs w:val="21"/>
                      <w:lang w:eastAsia="en-US"/>
                      <w14:textFill>
                        <w14:solidFill>
                          <w14:schemeClr w14:val="tx1"/>
                        </w14:solidFill>
                      </w14:textFill>
                    </w:rPr>
                    <w:t>2022</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w:t>
                  </w:r>
                  <w:r>
                    <w:rPr>
                      <w:rFonts w:hint="default" w:ascii="Times New Roman" w:hAnsi="Times New Roman" w:eastAsia="Times New Roman" w:cs="Times New Roman"/>
                      <w:caps w:val="0"/>
                      <w:snapToGrid w:val="0"/>
                      <w:color w:val="000000" w:themeColor="text1"/>
                      <w:spacing w:val="0"/>
                      <w:w w:val="100"/>
                      <w:kern w:val="0"/>
                      <w:position w:val="0"/>
                      <w:sz w:val="21"/>
                      <w:szCs w:val="21"/>
                      <w:lang w:eastAsia="en-US"/>
                      <w14:textFill>
                        <w14:solidFill>
                          <w14:schemeClr w14:val="tx1"/>
                        </w14:solidFill>
                      </w14:textFill>
                    </w:rPr>
                    <w:t>12</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号）</w:t>
                  </w:r>
                </w:p>
              </w:tc>
              <w:tc>
                <w:tcPr>
                  <w:tcW w:w="24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480EF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Times New Roman" w:hAnsi="Times New Roman" w:eastAsia="宋体" w:cs="Times New Roman"/>
                      <w:caps w:val="0"/>
                      <w:snapToGrid w:val="0"/>
                      <w:color w:val="000000" w:themeColor="text1"/>
                      <w:spacing w:val="0"/>
                      <w:w w:val="100"/>
                      <w:kern w:val="0"/>
                      <w:position w:val="0"/>
                      <w:sz w:val="21"/>
                      <w:szCs w:val="21"/>
                      <w:lang w:val="en-US" w:eastAsia="en-US" w:bidi="ar-SA"/>
                      <w14:textFill>
                        <w14:solidFill>
                          <w14:schemeClr w14:val="tx1"/>
                        </w14:solidFill>
                      </w14:textFill>
                    </w:rPr>
                  </w:pP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严控</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两高</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行业盲目发展。严格环境准入</w:t>
                  </w:r>
                  <w:r>
                    <w:rPr>
                      <w:rFonts w:hint="eastAsia"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坚决遏制高耗能、高排放即</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两高</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行业盲目发展。严格落实国家产业规划、产业政策、</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三线一单</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、规划环评</w:t>
                  </w:r>
                  <w:r>
                    <w:rPr>
                      <w:rFonts w:hint="eastAsia"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以及产能置换、煤炭消费减量替代、区域污染物削减等要求</w:t>
                  </w:r>
                  <w:r>
                    <w:rPr>
                      <w:rFonts w:hint="eastAsia"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坚决叫停不符合要求的</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两高</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项目。严禁新增钢铁、焦化、电解铝、铸造、水泥和平板玻璃等产能</w:t>
                  </w:r>
                  <w:r>
                    <w:rPr>
                      <w:rFonts w:hint="eastAsia"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严格执行钢铁、水泥、平板玻璃等行业产能置换实施办法</w:t>
                  </w:r>
                  <w:r>
                    <w:rPr>
                      <w:rFonts w:hint="eastAsia"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严控污染物排放总量。</w:t>
                  </w:r>
                </w:p>
              </w:tc>
              <w:tc>
                <w:tcPr>
                  <w:tcW w:w="1448" w:type="pct"/>
                  <w:tcBorders>
                    <w:left w:val="single" w:color="auto" w:sz="4" w:space="0"/>
                    <w:bottom w:val="single" w:color="auto" w:sz="4" w:space="0"/>
                    <w:right w:val="single" w:color="auto" w:sz="4" w:space="0"/>
                  </w:tcBorders>
                  <w:shd w:val="clear" w:color="auto" w:fill="auto"/>
                  <w:noWrap w:val="0"/>
                  <w:vAlign w:val="center"/>
                </w:tcPr>
                <w:p w14:paraId="4A1B597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hint="eastAsia" w:ascii="Times New Roman" w:hAnsi="Times New Roman" w:eastAsia="宋体" w:cs="Times New Roman"/>
                      <w:caps w:val="0"/>
                      <w:snapToGrid w:val="0"/>
                      <w:color w:val="000000" w:themeColor="text1"/>
                      <w:spacing w:val="0"/>
                      <w:w w:val="100"/>
                      <w:kern w:val="0"/>
                      <w:position w:val="0"/>
                      <w:sz w:val="21"/>
                      <w:szCs w:val="21"/>
                      <w:lang w:val="en-US" w:eastAsia="zh-CN" w:bidi="ar-SA"/>
                      <w14:textFill>
                        <w14:solidFill>
                          <w14:schemeClr w14:val="tx1"/>
                        </w14:solidFill>
                      </w14:textFill>
                    </w:rPr>
                  </w:pPr>
                  <w:r>
                    <w:rPr>
                      <w:rFonts w:hint="eastAsia" w:ascii="Times New Roman" w:hAnsi="Times New Roman" w:eastAsia="宋体" w:cs="Times New Roman"/>
                      <w:caps w:val="0"/>
                      <w:snapToGrid w:val="0"/>
                      <w:color w:val="000000" w:themeColor="text1"/>
                      <w:spacing w:val="0"/>
                      <w:w w:val="100"/>
                      <w:kern w:val="0"/>
                      <w:position w:val="0"/>
                      <w:sz w:val="21"/>
                      <w:szCs w:val="21"/>
                      <w:lang w:val="en-US" w:eastAsia="zh-CN"/>
                      <w14:textFill>
                        <w14:solidFill>
                          <w14:schemeClr w14:val="tx1"/>
                        </w14:solidFill>
                      </w14:textFill>
                    </w:rPr>
                    <w:t>本项目不属于</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两高</w:t>
                  </w:r>
                  <w:r>
                    <w:rPr>
                      <w:rFonts w:hint="eastAsia" w:ascii="Times New Roman" w:hAnsi="Times New Roman" w:eastAsia="宋体" w:cs="Times New Roman"/>
                      <w:caps w:val="0"/>
                      <w:snapToGrid w:val="0"/>
                      <w:color w:val="000000" w:themeColor="text1"/>
                      <w:spacing w:val="0"/>
                      <w:w w:val="100"/>
                      <w:kern w:val="0"/>
                      <w:position w:val="0"/>
                      <w:sz w:val="21"/>
                      <w:szCs w:val="21"/>
                      <w:lang w:eastAsia="zh-CN"/>
                      <w14:textFill>
                        <w14:solidFill>
                          <w14:schemeClr w14:val="tx1"/>
                        </w14:solidFill>
                      </w14:textFill>
                    </w:rPr>
                    <w:t>”</w:t>
                  </w: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项目。</w:t>
                  </w:r>
                </w:p>
              </w:tc>
              <w:tc>
                <w:tcPr>
                  <w:tcW w:w="32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263AF36">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napToGrid w:val="0"/>
                      <w:color w:val="000000" w:themeColor="text1"/>
                      <w:spacing w:val="0"/>
                      <w:w w:val="100"/>
                      <w:kern w:val="0"/>
                      <w:position w:val="0"/>
                      <w:sz w:val="21"/>
                      <w:szCs w:val="21"/>
                      <w:lang w:val="en-US" w:eastAsia="en-US" w:bidi="ar-SA"/>
                      <w14:textFill>
                        <w14:solidFill>
                          <w14:schemeClr w14:val="tx1"/>
                        </w14:solidFill>
                      </w14:textFill>
                    </w:rPr>
                  </w:pPr>
                  <w:r>
                    <w:rPr>
                      <w:rFonts w:hint="default" w:ascii="Times New Roman" w:hAnsi="Times New Roman" w:eastAsia="宋体" w:cs="Times New Roman"/>
                      <w:caps w:val="0"/>
                      <w:snapToGrid w:val="0"/>
                      <w:color w:val="000000" w:themeColor="text1"/>
                      <w:spacing w:val="0"/>
                      <w:w w:val="100"/>
                      <w:kern w:val="0"/>
                      <w:position w:val="0"/>
                      <w:sz w:val="21"/>
                      <w:szCs w:val="21"/>
                      <w:lang w:eastAsia="en-US"/>
                      <w14:textFill>
                        <w14:solidFill>
                          <w14:schemeClr w14:val="tx1"/>
                        </w14:solidFill>
                      </w14:textFill>
                    </w:rPr>
                    <w:t>符合</w:t>
                  </w:r>
                </w:p>
              </w:tc>
            </w:tr>
            <w:tr w14:paraId="5FCDC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237" w:type="pct"/>
                  <w:tcBorders>
                    <w:top w:val="single" w:color="auto" w:sz="4" w:space="0"/>
                    <w:left w:val="single" w:color="auto" w:sz="4" w:space="0"/>
                    <w:bottom w:val="single" w:color="auto" w:sz="4" w:space="0"/>
                    <w:right w:val="single" w:color="auto" w:sz="4" w:space="0"/>
                  </w:tcBorders>
                  <w:noWrap w:val="0"/>
                  <w:vAlign w:val="center"/>
                </w:tcPr>
                <w:p w14:paraId="1770C9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eastAsia="宋体" w:cs="Times New Roman"/>
                      <w:caps w:val="0"/>
                      <w:smallCaps w:val="0"/>
                      <w:color w:val="000000" w:themeColor="text1"/>
                      <w:spacing w:val="0"/>
                      <w:w w:val="100"/>
                      <w:kern w:val="0"/>
                      <w:position w:val="0"/>
                      <w:sz w:val="21"/>
                      <w:szCs w:val="21"/>
                      <w:lang w:val="en-US"/>
                      <w14:textFill>
                        <w14:solidFill>
                          <w14:schemeClr w14:val="tx1"/>
                        </w14:solidFill>
                      </w14:textFill>
                    </w:rPr>
                    <w:t>4</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10F83F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《关于提升危险废物环境监管能力、利用处置能力和环境风险防范能力的指导意见》</w:t>
                  </w:r>
                </w:p>
              </w:tc>
              <w:tc>
                <w:tcPr>
                  <w:tcW w:w="2489" w:type="pct"/>
                  <w:tcBorders>
                    <w:top w:val="single" w:color="auto" w:sz="4" w:space="0"/>
                    <w:left w:val="single" w:color="auto" w:sz="4" w:space="0"/>
                    <w:bottom w:val="single" w:color="auto" w:sz="4" w:space="0"/>
                    <w:right w:val="single" w:color="auto" w:sz="4" w:space="0"/>
                  </w:tcBorders>
                  <w:noWrap w:val="0"/>
                  <w:vAlign w:val="center"/>
                </w:tcPr>
                <w:p w14:paraId="1CF9D7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1）新建项目要严格执行《建设项目危险废物环境影响评价指南》及《危险废物处置工程技术导则》</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优化危险废物跨省转移审批手续、明确审批时限、运行电子联单，为危险废物跨区域转移利用提供便利。</w:t>
                  </w:r>
                </w:p>
                <w:p w14:paraId="104B8A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2）开展危险废物产生单位在线申报登记和管理计划在线备案，全面运行危险废物转移电子联单。</w:t>
                  </w:r>
                </w:p>
                <w:p w14:paraId="4D383E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3）促进危险废物源头减量与资源化利用。应采取清洁生产措施，从源头减少危险废物产生量和危害性，优先实行企业内部资源化利用。</w:t>
                  </w:r>
                </w:p>
              </w:tc>
              <w:tc>
                <w:tcPr>
                  <w:tcW w:w="1448" w:type="pct"/>
                  <w:tcBorders>
                    <w:top w:val="single" w:color="auto" w:sz="4" w:space="0"/>
                    <w:left w:val="single" w:color="auto" w:sz="4" w:space="0"/>
                    <w:bottom w:val="single" w:color="auto" w:sz="4" w:space="0"/>
                    <w:right w:val="single" w:color="auto" w:sz="4" w:space="0"/>
                  </w:tcBorders>
                  <w:noWrap w:val="0"/>
                  <w:vAlign w:val="center"/>
                </w:tcPr>
                <w:p w14:paraId="354836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1）危废库按《危险废物贮存污染控制标准》及《建设项目危险废物环境影响评价指南》及《危险废物处置工程技术导则》规范设置。</w:t>
                  </w:r>
                </w:p>
                <w:p w14:paraId="349534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2）项目建成投产后，新增危险废物应在线申报登记和管理计划在线备案，全面运行危险废物转移电子联单。</w:t>
                  </w:r>
                </w:p>
                <w:p w14:paraId="25DEC1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3）企业运营过程中，危险废物暂存后均交由资质单位处置。</w:t>
                  </w:r>
                </w:p>
              </w:tc>
              <w:tc>
                <w:tcPr>
                  <w:tcW w:w="324" w:type="pct"/>
                  <w:tcBorders>
                    <w:top w:val="single" w:color="auto" w:sz="4" w:space="0"/>
                    <w:left w:val="single" w:color="auto" w:sz="4" w:space="0"/>
                    <w:bottom w:val="single" w:color="auto" w:sz="4" w:space="0"/>
                    <w:right w:val="single" w:color="auto" w:sz="4" w:space="0"/>
                  </w:tcBorders>
                  <w:noWrap w:val="0"/>
                  <w:vAlign w:val="center"/>
                </w:tcPr>
                <w:p w14:paraId="7A4F11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符合</w:t>
                  </w:r>
                </w:p>
              </w:tc>
            </w:tr>
            <w:tr w14:paraId="4C24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23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D66D2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r>
                    <w:rPr>
                      <w:rStyle w:val="85"/>
                      <w:rFonts w:hint="eastAsia" w:eastAsia="宋体" w:cs="Times New Roman"/>
                      <w:caps w:val="0"/>
                      <w:smallCaps w:val="0"/>
                      <w:color w:val="000000" w:themeColor="text1"/>
                      <w:spacing w:val="0"/>
                      <w:w w:val="100"/>
                      <w:kern w:val="0"/>
                      <w:position w:val="0"/>
                      <w:sz w:val="21"/>
                      <w:szCs w:val="21"/>
                      <w:lang w:val="en-US"/>
                      <w14:textFill>
                        <w14:solidFill>
                          <w14:schemeClr w14:val="tx1"/>
                        </w14:solidFill>
                      </w14:textFill>
                    </w:rPr>
                    <w:t>5</w:t>
                  </w:r>
                </w:p>
              </w:tc>
              <w:tc>
                <w:tcPr>
                  <w:tcW w:w="50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02E90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《关于全面打造水清岸绿产业优美丽长江</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安徽）经济带的实施意见</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升级版）》</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皖发〔2021〕19号）、《中共池州市委  池州市人民政府关于印发全面打造水清岸绿产业优美丽长江经济带</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池州段</w:t>
                  </w:r>
                  <w:r>
                    <w:rPr>
                      <w:rStyle w:val="85"/>
                      <w:rFonts w:hint="eastAsia" w:eastAsia="宋体"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t>实施方案的通知》</w:t>
                  </w:r>
                </w:p>
              </w:tc>
              <w:tc>
                <w:tcPr>
                  <w:tcW w:w="24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41DCF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1）严禁1公里范围内新建化工项目。</w:t>
                  </w:r>
                </w:p>
                <w:p w14:paraId="532AAF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2）严控5公里范围内新建重化工重污染项目。长江干流岸线5公里范围内，全面落实长江岸线功能定位要求，实施严格的化工项目市场准入制度，除提升安全、环保、节能水平，以及质量升级、结构调整的改扩建项目外，严格控制新建石油化工和煤化工重化工、重污染项目。严禁新建布局重化工园区。合规化工园区内，严禁新批环境基础设施不完善或长期不能稳定运行的企业新建和扩建化工项目</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p>
                <w:p w14:paraId="57AD27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3）严管15公里范围内新建项目。长江干流岸线15公里范围内，严把各类项目准入门槛，严格执行环境保护标准，把主要污染物和重点重金属排放总量控制目标作为新</w:t>
                  </w: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改、扩）建项目环评审批的前置条件。禁止建设没有环境容量和减排总量项目。</w:t>
                  </w:r>
                </w:p>
                <w:p w14:paraId="368FAE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4）严格控制污染物排放。推进冶金、化工、印染、有色、建材、电镀、造纸、农副食品加工等行业清洁生产改造，从源头减少高浓度难降解有机废水、挥发性和持久性有机污染物、重金属等排放量及固体废物产生量。</w:t>
                  </w:r>
                </w:p>
                <w:p w14:paraId="4ABA8E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5）园区企业污水处理全覆盖。园区工业污水和生活污水全部统一纳入污水管网，实行统一处理，不留死角。企业工业废水在排入园区污水处理厂之前，必须经过预处理且达到园区污水处理厂纳管标准。园区污水集中处理设施和管网全部建成运行。</w:t>
                  </w:r>
                </w:p>
                <w:p w14:paraId="4A3138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6）环保设备运行全覆盖。重点排污单位依法安装使用污染物排放自动监控设备，规范监测和运维，并依法公开排污信息。</w:t>
                  </w:r>
                </w:p>
              </w:tc>
              <w:tc>
                <w:tcPr>
                  <w:tcW w:w="14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4E60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Style w:val="85"/>
                      <w:rFonts w:hint="default"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14:textFill>
                        <w14:solidFill>
                          <w14:schemeClr w14:val="tx1"/>
                        </w14:solidFill>
                      </w14:textFill>
                    </w:rPr>
                    <w:t>（</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1</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t>）项目厂区厂界距离</w:t>
                  </w:r>
                  <w:r>
                    <w:rPr>
                      <w:rFonts w:hint="default" w:ascii="Times New Roman" w:hAnsi="Times New Roman" w:eastAsia="宋体" w:cs="Times New Roman"/>
                      <w:caps w:val="0"/>
                      <w:smallCaps w:val="0"/>
                      <w:color w:val="auto"/>
                      <w:spacing w:val="0"/>
                      <w:w w:val="100"/>
                      <w:position w:val="0"/>
                      <w:sz w:val="21"/>
                      <w:szCs w:val="21"/>
                      <w:highlight w:val="none"/>
                    </w:rPr>
                    <w:t>长江</w:t>
                  </w:r>
                  <w:r>
                    <w:rPr>
                      <w:rFonts w:hint="eastAsia" w:cs="Times New Roman"/>
                      <w:caps w:val="0"/>
                      <w:smallCaps w:val="0"/>
                      <w:color w:val="auto"/>
                      <w:spacing w:val="0"/>
                      <w:w w:val="100"/>
                      <w:position w:val="0"/>
                      <w:sz w:val="21"/>
                      <w:szCs w:val="21"/>
                      <w:highlight w:val="none"/>
                      <w:lang w:val="en-US" w:eastAsia="zh-CN"/>
                    </w:rPr>
                    <w:t>岸线3.8km</w:t>
                  </w:r>
                  <w:r>
                    <w:rPr>
                      <w:rFonts w:hint="default" w:ascii="Times New Roman" w:hAnsi="Times New Roman" w:eastAsia="宋体" w:cs="Times New Roman"/>
                      <w:caps w:val="0"/>
                      <w:smallCaps w:val="0"/>
                      <w:color w:val="auto"/>
                      <w:spacing w:val="0"/>
                      <w:w w:val="100"/>
                      <w:position w:val="0"/>
                      <w:sz w:val="21"/>
                      <w:szCs w:val="21"/>
                      <w:highlight w:val="none"/>
                    </w:rPr>
                    <w:t>，</w:t>
                  </w:r>
                  <w:r>
                    <w:rPr>
                      <w:rFonts w:hint="eastAsia" w:cs="Times New Roman"/>
                      <w:caps w:val="0"/>
                      <w:smallCaps w:val="0"/>
                      <w:color w:val="auto"/>
                      <w:spacing w:val="0"/>
                      <w:w w:val="100"/>
                      <w:position w:val="0"/>
                      <w:sz w:val="21"/>
                      <w:szCs w:val="21"/>
                      <w:highlight w:val="none"/>
                      <w:lang w:val="en-US" w:eastAsia="zh-CN"/>
                    </w:rPr>
                    <w:t>距离九华河岸线距离1.14km</w:t>
                  </w:r>
                  <w:bookmarkStart w:id="20" w:name="_GoBack"/>
                  <w:bookmarkEnd w:id="20"/>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t>，不属于石油化工和煤化工重化工、重污染项目。</w:t>
                  </w:r>
                </w:p>
                <w:p w14:paraId="3D8CEC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lang w:val="en-US"/>
                      <w14:textFill>
                        <w14:solidFill>
                          <w14:schemeClr w14:val="tx1"/>
                        </w14:solidFill>
                      </w14:textFill>
                    </w:rPr>
                    <w:t>（</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t>2）项目实施后，</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废水和废气均配套有效的处理措施达标排放，</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14:textFill>
                        <w14:solidFill>
                          <w14:schemeClr w14:val="tx1"/>
                        </w14:solidFill>
                      </w14:textFill>
                    </w:rPr>
                    <w:t>且</w:t>
                  </w:r>
                  <w:r>
                    <w:rPr>
                      <w:rStyle w:val="85"/>
                      <w:rFonts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园区配套供水</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t>、供电、</w:t>
                  </w:r>
                  <w:r>
                    <w:rPr>
                      <w:rStyle w:val="85"/>
                      <w:rFonts w:hint="eastAsia"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t>污水处理池</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t>、供热设施，环境基础设施较完善。</w:t>
                  </w:r>
                </w:p>
                <w:p w14:paraId="4E4150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lang w:val="en-US" w:eastAsia="zh-CN"/>
                      <w14:textFill>
                        <w14:solidFill>
                          <w14:schemeClr w14:val="tx1"/>
                        </w14:solidFill>
                      </w14:textFill>
                    </w:rPr>
                    <w:t>（</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t>3）项目</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废气</w:t>
                  </w:r>
                  <w:r>
                    <w:rPr>
                      <w:rFonts w:hint="default" w:ascii="Times New Roman" w:hAnsi="Times New Roman" w:cs="Times New Roman"/>
                      <w:color w:val="000000" w:themeColor="text1"/>
                      <w:spacing w:val="0"/>
                      <w:w w:val="100"/>
                      <w:sz w:val="21"/>
                      <w:szCs w:val="21"/>
                      <w14:textFill>
                        <w14:solidFill>
                          <w14:schemeClr w14:val="tx1"/>
                        </w14:solidFill>
                      </w14:textFill>
                    </w:rPr>
                    <w:t>排放</w:t>
                  </w:r>
                  <w:r>
                    <w:rPr>
                      <w:rFonts w:hint="eastAsia" w:ascii="Times New Roman" w:hAnsi="Times New Roman" w:cs="Times New Roman"/>
                      <w:color w:val="000000" w:themeColor="text1"/>
                      <w:spacing w:val="0"/>
                      <w:w w:val="100"/>
                      <w:sz w:val="21"/>
                      <w:szCs w:val="21"/>
                      <w:lang w:val="en-US" w:eastAsia="zh-CN"/>
                      <w14:textFill>
                        <w14:solidFill>
                          <w14:schemeClr w14:val="tx1"/>
                        </w14:solidFill>
                      </w14:textFill>
                    </w:rPr>
                    <w:t>满足</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《危险废物焚烧污染控制标准》</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GB18484-2020）、《大气污染物综合排放标准》</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 xml:space="preserve">GB16297-1996）、《挥发性有机物无组织排放控制标准》 </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GB37822-2019）等要求限值</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t>。</w:t>
                  </w:r>
                </w:p>
                <w:p w14:paraId="5D3BC8B6">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left"/>
                    <w:textAlignment w:val="auto"/>
                    <w:rPr>
                      <w:rFonts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r>
                    <w:rPr>
                      <w:rStyle w:val="85"/>
                      <w:rFonts w:hint="eastAsia" w:cs="Times New Roman"/>
                      <w:caps w:val="0"/>
                      <w:smallCaps w:val="0"/>
                      <w:color w:val="000000" w:themeColor="text1"/>
                      <w:spacing w:val="0"/>
                      <w:w w:val="100"/>
                      <w:kern w:val="0"/>
                      <w:position w:val="0"/>
                      <w:sz w:val="21"/>
                      <w:szCs w:val="21"/>
                      <w:lang w:val="en-US" w:eastAsia="zh-CN"/>
                      <w14:textFill>
                        <w14:solidFill>
                          <w14:schemeClr w14:val="tx1"/>
                        </w14:solidFill>
                      </w14:textFill>
                    </w:rPr>
                    <w:t>（</w:t>
                  </w:r>
                  <w:r>
                    <w:rPr>
                      <w:rStyle w:val="85"/>
                      <w:rFonts w:hint="eastAsia" w:ascii="Times New Roman" w:hAnsi="Times New Roman" w:eastAsia="宋体" w:cs="Times New Roman"/>
                      <w:caps w:val="0"/>
                      <w:smallCaps w:val="0"/>
                      <w:color w:val="000000" w:themeColor="text1"/>
                      <w:spacing w:val="0"/>
                      <w:w w:val="100"/>
                      <w:kern w:val="0"/>
                      <w:position w:val="0"/>
                      <w:sz w:val="21"/>
                      <w:szCs w:val="21"/>
                      <w:lang w:val="en-US" w:eastAsia="zh-CN"/>
                      <w14:textFill>
                        <w14:solidFill>
                          <w14:schemeClr w14:val="tx1"/>
                        </w14:solidFill>
                      </w14:textFill>
                    </w:rPr>
                    <w:t>4）</w:t>
                  </w:r>
                  <w:r>
                    <w:rPr>
                      <w:rFonts w:hint="eastAsia" w:ascii="Times New Roman" w:hAnsi="Times New Roman" w:eastAsia="宋体" w:cs="Times New Roman"/>
                      <w:caps w:val="0"/>
                      <w:smallCaps w:val="0"/>
                      <w:color w:val="auto"/>
                      <w:spacing w:val="0"/>
                      <w:w w:val="100"/>
                      <w:position w:val="0"/>
                      <w:sz w:val="21"/>
                      <w:szCs w:val="21"/>
                      <w:lang w:val="en-US" w:eastAsia="zh-CN"/>
                    </w:rPr>
                    <w:t>项目碱洗废水、洗砂废水经车间沉淀池沉淀后回用，不外排；</w:t>
                  </w:r>
                  <w:r>
                    <w:rPr>
                      <w:rFonts w:hint="eastAsia" w:cs="Times New Roman"/>
                      <w:caps w:val="0"/>
                      <w:smallCaps w:val="0"/>
                      <w:color w:val="auto"/>
                      <w:spacing w:val="0"/>
                      <w:w w:val="100"/>
                      <w:position w:val="0"/>
                      <w:sz w:val="21"/>
                      <w:szCs w:val="21"/>
                      <w:lang w:val="en-US" w:eastAsia="zh-CN"/>
                    </w:rPr>
                    <w:t>地面冲洗废水、喷淋塔定期排水经沉淀池处理后与化粪池收集的生活污水一同纳管排放</w:t>
                  </w:r>
                  <w:r>
                    <w:rPr>
                      <w:rFonts w:hint="eastAsia" w:ascii="Times New Roman" w:hAnsi="Times New Roman" w:eastAsia="宋体" w:cs="Times New Roman"/>
                      <w:caps w:val="0"/>
                      <w:smallCaps w:val="0"/>
                      <w:color w:val="auto"/>
                      <w:spacing w:val="0"/>
                      <w:w w:val="100"/>
                      <w:position w:val="0"/>
                      <w:sz w:val="21"/>
                      <w:szCs w:val="21"/>
                      <w:lang w:val="en-US" w:eastAsia="zh-CN"/>
                    </w:rPr>
                    <w:t>。</w:t>
                  </w:r>
                </w:p>
              </w:tc>
              <w:tc>
                <w:tcPr>
                  <w:tcW w:w="324" w:type="pct"/>
                  <w:tcBorders>
                    <w:top w:val="single" w:color="auto" w:sz="4" w:space="0"/>
                    <w:left w:val="single" w:color="auto" w:sz="4" w:space="0"/>
                    <w:bottom w:val="single" w:color="auto" w:sz="4" w:space="0"/>
                    <w:right w:val="single" w:color="auto" w:sz="4" w:space="0"/>
                  </w:tcBorders>
                  <w:noWrap w:val="0"/>
                  <w:vAlign w:val="center"/>
                </w:tcPr>
                <w:p w14:paraId="436F92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85"/>
                      <w:rFonts w:eastAsia="宋体" w:cs="Times New Roman"/>
                      <w:caps w:val="0"/>
                      <w:smallCaps w:val="0"/>
                      <w:color w:val="000000" w:themeColor="text1"/>
                      <w:spacing w:val="0"/>
                      <w:w w:val="100"/>
                      <w:kern w:val="0"/>
                      <w:position w:val="0"/>
                      <w:sz w:val="21"/>
                      <w:szCs w:val="21"/>
                      <w14:textFill>
                        <w14:solidFill>
                          <w14:schemeClr w14:val="tx1"/>
                        </w14:solidFill>
                      </w14:textFill>
                    </w:rPr>
                  </w:pPr>
                </w:p>
              </w:tc>
            </w:tr>
            <w:tr w14:paraId="2776B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jc w:val="center"/>
              </w:trPr>
              <w:tc>
                <w:tcPr>
                  <w:tcW w:w="237" w:type="pct"/>
                  <w:vMerge w:val="restart"/>
                  <w:tcBorders>
                    <w:tl2br w:val="nil"/>
                    <w:tr2bl w:val="nil"/>
                  </w:tcBorders>
                  <w:noWrap w:val="0"/>
                  <w:vAlign w:val="center"/>
                </w:tcPr>
                <w:p w14:paraId="71ECCCF3">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r>
                    <w:rPr>
                      <w:rFonts w:hint="eastAsia"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t>6</w:t>
                  </w:r>
                </w:p>
              </w:tc>
              <w:tc>
                <w:tcPr>
                  <w:tcW w:w="500" w:type="pct"/>
                  <w:vMerge w:val="restart"/>
                  <w:tcBorders>
                    <w:tl2br w:val="nil"/>
                    <w:tr2bl w:val="nil"/>
                  </w:tcBorders>
                  <w:noWrap w:val="0"/>
                  <w:vAlign w:val="center"/>
                </w:tcPr>
                <w:p w14:paraId="6288F9BD">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r>
                    <w:rPr>
                      <w:rFonts w:hint="eastAsia"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t>《吸附法工业有机废气治理工程技术规范》</w:t>
                  </w:r>
                  <w:r>
                    <w:rPr>
                      <w:rFonts w:hint="eastAsia"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t>（</w:t>
                  </w:r>
                  <w:r>
                    <w:rPr>
                      <w:rFonts w:hint="eastAsia"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t>HJ2026-2013）</w:t>
                  </w:r>
                </w:p>
              </w:tc>
              <w:tc>
                <w:tcPr>
                  <w:tcW w:w="2489" w:type="pct"/>
                  <w:tcBorders>
                    <w:tl2br w:val="nil"/>
                    <w:tr2bl w:val="nil"/>
                  </w:tcBorders>
                  <w:shd w:val="clear" w:color="auto" w:fill="auto"/>
                  <w:noWrap w:val="0"/>
                  <w:vAlign w:val="center"/>
                </w:tcPr>
                <w:p w14:paraId="299D1C5E">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t>应尽可能利用主体生产装置本身的集气系统进行收集。集气罩的配置应与生产工艺协调一致，不影响工艺操作。在保证收集能力的前提下，应结构简单，便于安装和维护管理。确定集气罩的吸气口位置、结构和风速时，应使罩口呈微负压状态，且罩内负压均匀。集气罩的吸气方向应尽可能与污染气流运动方向一致，防止吸气罩周围气流紊乱，避免或减弱干扰气流和送风气流等对吸气气流的影响。当废气产生点较多、彼此距离较远时，应适当分设多套收集系统。</w:t>
                  </w:r>
                </w:p>
              </w:tc>
              <w:tc>
                <w:tcPr>
                  <w:tcW w:w="1448" w:type="pct"/>
                  <w:tcBorders>
                    <w:tl2br w:val="nil"/>
                    <w:tr2bl w:val="nil"/>
                  </w:tcBorders>
                  <w:shd w:val="clear" w:color="auto" w:fill="auto"/>
                  <w:noWrap w:val="0"/>
                  <w:vAlign w:val="center"/>
                </w:tcPr>
                <w:p w14:paraId="16DA88D2">
                  <w:pPr>
                    <w:pStyle w:val="43"/>
                    <w:keepNext w:val="0"/>
                    <w:keepLines w:val="0"/>
                    <w:pageBreakBefore w:val="0"/>
                    <w:wordWrap/>
                    <w:overflowPunct/>
                    <w:bidi w:val="0"/>
                    <w:adjustRightInd/>
                    <w:snapToGrid/>
                    <w:spacing w:before="0" w:beforeLines="0" w:after="0" w:afterLines="0" w:line="240" w:lineRule="auto"/>
                    <w:ind w:left="0" w:leftChars="0" w:firstLine="0" w:firstLineChars="0"/>
                    <w:jc w:val="left"/>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val="en-US" w:eastAsia="zh-CN"/>
                      <w14:textFill>
                        <w14:solidFill>
                          <w14:schemeClr w14:val="tx1"/>
                        </w14:solidFill>
                      </w14:textFill>
                    </w:rPr>
                    <w:t>本项目生产过程中有机废气集气罩</w:t>
                  </w:r>
                  <w:r>
                    <w:rPr>
                      <w:rFonts w:hint="eastAsia" w:ascii="Times New Roman" w:hAnsi="Times New Roman" w:eastAsia="宋体" w:cs="Times New Roman"/>
                      <w:b w:val="0"/>
                      <w:bCs w:val="0"/>
                      <w:color w:val="000000" w:themeColor="text1"/>
                      <w:spacing w:val="0"/>
                      <w:w w:val="100"/>
                      <w:sz w:val="21"/>
                      <w:szCs w:val="21"/>
                      <w:lang w:val="en-US" w:eastAsia="zh-CN"/>
                      <w14:textFill>
                        <w14:solidFill>
                          <w14:schemeClr w14:val="tx1"/>
                        </w14:solidFill>
                      </w14:textFill>
                    </w:rPr>
                    <w:t>与生产工艺协调一致，不影响工艺操作。集气罩罩口呈微负压状态，且罩内负压均匀。</w:t>
                  </w:r>
                </w:p>
              </w:tc>
              <w:tc>
                <w:tcPr>
                  <w:tcW w:w="324" w:type="pct"/>
                  <w:tcBorders>
                    <w:tl2br w:val="nil"/>
                    <w:tr2bl w:val="nil"/>
                  </w:tcBorders>
                  <w:shd w:val="clear" w:color="auto" w:fill="auto"/>
                  <w:noWrap w:val="0"/>
                  <w:vAlign w:val="center"/>
                </w:tcPr>
                <w:p w14:paraId="079AD012">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符合</w:t>
                  </w:r>
                </w:p>
              </w:tc>
            </w:tr>
            <w:tr w14:paraId="186DF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37" w:type="pct"/>
                  <w:vMerge w:val="continue"/>
                  <w:tcBorders>
                    <w:tl2br w:val="nil"/>
                    <w:tr2bl w:val="nil"/>
                  </w:tcBorders>
                  <w:noWrap w:val="0"/>
                  <w:vAlign w:val="center"/>
                </w:tcPr>
                <w:p w14:paraId="01F13195">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p>
              </w:tc>
              <w:tc>
                <w:tcPr>
                  <w:tcW w:w="500" w:type="pct"/>
                  <w:vMerge w:val="continue"/>
                  <w:tcBorders>
                    <w:tl2br w:val="nil"/>
                    <w:tr2bl w:val="nil"/>
                  </w:tcBorders>
                  <w:noWrap w:val="0"/>
                  <w:vAlign w:val="center"/>
                </w:tcPr>
                <w:p w14:paraId="1360CFF0">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pPr>
                </w:p>
              </w:tc>
              <w:tc>
                <w:tcPr>
                  <w:tcW w:w="2489" w:type="pct"/>
                  <w:tcBorders>
                    <w:tl2br w:val="nil"/>
                    <w:tr2bl w:val="nil"/>
                  </w:tcBorders>
                  <w:shd w:val="clear" w:color="auto" w:fill="auto"/>
                  <w:noWrap w:val="0"/>
                  <w:vAlign w:val="center"/>
                </w:tcPr>
                <w:p w14:paraId="283FBC54">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当废气中颗粒物含量超过1mg/m</w:t>
                  </w:r>
                  <w:r>
                    <w:rPr>
                      <w:rFonts w:hint="eastAsia" w:ascii="Times New Roman" w:hAnsi="Times New Roman" w:eastAsia="宋体" w:cs="Times New Roman"/>
                      <w:color w:val="000000" w:themeColor="text1"/>
                      <w:spacing w:val="0"/>
                      <w:w w:val="100"/>
                      <w:szCs w:val="21"/>
                      <w:vertAlign w:val="superscript"/>
                      <w:lang w:val="en-US" w:eastAsia="zh-CN"/>
                      <w14:textFill>
                        <w14:solidFill>
                          <w14:schemeClr w14:val="tx1"/>
                        </w14:solidFill>
                      </w14:textFill>
                    </w:rPr>
                    <w:t>3</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 xml:space="preserve">时，应先采用过滤或洗涤等方式进行预处理。 </w:t>
                  </w:r>
                </w:p>
              </w:tc>
              <w:tc>
                <w:tcPr>
                  <w:tcW w:w="1448" w:type="pct"/>
                  <w:tcBorders>
                    <w:tl2br w:val="nil"/>
                    <w:tr2bl w:val="nil"/>
                  </w:tcBorders>
                  <w:shd w:val="clear" w:color="auto" w:fill="auto"/>
                  <w:noWrap w:val="0"/>
                  <w:vAlign w:val="center"/>
                </w:tcPr>
                <w:p w14:paraId="1881CB51">
                  <w:pPr>
                    <w:pStyle w:val="43"/>
                    <w:keepNext w:val="0"/>
                    <w:keepLines w:val="0"/>
                    <w:pageBreakBefore w:val="0"/>
                    <w:wordWrap/>
                    <w:overflowPunct/>
                    <w:bidi w:val="0"/>
                    <w:adjustRightInd/>
                    <w:snapToGrid/>
                    <w:spacing w:before="0" w:beforeLines="0" w:after="0" w:afterLines="0" w:line="240" w:lineRule="auto"/>
                    <w:ind w:left="0" w:leftChars="0" w:firstLine="0" w:firstLineChars="0"/>
                    <w:jc w:val="left"/>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cs="Times New Roman"/>
                      <w:color w:val="000000" w:themeColor="text1"/>
                      <w:spacing w:val="0"/>
                      <w:w w:val="100"/>
                      <w:szCs w:val="21"/>
                      <w:lang w:val="en-US" w:eastAsia="zh-CN"/>
                      <w14:textFill>
                        <w14:solidFill>
                          <w14:schemeClr w14:val="tx1"/>
                        </w14:solidFill>
                      </w14:textFill>
                    </w:rPr>
                    <w:t>二级活性炭吸附装置前端设置覆膜布袋除尘器，确保进入活性炭的颗粒物浓度不高于</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1mg/m</w:t>
                  </w:r>
                  <w:r>
                    <w:rPr>
                      <w:rFonts w:hint="eastAsia" w:ascii="Times New Roman" w:hAnsi="Times New Roman" w:eastAsia="宋体" w:cs="Times New Roman"/>
                      <w:color w:val="000000" w:themeColor="text1"/>
                      <w:spacing w:val="0"/>
                      <w:w w:val="100"/>
                      <w:szCs w:val="21"/>
                      <w:vertAlign w:val="superscript"/>
                      <w:lang w:val="en-US" w:eastAsia="zh-CN"/>
                      <w14:textFill>
                        <w14:solidFill>
                          <w14:schemeClr w14:val="tx1"/>
                        </w14:solidFill>
                      </w14:textFill>
                    </w:rPr>
                    <w:t>3</w:t>
                  </w:r>
                  <w:r>
                    <w:rPr>
                      <w:rFonts w:hint="eastAsia" w:ascii="Times New Roman" w:hAnsi="Times New Roman" w:eastAsia="宋体" w:cs="Times New Roman"/>
                      <w:color w:val="000000" w:themeColor="text1"/>
                      <w:spacing w:val="0"/>
                      <w:w w:val="100"/>
                      <w:szCs w:val="21"/>
                      <w:lang w:val="en-US" w:eastAsia="zh-CN"/>
                      <w14:textFill>
                        <w14:solidFill>
                          <w14:schemeClr w14:val="tx1"/>
                        </w14:solidFill>
                      </w14:textFill>
                    </w:rPr>
                    <w:t>。</w:t>
                  </w:r>
                </w:p>
              </w:tc>
              <w:tc>
                <w:tcPr>
                  <w:tcW w:w="324" w:type="pct"/>
                  <w:tcBorders>
                    <w:tl2br w:val="nil"/>
                    <w:tr2bl w:val="nil"/>
                  </w:tcBorders>
                  <w:shd w:val="clear" w:color="auto" w:fill="auto"/>
                  <w:noWrap w:val="0"/>
                  <w:vAlign w:val="center"/>
                </w:tcPr>
                <w:p w14:paraId="7423F02C">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符合</w:t>
                  </w:r>
                </w:p>
              </w:tc>
            </w:tr>
            <w:tr w14:paraId="6BAB9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jc w:val="center"/>
              </w:trPr>
              <w:tc>
                <w:tcPr>
                  <w:tcW w:w="237" w:type="pct"/>
                  <w:vMerge w:val="continue"/>
                  <w:vAlign w:val="center"/>
                </w:tcPr>
                <w:p w14:paraId="57B712AB">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p>
              </w:tc>
              <w:tc>
                <w:tcPr>
                  <w:tcW w:w="500" w:type="pct"/>
                  <w:vMerge w:val="continue"/>
                  <w:vAlign w:val="center"/>
                </w:tcPr>
                <w:p w14:paraId="61E7AAC6">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pPr>
                </w:p>
              </w:tc>
              <w:tc>
                <w:tcPr>
                  <w:tcW w:w="2489" w:type="pct"/>
                  <w:shd w:val="clear" w:color="auto" w:fill="auto"/>
                  <w:vAlign w:val="center"/>
                </w:tcPr>
                <w:p w14:paraId="2059C292">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蜂窝活性炭和蜂窝分子筛的横向强度应不低于0.3MPa，纵向强度应不低</w:t>
                  </w:r>
                  <w:r>
                    <w:rPr>
                      <w:rFonts w:hint="eastAsia" w:ascii="Times New Roman" w:hAnsi="Times New Roman" w:eastAsia="宋体" w:cs="Times New Roman"/>
                      <w:color w:val="000000" w:themeColor="text1"/>
                      <w:spacing w:val="0"/>
                      <w:w w:val="100"/>
                      <w:szCs w:val="21"/>
                      <w:lang w:val="en-US" w:eastAsia="zh-CN"/>
                      <w14:textFill>
                        <w14:solidFill>
                          <w14:schemeClr w14:val="tx1"/>
                        </w14:solidFill>
                      </w14:textFill>
                    </w:rPr>
                    <w:t>于</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0.8MPa，蜂窝活性炭的BET比表面积应不低于750m</w:t>
                  </w:r>
                  <w:r>
                    <w:rPr>
                      <w:rFonts w:hint="eastAsia" w:ascii="Times New Roman" w:hAnsi="Times New Roman" w:eastAsia="宋体" w:cs="Times New Roman"/>
                      <w:color w:val="000000" w:themeColor="text1"/>
                      <w:spacing w:val="0"/>
                      <w:w w:val="100"/>
                      <w:szCs w:val="21"/>
                      <w:vertAlign w:val="superscript"/>
                      <w:lang w:eastAsia="zh-CN"/>
                      <w14:textFill>
                        <w14:solidFill>
                          <w14:schemeClr w14:val="tx1"/>
                        </w14:solidFill>
                      </w14:textFill>
                    </w:rPr>
                    <w:t>2</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/g，蜂窝分子筛的BET比表面积应不低于350m</w:t>
                  </w:r>
                  <w:r>
                    <w:rPr>
                      <w:rFonts w:hint="eastAsia" w:ascii="Times New Roman" w:hAnsi="Times New Roman" w:eastAsia="宋体" w:cs="Times New Roman"/>
                      <w:color w:val="000000" w:themeColor="text1"/>
                      <w:spacing w:val="0"/>
                      <w:w w:val="100"/>
                      <w:szCs w:val="21"/>
                      <w:vertAlign w:val="superscript"/>
                      <w:lang w:eastAsia="zh-CN"/>
                      <w14:textFill>
                        <w14:solidFill>
                          <w14:schemeClr w14:val="tx1"/>
                        </w14:solidFill>
                      </w14:textFill>
                    </w:rPr>
                    <w:t>2</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 xml:space="preserve">/g。 </w:t>
                  </w:r>
                </w:p>
              </w:tc>
              <w:tc>
                <w:tcPr>
                  <w:tcW w:w="1448" w:type="pct"/>
                  <w:shd w:val="clear" w:color="auto" w:fill="auto"/>
                  <w:vAlign w:val="center"/>
                </w:tcPr>
                <w:p w14:paraId="257C4F9D">
                  <w:pPr>
                    <w:pStyle w:val="43"/>
                    <w:keepNext w:val="0"/>
                    <w:keepLines w:val="0"/>
                    <w:pageBreakBefore w:val="0"/>
                    <w:wordWrap/>
                    <w:overflowPunct/>
                    <w:bidi w:val="0"/>
                    <w:adjustRightInd/>
                    <w:snapToGrid/>
                    <w:spacing w:before="0" w:beforeLines="0" w:after="0" w:afterLines="0" w:line="240" w:lineRule="auto"/>
                    <w:ind w:left="0" w:leftChars="0" w:firstLine="0" w:firstLineChars="0"/>
                    <w:jc w:val="left"/>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val="en-US" w:eastAsia="zh-CN"/>
                      <w14:textFill>
                        <w14:solidFill>
                          <w14:schemeClr w14:val="tx1"/>
                        </w14:solidFill>
                      </w14:textFill>
                    </w:rPr>
                    <w:t>本项目运营期将严格选用符合要求的蜂窝</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活性炭。</w:t>
                  </w:r>
                </w:p>
              </w:tc>
              <w:tc>
                <w:tcPr>
                  <w:tcW w:w="0" w:type="auto"/>
                  <w:shd w:val="clear" w:color="auto" w:fill="auto"/>
                  <w:vAlign w:val="center"/>
                </w:tcPr>
                <w:p w14:paraId="21EFBA83">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符合</w:t>
                  </w:r>
                </w:p>
              </w:tc>
            </w:tr>
            <w:tr w14:paraId="28AAB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jc w:val="center"/>
              </w:trPr>
              <w:tc>
                <w:tcPr>
                  <w:tcW w:w="237" w:type="pct"/>
                  <w:vMerge w:val="continue"/>
                  <w:vAlign w:val="center"/>
                </w:tcPr>
                <w:p w14:paraId="1C7FDA80">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p>
              </w:tc>
              <w:tc>
                <w:tcPr>
                  <w:tcW w:w="500" w:type="pct"/>
                  <w:vMerge w:val="continue"/>
                  <w:vAlign w:val="center"/>
                </w:tcPr>
                <w:p w14:paraId="283EA6B5">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pPr>
                </w:p>
              </w:tc>
              <w:tc>
                <w:tcPr>
                  <w:tcW w:w="2489" w:type="pct"/>
                  <w:shd w:val="clear" w:color="auto" w:fill="auto"/>
                  <w:vAlign w:val="center"/>
                </w:tcPr>
                <w:p w14:paraId="5BB84FA5">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固定床吸附装置吸附层的气体流速应根据吸附剂的形态确定。采用颗粒状吸附剂时，气体流速宜低于0.60m/s</w:t>
                  </w:r>
                  <w:r>
                    <w:rPr>
                      <w:rFonts w:hint="eastAsia" w:cs="Times New Roman"/>
                      <w:color w:val="000000" w:themeColor="text1"/>
                      <w:spacing w:val="0"/>
                      <w:w w:val="100"/>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采用纤维状吸附剂</w:t>
                  </w:r>
                  <w:r>
                    <w:rPr>
                      <w:rFonts w:hint="eastAsia" w:cs="Times New Roman"/>
                      <w:color w:val="000000" w:themeColor="text1"/>
                      <w:spacing w:val="0"/>
                      <w:w w:val="100"/>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活性炭纤维毡）时，气体流速宜低于 0.15m/s</w:t>
                  </w:r>
                  <w:r>
                    <w:rPr>
                      <w:rFonts w:hint="eastAsia" w:cs="Times New Roman"/>
                      <w:color w:val="000000" w:themeColor="text1"/>
                      <w:spacing w:val="0"/>
                      <w:w w:val="100"/>
                      <w:szCs w:val="21"/>
                      <w:lang w:eastAsia="zh-CN"/>
                      <w14:textFill>
                        <w14:solidFill>
                          <w14:schemeClr w14:val="tx1"/>
                        </w14:solidFill>
                      </w14:textFill>
                    </w:rPr>
                    <w:t>；</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采用蜂窝状吸附剂时，气体流速宜低于1.20m/s。</w:t>
                  </w:r>
                </w:p>
              </w:tc>
              <w:tc>
                <w:tcPr>
                  <w:tcW w:w="1448" w:type="pct"/>
                  <w:shd w:val="clear" w:color="auto" w:fill="auto"/>
                  <w:vAlign w:val="center"/>
                </w:tcPr>
                <w:p w14:paraId="56D9DCA8">
                  <w:pPr>
                    <w:pStyle w:val="43"/>
                    <w:keepNext w:val="0"/>
                    <w:keepLines w:val="0"/>
                    <w:pageBreakBefore w:val="0"/>
                    <w:wordWrap/>
                    <w:overflowPunct/>
                    <w:bidi w:val="0"/>
                    <w:adjustRightInd/>
                    <w:snapToGrid/>
                    <w:spacing w:before="0" w:beforeLines="0" w:after="0" w:afterLines="0" w:line="240" w:lineRule="auto"/>
                    <w:ind w:left="0" w:leftChars="0" w:firstLine="0" w:firstLineChars="0"/>
                    <w:jc w:val="left"/>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val="en-US" w:eastAsia="zh-CN"/>
                      <w14:textFill>
                        <w14:solidFill>
                          <w14:schemeClr w14:val="tx1"/>
                        </w14:solidFill>
                      </w14:textFill>
                    </w:rPr>
                    <w:t>本项目采用蜂窝活性炭吸附装置处理有机废气，</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气体流速</w:t>
                  </w:r>
                  <w:r>
                    <w:rPr>
                      <w:rFonts w:hint="eastAsia" w:ascii="Times New Roman" w:hAnsi="Times New Roman" w:eastAsia="宋体" w:cs="Times New Roman"/>
                      <w:color w:val="000000" w:themeColor="text1"/>
                      <w:spacing w:val="0"/>
                      <w:w w:val="100"/>
                      <w:szCs w:val="21"/>
                      <w:lang w:val="en-US" w:eastAsia="zh-CN"/>
                      <w14:textFill>
                        <w14:solidFill>
                          <w14:schemeClr w14:val="tx1"/>
                        </w14:solidFill>
                      </w14:textFill>
                    </w:rPr>
                    <w:t>为1.03</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m/s</w:t>
                  </w:r>
                  <w:r>
                    <w:rPr>
                      <w:rFonts w:hint="eastAsia" w:ascii="Times New Roman" w:hAnsi="Times New Roman" w:eastAsia="宋体" w:cs="Times New Roman"/>
                      <w:color w:val="000000" w:themeColor="text1"/>
                      <w:spacing w:val="0"/>
                      <w:w w:val="100"/>
                      <w:szCs w:val="21"/>
                      <w:lang w:val="en-US" w:eastAsia="zh-CN"/>
                      <w14:textFill>
                        <w14:solidFill>
                          <w14:schemeClr w14:val="tx1"/>
                        </w14:solidFill>
                      </w14:textFill>
                    </w:rPr>
                    <w:t>。</w:t>
                  </w:r>
                </w:p>
              </w:tc>
              <w:tc>
                <w:tcPr>
                  <w:tcW w:w="0" w:type="auto"/>
                  <w:shd w:val="clear" w:color="auto" w:fill="auto"/>
                  <w:vAlign w:val="center"/>
                </w:tcPr>
                <w:p w14:paraId="1E716213">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符合</w:t>
                  </w:r>
                </w:p>
              </w:tc>
            </w:tr>
            <w:tr w14:paraId="7ACD1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jc w:val="center"/>
              </w:trPr>
              <w:tc>
                <w:tcPr>
                  <w:tcW w:w="237" w:type="pct"/>
                  <w:vMerge w:val="continue"/>
                  <w:vAlign w:val="center"/>
                </w:tcPr>
                <w:p w14:paraId="657C0ED0">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p>
              </w:tc>
              <w:tc>
                <w:tcPr>
                  <w:tcW w:w="500" w:type="pct"/>
                  <w:vMerge w:val="continue"/>
                  <w:vAlign w:val="center"/>
                </w:tcPr>
                <w:p w14:paraId="4491DA2A">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pPr>
                </w:p>
              </w:tc>
              <w:tc>
                <w:tcPr>
                  <w:tcW w:w="2489" w:type="pct"/>
                  <w:shd w:val="clear" w:color="auto" w:fill="auto"/>
                  <w:vAlign w:val="center"/>
                </w:tcPr>
                <w:p w14:paraId="7F7C430B">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 xml:space="preserve"> 预处理和后处理设备所产生的废水应进行集中处理，并达到相应排放标准要求。预处理产生的粉尘和废渣以及更换后的过滤材料、吸附剂和催化剂的处理应符合国家固体废弃物处理与处置的相关规定。</w:t>
                  </w:r>
                </w:p>
              </w:tc>
              <w:tc>
                <w:tcPr>
                  <w:tcW w:w="1448" w:type="pct"/>
                  <w:shd w:val="clear" w:color="auto" w:fill="auto"/>
                  <w:vAlign w:val="center"/>
                </w:tcPr>
                <w:p w14:paraId="47F9010E">
                  <w:pPr>
                    <w:pStyle w:val="43"/>
                    <w:keepNext w:val="0"/>
                    <w:keepLines w:val="0"/>
                    <w:pageBreakBefore w:val="0"/>
                    <w:wordWrap/>
                    <w:overflowPunct/>
                    <w:bidi w:val="0"/>
                    <w:adjustRightInd/>
                    <w:snapToGrid/>
                    <w:spacing w:before="0" w:beforeLines="0" w:after="0" w:afterLines="0" w:line="240" w:lineRule="auto"/>
                    <w:ind w:left="0" w:leftChars="0" w:firstLine="0" w:firstLineChars="0"/>
                    <w:jc w:val="left"/>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val="en-US" w:eastAsia="zh-CN"/>
                      <w14:textFill>
                        <w14:solidFill>
                          <w14:schemeClr w14:val="tx1"/>
                        </w14:solidFill>
                      </w14:textFill>
                    </w:rPr>
                    <w:t>本项目有机废气</w:t>
                  </w: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处理</w:t>
                  </w:r>
                  <w:r>
                    <w:rPr>
                      <w:rFonts w:hint="eastAsia" w:ascii="Times New Roman" w:hAnsi="Times New Roman" w:eastAsia="宋体" w:cs="Times New Roman"/>
                      <w:color w:val="000000" w:themeColor="text1"/>
                      <w:spacing w:val="0"/>
                      <w:w w:val="100"/>
                      <w:szCs w:val="21"/>
                      <w:lang w:val="en-US" w:eastAsia="zh-CN"/>
                      <w14:textFill>
                        <w14:solidFill>
                          <w14:schemeClr w14:val="tx1"/>
                        </w14:solidFill>
                      </w14:textFill>
                    </w:rPr>
                    <w:t>产生的废活性炭作为危险废物定期委托有资质单位进行处置。</w:t>
                  </w:r>
                </w:p>
              </w:tc>
              <w:tc>
                <w:tcPr>
                  <w:tcW w:w="0" w:type="auto"/>
                  <w:shd w:val="clear" w:color="auto" w:fill="auto"/>
                  <w:vAlign w:val="center"/>
                </w:tcPr>
                <w:p w14:paraId="48A058CC">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szCs w:val="21"/>
                      <w:lang w:eastAsia="zh-CN"/>
                      <w14:textFill>
                        <w14:solidFill>
                          <w14:schemeClr w14:val="tx1"/>
                        </w14:solidFill>
                      </w14:textFill>
                    </w:rPr>
                    <w:t>符合</w:t>
                  </w:r>
                </w:p>
              </w:tc>
            </w:tr>
            <w:tr w14:paraId="21FF7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 w:hRule="atLeast"/>
                <w:jc w:val="center"/>
              </w:trPr>
              <w:tc>
                <w:tcPr>
                  <w:tcW w:w="237" w:type="pct"/>
                  <w:vMerge w:val="continue"/>
                  <w:vAlign w:val="center"/>
                </w:tcPr>
                <w:p w14:paraId="1EFB7E19">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p>
              </w:tc>
              <w:tc>
                <w:tcPr>
                  <w:tcW w:w="500" w:type="pct"/>
                  <w:vMerge w:val="continue"/>
                  <w:vAlign w:val="center"/>
                </w:tcPr>
                <w:p w14:paraId="7E5E49F4">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pPr>
                </w:p>
              </w:tc>
              <w:tc>
                <w:tcPr>
                  <w:tcW w:w="2489" w:type="pct"/>
                  <w:shd w:val="clear" w:color="auto" w:fill="auto"/>
                  <w:vAlign w:val="center"/>
                </w:tcPr>
                <w:p w14:paraId="6E0AA7C2">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default" w:ascii="Times New Roman" w:hAnsi="Times New Roman" w:cs="Times New Roman"/>
                      <w:color w:val="000000" w:themeColor="text1"/>
                      <w:spacing w:val="0"/>
                      <w:w w:val="100"/>
                      <w:szCs w:val="21"/>
                      <w14:textFill>
                        <w14:solidFill>
                          <w14:schemeClr w14:val="tx1"/>
                        </w14:solidFill>
                      </w14:textFill>
                    </w:rPr>
                    <w:t>工艺过程废气应收集后排入废气处理系统处理。</w:t>
                  </w:r>
                </w:p>
              </w:tc>
              <w:tc>
                <w:tcPr>
                  <w:tcW w:w="1448" w:type="pct"/>
                  <w:vMerge w:val="restart"/>
                  <w:shd w:val="clear" w:color="auto" w:fill="auto"/>
                  <w:vAlign w:val="center"/>
                </w:tcPr>
                <w:p w14:paraId="401C07C8">
                  <w:pPr>
                    <w:keepNext w:val="0"/>
                    <w:keepLines w:val="0"/>
                    <w:pageBreakBefore w:val="0"/>
                    <w:wordWrap/>
                    <w:overflowPunct/>
                    <w:bidi w:val="0"/>
                    <w:ind w:firstLine="0" w:firstLineChars="0"/>
                    <w:jc w:val="left"/>
                    <w:rPr>
                      <w:rFonts w:hint="eastAsia" w:ascii="Times New Roman" w:hAnsi="Times New Roman" w:eastAsia="宋体" w:cs="Times New Roman"/>
                      <w:color w:val="000000" w:themeColor="text1"/>
                      <w:spacing w:val="0"/>
                      <w:w w:val="100"/>
                      <w:kern w:val="2"/>
                      <w:sz w:val="21"/>
                      <w:szCs w:val="24"/>
                      <w:lang w:val="en-US" w:eastAsia="zh-CN" w:bidi="ar-SA"/>
                      <w14:textFill>
                        <w14:solidFill>
                          <w14:schemeClr w14:val="tx1"/>
                        </w14:solidFill>
                      </w14:textFill>
                    </w:rPr>
                  </w:pPr>
                  <w:r>
                    <w:rPr>
                      <w:rFonts w:hint="eastAsia" w:cs="Times New Roman"/>
                      <w:i w:val="0"/>
                      <w:iCs w:val="0"/>
                      <w:color w:val="000000" w:themeColor="text1"/>
                      <w:spacing w:val="0"/>
                      <w:w w:val="100"/>
                      <w:kern w:val="0"/>
                      <w:sz w:val="21"/>
                      <w:szCs w:val="21"/>
                      <w:u w:val="none"/>
                      <w:lang w:val="en-US" w:eastAsia="zh-CN" w:bidi="ar"/>
                      <w14:textFill>
                        <w14:solidFill>
                          <w14:schemeClr w14:val="tx1"/>
                        </w14:solidFill>
                      </w14:textFill>
                    </w:rPr>
                    <w:t>本项目热解产生的不凝气VOCs经焚烧后，采用二级活性炭吸附装置进一步处理达标后排放。</w:t>
                  </w:r>
                </w:p>
              </w:tc>
              <w:tc>
                <w:tcPr>
                  <w:tcW w:w="0" w:type="auto"/>
                  <w:shd w:val="clear" w:color="auto" w:fill="auto"/>
                  <w:vAlign w:val="center"/>
                </w:tcPr>
                <w:p w14:paraId="6FFD7225">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cs="Times New Roman"/>
                      <w:color w:val="000000" w:themeColor="text1"/>
                      <w:spacing w:val="0"/>
                      <w:w w:val="100"/>
                      <w:szCs w:val="21"/>
                      <w:lang w:val="en-US" w:eastAsia="zh-CN"/>
                      <w14:textFill>
                        <w14:solidFill>
                          <w14:schemeClr w14:val="tx1"/>
                        </w14:solidFill>
                      </w14:textFill>
                    </w:rPr>
                    <w:t>符合</w:t>
                  </w:r>
                </w:p>
              </w:tc>
            </w:tr>
            <w:tr w14:paraId="7BE55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jc w:val="center"/>
              </w:trPr>
              <w:tc>
                <w:tcPr>
                  <w:tcW w:w="237" w:type="pct"/>
                  <w:vMerge w:val="continue"/>
                  <w:vAlign w:val="center"/>
                </w:tcPr>
                <w:p w14:paraId="73CA2B51">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kern w:val="0"/>
                      <w:position w:val="0"/>
                      <w:sz w:val="21"/>
                      <w:szCs w:val="21"/>
                      <w:lang w:val="en-US" w:eastAsia="zh-CN" w:bidi="ar-SA"/>
                      <w14:textFill>
                        <w14:solidFill>
                          <w14:schemeClr w14:val="tx1"/>
                        </w14:solidFill>
                      </w14:textFill>
                    </w:rPr>
                  </w:pPr>
                </w:p>
              </w:tc>
              <w:tc>
                <w:tcPr>
                  <w:tcW w:w="500" w:type="pct"/>
                  <w:vMerge w:val="continue"/>
                  <w:vAlign w:val="center"/>
                </w:tcPr>
                <w:p w14:paraId="0A26319B">
                  <w:pPr>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caps w:val="0"/>
                      <w:smallCaps w:val="0"/>
                      <w:color w:val="000000" w:themeColor="text1"/>
                      <w:spacing w:val="0"/>
                      <w:w w:val="100"/>
                      <w:position w:val="0"/>
                      <w:sz w:val="21"/>
                      <w:szCs w:val="21"/>
                      <w14:textFill>
                        <w14:solidFill>
                          <w14:schemeClr w14:val="tx1"/>
                        </w14:solidFill>
                      </w14:textFill>
                    </w:rPr>
                  </w:pPr>
                </w:p>
              </w:tc>
              <w:tc>
                <w:tcPr>
                  <w:tcW w:w="2489" w:type="pct"/>
                  <w:shd w:val="clear" w:color="auto" w:fill="auto"/>
                  <w:vAlign w:val="center"/>
                </w:tcPr>
                <w:p w14:paraId="3F640E3B">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default" w:ascii="Times New Roman" w:hAnsi="Times New Roman" w:cs="Times New Roman"/>
                      <w:color w:val="000000" w:themeColor="text1"/>
                      <w:spacing w:val="0"/>
                      <w:w w:val="100"/>
                      <w:szCs w:val="21"/>
                      <w14:textFill>
                        <w14:solidFill>
                          <w14:schemeClr w14:val="tx1"/>
                        </w14:solidFill>
                      </w14:textFill>
                    </w:rPr>
                    <w:t>宜采用吸附、燃烧、喷淋吸收、生物、臭氧氧化、光氧化、等离子等技术</w:t>
                  </w:r>
                  <w:r>
                    <w:rPr>
                      <w:rFonts w:hint="eastAsia" w:cs="Times New Roman"/>
                      <w:color w:val="000000" w:themeColor="text1"/>
                      <w:spacing w:val="0"/>
                      <w:w w:val="100"/>
                      <w:szCs w:val="21"/>
                      <w:lang w:eastAsia="zh-CN"/>
                      <w14:textFill>
                        <w14:solidFill>
                          <w14:schemeClr w14:val="tx1"/>
                        </w14:solidFill>
                      </w14:textFill>
                    </w:rPr>
                    <w:t>；</w:t>
                  </w:r>
                  <w:r>
                    <w:rPr>
                      <w:rFonts w:hint="default" w:ascii="Times New Roman" w:hAnsi="Times New Roman" w:cs="Times New Roman"/>
                      <w:color w:val="000000" w:themeColor="text1"/>
                      <w:spacing w:val="0"/>
                      <w:w w:val="100"/>
                      <w:szCs w:val="21"/>
                      <w14:textFill>
                        <w14:solidFill>
                          <w14:schemeClr w14:val="tx1"/>
                        </w14:solidFill>
                      </w14:textFill>
                    </w:rPr>
                    <w:t>中、低浓度有机废气宜采用吸附浓缩－燃烧技术处理。</w:t>
                  </w:r>
                </w:p>
              </w:tc>
              <w:tc>
                <w:tcPr>
                  <w:tcW w:w="1448" w:type="pct"/>
                  <w:vMerge w:val="continue"/>
                  <w:shd w:val="clear" w:color="auto" w:fill="auto"/>
                  <w:vAlign w:val="center"/>
                </w:tcPr>
                <w:p w14:paraId="44BD761B">
                  <w:pPr>
                    <w:keepNext w:val="0"/>
                    <w:keepLines w:val="0"/>
                    <w:pageBreakBefore w:val="0"/>
                    <w:wordWrap/>
                    <w:overflowPunct/>
                    <w:bidi w:val="0"/>
                    <w:ind w:firstLine="0" w:firstLineChars="0"/>
                    <w:jc w:val="left"/>
                    <w:rPr>
                      <w:rFonts w:hint="eastAsia" w:ascii="Times New Roman" w:hAnsi="Times New Roman" w:eastAsia="宋体" w:cs="Times New Roman"/>
                      <w:color w:val="000000" w:themeColor="text1"/>
                      <w:spacing w:val="0"/>
                      <w:w w:val="100"/>
                      <w:kern w:val="2"/>
                      <w:sz w:val="21"/>
                      <w:szCs w:val="24"/>
                      <w:lang w:val="en-US" w:eastAsia="zh-CN" w:bidi="ar-SA"/>
                      <w14:textFill>
                        <w14:solidFill>
                          <w14:schemeClr w14:val="tx1"/>
                        </w14:solidFill>
                      </w14:textFill>
                    </w:rPr>
                  </w:pPr>
                </w:p>
              </w:tc>
              <w:tc>
                <w:tcPr>
                  <w:tcW w:w="0" w:type="auto"/>
                  <w:shd w:val="clear" w:color="auto" w:fill="auto"/>
                  <w:vAlign w:val="center"/>
                </w:tcPr>
                <w:p w14:paraId="507B25C1">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eastAsia" w:ascii="Times New Roman" w:hAnsi="Times New Roman" w:eastAsia="宋体" w:cs="Times New Roman"/>
                      <w:color w:val="000000" w:themeColor="text1"/>
                      <w:spacing w:val="0"/>
                      <w:w w:val="100"/>
                      <w:kern w:val="0"/>
                      <w:sz w:val="21"/>
                      <w:szCs w:val="21"/>
                      <w:lang w:val="en-US" w:eastAsia="zh-CN" w:bidi="ar-SA"/>
                      <w14:textFill>
                        <w14:solidFill>
                          <w14:schemeClr w14:val="tx1"/>
                        </w14:solidFill>
                      </w14:textFill>
                    </w:rPr>
                  </w:pPr>
                  <w:r>
                    <w:rPr>
                      <w:rFonts w:hint="eastAsia" w:ascii="Times New Roman" w:hAnsi="Times New Roman" w:cs="Times New Roman"/>
                      <w:color w:val="000000" w:themeColor="text1"/>
                      <w:spacing w:val="0"/>
                      <w:w w:val="100"/>
                      <w:szCs w:val="21"/>
                      <w:lang w:val="en-US" w:eastAsia="zh-CN"/>
                      <w14:textFill>
                        <w14:solidFill>
                          <w14:schemeClr w14:val="tx1"/>
                        </w14:solidFill>
                      </w14:textFill>
                    </w:rPr>
                    <w:t>符合</w:t>
                  </w:r>
                </w:p>
              </w:tc>
            </w:tr>
            <w:tr w14:paraId="2584E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jc w:val="center"/>
              </w:trPr>
              <w:tc>
                <w:tcPr>
                  <w:tcW w:w="237" w:type="pct"/>
                  <w:vAlign w:val="center"/>
                </w:tcPr>
                <w:p w14:paraId="1111E1F1">
                  <w:pPr>
                    <w:keepNext w:val="0"/>
                    <w:keepLines w:val="0"/>
                    <w:pageBreakBefore w:val="0"/>
                    <w:wordWrap/>
                    <w:overflowPunct/>
                    <w:bidi w:val="0"/>
                    <w:ind w:firstLine="0" w:firstLineChars="0"/>
                    <w:jc w:val="center"/>
                    <w:rPr>
                      <w:rFonts w:hint="default" w:ascii="Times New Roman" w:hAnsi="Times New Roman" w:cs="Times New Roman"/>
                      <w:i w:val="0"/>
                      <w:iCs w:val="0"/>
                      <w:color w:val="000000" w:themeColor="text1"/>
                      <w:spacing w:val="0"/>
                      <w:w w:val="100"/>
                      <w:kern w:val="0"/>
                      <w:sz w:val="21"/>
                      <w:szCs w:val="21"/>
                      <w:u w:val="none"/>
                      <w:lang w:val="en-US" w:eastAsia="zh-CN" w:bidi="ar"/>
                      <w14:textFill>
                        <w14:solidFill>
                          <w14:schemeClr w14:val="tx1"/>
                        </w14:solidFill>
                      </w14:textFill>
                    </w:rPr>
                  </w:pPr>
                  <w:r>
                    <w:rPr>
                      <w:rFonts w:hint="eastAsia" w:ascii="Times New Roman" w:hAnsi="Times New Roman" w:cs="Times New Roman"/>
                      <w:i w:val="0"/>
                      <w:iCs w:val="0"/>
                      <w:color w:val="000000" w:themeColor="text1"/>
                      <w:spacing w:val="0"/>
                      <w:w w:val="100"/>
                      <w:kern w:val="0"/>
                      <w:sz w:val="21"/>
                      <w:szCs w:val="21"/>
                      <w:u w:val="none"/>
                      <w:lang w:val="en-US" w:eastAsia="zh-CN" w:bidi="ar"/>
                      <w14:textFill>
                        <w14:solidFill>
                          <w14:schemeClr w14:val="tx1"/>
                        </w14:solidFill>
                      </w14:textFill>
                    </w:rPr>
                    <w:t>7</w:t>
                  </w:r>
                </w:p>
              </w:tc>
              <w:tc>
                <w:tcPr>
                  <w:tcW w:w="500" w:type="pct"/>
                  <w:vAlign w:val="center"/>
                </w:tcPr>
                <w:p w14:paraId="47C7F2B5">
                  <w:pPr>
                    <w:keepNext w:val="0"/>
                    <w:keepLines w:val="0"/>
                    <w:pageBreakBefore w:val="0"/>
                    <w:wordWrap/>
                    <w:overflowPunct/>
                    <w:bidi w:val="0"/>
                    <w:ind w:firstLine="0" w:firstLineChars="0"/>
                    <w:jc w:val="center"/>
                    <w:rPr>
                      <w:rFonts w:hint="default" w:ascii="Times New Roman" w:hAnsi="Times New Roman" w:cs="Times New Roman"/>
                      <w:i w:val="0"/>
                      <w:iCs w:val="0"/>
                      <w:color w:val="000000" w:themeColor="text1"/>
                      <w:spacing w:val="0"/>
                      <w:w w:val="100"/>
                      <w:kern w:val="0"/>
                      <w:sz w:val="21"/>
                      <w:szCs w:val="21"/>
                      <w:u w:val="none"/>
                      <w:lang w:val="en-US" w:eastAsia="zh-CN" w:bidi="ar"/>
                      <w14:textFill>
                        <w14:solidFill>
                          <w14:schemeClr w14:val="tx1"/>
                        </w14:solidFill>
                      </w14:textFill>
                    </w:rPr>
                  </w:pPr>
                  <w:r>
                    <w:rPr>
                      <w:rFonts w:hint="eastAsia" w:ascii="Times New Roman" w:hAnsi="Times New Roman" w:cs="Times New Roman"/>
                      <w:i w:val="0"/>
                      <w:iCs w:val="0"/>
                      <w:color w:val="000000" w:themeColor="text1"/>
                      <w:spacing w:val="0"/>
                      <w:w w:val="100"/>
                      <w:kern w:val="0"/>
                      <w:sz w:val="21"/>
                      <w:szCs w:val="21"/>
                      <w:u w:val="none"/>
                      <w:lang w:val="en-US" w:eastAsia="zh-CN" w:bidi="ar"/>
                      <w14:textFill>
                        <w14:solidFill>
                          <w14:schemeClr w14:val="tx1"/>
                        </w14:solidFill>
                      </w14:textFill>
                    </w:rPr>
                    <w:t>《</w:t>
                  </w:r>
                  <w:r>
                    <w:rPr>
                      <w:rFonts w:hint="default" w:ascii="Times New Roman" w:hAnsi="Times New Roman" w:cs="Times New Roman"/>
                      <w:i w:val="0"/>
                      <w:iCs w:val="0"/>
                      <w:color w:val="000000" w:themeColor="text1"/>
                      <w:spacing w:val="0"/>
                      <w:w w:val="100"/>
                      <w:kern w:val="0"/>
                      <w:sz w:val="21"/>
                      <w:szCs w:val="21"/>
                      <w:u w:val="none"/>
                      <w:lang w:val="en-US" w:eastAsia="zh-CN" w:bidi="ar"/>
                      <w14:textFill>
                        <w14:solidFill>
                          <w14:schemeClr w14:val="tx1"/>
                        </w14:solidFill>
                      </w14:textFill>
                    </w:rPr>
                    <w:t>安徽省土壤污染源头防控行动计划实施方案</w:t>
                  </w:r>
                  <w:r>
                    <w:rPr>
                      <w:rFonts w:hint="eastAsia" w:ascii="Times New Roman" w:hAnsi="Times New Roman" w:cs="Times New Roman"/>
                      <w:i w:val="0"/>
                      <w:iCs w:val="0"/>
                      <w:color w:val="000000" w:themeColor="text1"/>
                      <w:spacing w:val="0"/>
                      <w:w w:val="100"/>
                      <w:kern w:val="0"/>
                      <w:sz w:val="21"/>
                      <w:szCs w:val="21"/>
                      <w:u w:val="none"/>
                      <w:lang w:val="en-US" w:eastAsia="zh-CN" w:bidi="ar"/>
                      <w14:textFill>
                        <w14:solidFill>
                          <w14:schemeClr w14:val="tx1"/>
                        </w14:solidFill>
                      </w14:textFill>
                    </w:rPr>
                    <w:t>》（皖环发〔2025〕15号）</w:t>
                  </w:r>
                </w:p>
              </w:tc>
              <w:tc>
                <w:tcPr>
                  <w:tcW w:w="2489" w:type="pct"/>
                  <w:shd w:val="clear" w:color="auto" w:fill="auto"/>
                  <w:vAlign w:val="center"/>
                </w:tcPr>
                <w:p w14:paraId="5D90D03E">
                  <w:pPr>
                    <w:keepNext w:val="0"/>
                    <w:keepLines w:val="0"/>
                    <w:pageBreakBefore w:val="0"/>
                    <w:wordWrap/>
                    <w:overflowPunct/>
                    <w:bidi w:val="0"/>
                    <w:ind w:firstLine="0" w:firstLineChars="0"/>
                    <w:jc w:val="center"/>
                    <w:rPr>
                      <w:rFonts w:hint="default" w:ascii="Times New Roman" w:hAnsi="Times New Roman" w:cs="Times New Roman"/>
                      <w:i w:val="0"/>
                      <w:iCs w:val="0"/>
                      <w:color w:val="000000" w:themeColor="text1"/>
                      <w:spacing w:val="0"/>
                      <w:w w:val="100"/>
                      <w:kern w:val="0"/>
                      <w:sz w:val="21"/>
                      <w:szCs w:val="21"/>
                      <w:u w:val="none"/>
                      <w:lang w:val="en-US" w:eastAsia="zh-CN" w:bidi="ar"/>
                      <w14:textFill>
                        <w14:solidFill>
                          <w14:schemeClr w14:val="tx1"/>
                        </w14:solidFill>
                      </w14:textFill>
                    </w:rPr>
                  </w:pPr>
                  <w:r>
                    <w:rPr>
                      <w:rFonts w:hint="eastAsia" w:ascii="Times New Roman" w:hAnsi="Times New Roman" w:cs="Times New Roman"/>
                      <w:i w:val="0"/>
                      <w:iCs w:val="0"/>
                      <w:color w:val="000000" w:themeColor="text1"/>
                      <w:spacing w:val="0"/>
                      <w:w w:val="100"/>
                      <w:kern w:val="0"/>
                      <w:sz w:val="21"/>
                      <w:szCs w:val="21"/>
                      <w:u w:val="none"/>
                      <w:lang w:val="en-US" w:eastAsia="zh-CN" w:bidi="ar"/>
                      <w14:textFill>
                        <w14:solidFill>
                          <w14:schemeClr w14:val="tx1"/>
                        </w14:solidFill>
                      </w14:textFill>
                    </w:rPr>
                    <w:t>推进固体废物源头减量和综合利用。加强工业固体废物规范化管理，开展尾矿、磷石膏、煤矸石、粉煤灰等历史遗留固体废物堆存场所摸底排查和分级分类整改，落实防渗漏、防流失、防扬散等措施。防控危险废物环境风险，推进全过程信息化环境管理，严格管控最终填埋处置，降低危险废物填埋处置比例。严厉打击非法排放、倾倒、转移、处置固体废物，尤其是危险废物环境违法犯罪行为。加快推进大宗固体废弃物综合利用示范基地建设，推荐一批技术产品入选国家工业资源综合利用先进适用工艺技术设备目录、国家先进固体废物和土壤污染防治技术目录。推动实施磷石膏综合治理方案。加强废弃电器电子产品、报废机动车等再生资源加工利用企业土壤和地下水污染防治监管，指导落实防渗等措施。加强生活垃圾填埋场和危险废物处置场运行监管，落实雨污分流、地表水与地下水导排、渗沥液收集与处理等措施。推动城市生活垃圾填埋场规范化整治，对库容已满的开展封场治理。实施建筑垃圾全过程管理，强化装修装饰垃圾监管。推进建筑垃圾资源化利用项目建设，提升资源化利用水平。开展建筑垃圾专项整治，严厉打击违法违规倾倒等行为，加强建筑垃圾执法协作，适时组织问题点位“回头看”</w:t>
                  </w:r>
                </w:p>
              </w:tc>
              <w:tc>
                <w:tcPr>
                  <w:tcW w:w="1448" w:type="pct"/>
                  <w:shd w:val="clear" w:color="auto" w:fill="auto"/>
                  <w:vAlign w:val="center"/>
                </w:tcPr>
                <w:p w14:paraId="24E5F987">
                  <w:pPr>
                    <w:keepNext w:val="0"/>
                    <w:keepLines w:val="0"/>
                    <w:pageBreakBefore w:val="0"/>
                    <w:wordWrap/>
                    <w:overflowPunct/>
                    <w:bidi w:val="0"/>
                    <w:ind w:firstLine="0" w:firstLineChars="0"/>
                    <w:jc w:val="left"/>
                    <w:rPr>
                      <w:rFonts w:hint="default" w:ascii="Times New Roman" w:hAnsi="Times New Roman" w:eastAsia="宋体" w:cs="Times New Roman"/>
                      <w:color w:val="000000" w:themeColor="text1"/>
                      <w:spacing w:val="0"/>
                      <w:w w:val="100"/>
                      <w:kern w:val="2"/>
                      <w:sz w:val="21"/>
                      <w:szCs w:val="24"/>
                      <w:lang w:val="en-US" w:eastAsia="zh-CN" w:bidi="ar-SA"/>
                      <w14:textFill>
                        <w14:solidFill>
                          <w14:schemeClr w14:val="tx1"/>
                        </w14:solidFill>
                      </w14:textFill>
                    </w:rPr>
                  </w:pPr>
                  <w:r>
                    <w:rPr>
                      <w:rFonts w:hint="eastAsia" w:cs="Times New Roman"/>
                      <w:color w:val="000000" w:themeColor="text1"/>
                      <w:spacing w:val="0"/>
                      <w:w w:val="100"/>
                      <w:kern w:val="2"/>
                      <w:sz w:val="21"/>
                      <w:szCs w:val="24"/>
                      <w:lang w:val="en-US" w:eastAsia="zh-CN" w:bidi="ar-SA"/>
                      <w14:textFill>
                        <w14:solidFill>
                          <w14:schemeClr w14:val="tx1"/>
                        </w14:solidFill>
                      </w14:textFill>
                    </w:rPr>
                    <w:t>本项目属于废弃资源综合利用项目。</w:t>
                  </w:r>
                </w:p>
              </w:tc>
              <w:tc>
                <w:tcPr>
                  <w:tcW w:w="0" w:type="auto"/>
                  <w:shd w:val="clear" w:color="auto" w:fill="auto"/>
                  <w:vAlign w:val="center"/>
                </w:tcPr>
                <w:p w14:paraId="3CB4F913">
                  <w:pPr>
                    <w:pStyle w:val="43"/>
                    <w:keepNext w:val="0"/>
                    <w:keepLines w:val="0"/>
                    <w:pageBreakBefore w:val="0"/>
                    <w:wordWrap/>
                    <w:overflowPunct/>
                    <w:bidi w:val="0"/>
                    <w:adjustRightInd/>
                    <w:snapToGrid/>
                    <w:spacing w:before="0" w:beforeLines="0" w:after="0" w:afterLines="0" w:line="240" w:lineRule="auto"/>
                    <w:ind w:left="0" w:leftChars="0" w:firstLine="0" w:firstLineChars="0"/>
                    <w:jc w:val="center"/>
                    <w:rPr>
                      <w:rFonts w:hint="default" w:ascii="Times New Roman" w:hAnsi="Times New Roman" w:cs="Times New Roman"/>
                      <w:color w:val="000000" w:themeColor="text1"/>
                      <w:spacing w:val="0"/>
                      <w:w w:val="100"/>
                      <w:szCs w:val="21"/>
                      <w:lang w:val="en-US" w:eastAsia="zh-CN"/>
                      <w14:textFill>
                        <w14:solidFill>
                          <w14:schemeClr w14:val="tx1"/>
                        </w14:solidFill>
                      </w14:textFill>
                    </w:rPr>
                  </w:pPr>
                  <w:r>
                    <w:rPr>
                      <w:rFonts w:hint="eastAsia" w:cs="Times New Roman"/>
                      <w:color w:val="000000" w:themeColor="text1"/>
                      <w:spacing w:val="0"/>
                      <w:w w:val="100"/>
                      <w:szCs w:val="21"/>
                      <w:lang w:val="en-US" w:eastAsia="zh-CN"/>
                      <w14:textFill>
                        <w14:solidFill>
                          <w14:schemeClr w14:val="tx1"/>
                        </w14:solidFill>
                      </w14:textFill>
                    </w:rPr>
                    <w:t>符合</w:t>
                  </w:r>
                </w:p>
              </w:tc>
            </w:tr>
          </w:tbl>
          <w:p w14:paraId="2064416B">
            <w:pPr>
              <w:pStyle w:val="6"/>
              <w:keepNext/>
              <w:keepLines/>
              <w:pageBreakBefore w:val="0"/>
              <w:widowControl w:val="0"/>
              <w:kinsoku/>
              <w:wordWrap/>
              <w:overflowPunct/>
              <w:topLinePunct w:val="0"/>
              <w:autoSpaceDE/>
              <w:autoSpaceDN/>
              <w:bidi w:val="0"/>
              <w:adjustRightInd/>
              <w:snapToGrid/>
              <w:spacing w:before="0" w:after="0" w:line="480" w:lineRule="atLeast"/>
              <w:ind w:firstLine="480" w:firstLineChars="200"/>
              <w:textAlignment w:val="auto"/>
              <w:rPr>
                <w:rFonts w:hint="default" w:ascii="Times New Roman" w:hAnsi="Times New Roman" w:eastAsia="宋体" w:cs="Times New Roman"/>
                <w:b w:val="0"/>
                <w:bCs w:val="0"/>
                <w:color w:val="000000" w:themeColor="text1"/>
                <w:spacing w:val="0"/>
                <w:w w:val="100"/>
                <w:kern w:val="0"/>
                <w:position w:val="0"/>
                <w:sz w:val="24"/>
                <w:szCs w:val="24"/>
                <w:lang w:val="en-US" w:eastAsia="zh-CN"/>
                <w14:textFill>
                  <w14:solidFill>
                    <w14:schemeClr w14:val="tx1"/>
                  </w14:solidFill>
                </w14:textFill>
              </w:rPr>
            </w:pPr>
          </w:p>
          <w:p w14:paraId="7E0DA384">
            <w:pPr>
              <w:rPr>
                <w:rFonts w:hint="default"/>
                <w:color w:val="000000" w:themeColor="text1"/>
                <w:spacing w:val="0"/>
                <w:w w:val="100"/>
                <w14:textFill>
                  <w14:solidFill>
                    <w14:schemeClr w14:val="tx1"/>
                  </w14:solidFill>
                </w14:textFill>
              </w:rPr>
            </w:pPr>
          </w:p>
        </w:tc>
      </w:tr>
    </w:tbl>
    <w:p w14:paraId="672AF81D">
      <w:pPr>
        <w:autoSpaceDE w:val="0"/>
        <w:autoSpaceDN w:val="0"/>
        <w:adjustRightInd w:val="0"/>
        <w:snapToGrid w:val="0"/>
        <w:jc w:val="center"/>
        <w:rPr>
          <w:rFonts w:hint="default" w:ascii="Times New Roman" w:hAnsi="Times New Roman" w:cs="Times New Roman"/>
          <w:b/>
          <w:bCs/>
          <w:color w:val="auto"/>
          <w:spacing w:val="0"/>
          <w:kern w:val="0"/>
          <w:position w:val="0"/>
          <w:sz w:val="24"/>
        </w:rPr>
        <w:sectPr>
          <w:pgSz w:w="16838" w:h="11905" w:orient="landscape"/>
          <w:pgMar w:top="1440" w:right="1080" w:bottom="1440" w:left="1080" w:header="851" w:footer="1077" w:gutter="0"/>
          <w:pgBorders>
            <w:top w:val="none" w:sz="0" w:space="0"/>
            <w:left w:val="none" w:sz="0" w:space="0"/>
            <w:bottom w:val="none" w:sz="0" w:space="0"/>
            <w:right w:val="none" w:sz="0" w:space="0"/>
          </w:pgBorders>
          <w:pgNumType w:fmt="decimal"/>
          <w:cols w:space="0" w:num="1"/>
          <w:docGrid w:linePitch="312" w:charSpace="0"/>
        </w:sectPr>
      </w:pPr>
    </w:p>
    <w:p w14:paraId="093431FC">
      <w:pPr>
        <w:pStyle w:val="3"/>
        <w:bidi w:val="0"/>
        <w:rPr>
          <w:rFonts w:hint="default"/>
          <w:lang w:val="en-US" w:eastAsia="zh-CN"/>
        </w:rPr>
      </w:pPr>
      <w:bookmarkStart w:id="2" w:name="_Toc4761"/>
      <w:bookmarkStart w:id="3" w:name="_Toc16630"/>
      <w:r>
        <w:rPr>
          <w:rFonts w:hint="default"/>
          <w:lang w:val="en-US" w:eastAsia="zh-CN"/>
        </w:rPr>
        <w:t>二、建设项目工程分析</w:t>
      </w:r>
      <w:bookmarkEnd w:id="2"/>
    </w:p>
    <w:tbl>
      <w:tblPr>
        <w:tblStyle w:val="26"/>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9061"/>
      </w:tblGrid>
      <w:tr w14:paraId="4FCC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3" w:hRule="atLeast"/>
          <w:jc w:val="center"/>
        </w:trPr>
        <w:tc>
          <w:tcPr>
            <w:tcW w:w="594" w:type="dxa"/>
            <w:noWrap w:val="0"/>
            <w:vAlign w:val="center"/>
          </w:tcPr>
          <w:p w14:paraId="0DE3DF8C">
            <w:pPr>
              <w:pStyle w:val="23"/>
              <w:adjustRightInd w:val="0"/>
              <w:snapToGrid w:val="0"/>
              <w:spacing w:before="0" w:beforeAutospacing="0" w:after="0" w:afterAutospacing="0"/>
              <w:jc w:val="center"/>
              <w:rPr>
                <w:rFonts w:hint="default" w:ascii="Times New Roman" w:hAnsi="Times New Roman" w:eastAsia="宋体" w:cs="Times New Roman"/>
                <w:b/>
                <w:bCs/>
                <w:color w:val="auto"/>
                <w:spacing w:val="0"/>
                <w:kern w:val="0"/>
                <w:position w:val="0"/>
                <w:sz w:val="24"/>
                <w:szCs w:val="24"/>
                <w:lang w:val="en-US" w:eastAsia="zh-CN" w:bidi="ar-SA"/>
              </w:rPr>
            </w:pPr>
            <w:r>
              <w:rPr>
                <w:rFonts w:hint="default" w:ascii="Times New Roman" w:hAnsi="Times New Roman" w:cs="Times New Roman"/>
                <w:b/>
                <w:bCs/>
                <w:color w:val="auto"/>
                <w:spacing w:val="0"/>
                <w:position w:val="0"/>
                <w:szCs w:val="24"/>
              </w:rPr>
              <w:t>建设内容</w:t>
            </w:r>
          </w:p>
        </w:tc>
        <w:tc>
          <w:tcPr>
            <w:tcW w:w="9061" w:type="dxa"/>
            <w:noWrap w:val="0"/>
            <w:vAlign w:val="top"/>
          </w:tcPr>
          <w:p w14:paraId="46EA4AEF">
            <w:pPr>
              <w:pageBreakBefore w:val="0"/>
              <w:widowControl w:val="0"/>
              <w:numPr>
                <w:ilvl w:val="0"/>
                <w:numId w:val="6"/>
              </w:numPr>
              <w:kinsoku/>
              <w:wordWrap/>
              <w:overflowPunct/>
              <w:topLinePunct w:val="0"/>
              <w:autoSpaceDE/>
              <w:autoSpaceDN/>
              <w:bidi w:val="0"/>
              <w:adjustRightInd w:val="0"/>
              <w:snapToGrid w:val="0"/>
              <w:spacing w:line="360" w:lineRule="auto"/>
              <w:ind w:firstLine="0" w:firstLineChars="0"/>
              <w:jc w:val="left"/>
              <w:textAlignment w:val="auto"/>
              <w:rPr>
                <w:rFonts w:hint="default" w:ascii="Times New Roman" w:hAnsi="Times New Roman" w:cs="Times New Roman"/>
                <w:b/>
                <w:color w:val="auto"/>
                <w:spacing w:val="0"/>
                <w:position w:val="0"/>
                <w:sz w:val="24"/>
              </w:rPr>
            </w:pPr>
            <w:r>
              <w:rPr>
                <w:rFonts w:hint="default" w:ascii="Times New Roman" w:hAnsi="Times New Roman" w:cs="Times New Roman"/>
                <w:b/>
                <w:color w:val="auto"/>
                <w:spacing w:val="0"/>
                <w:position w:val="0"/>
                <w:sz w:val="24"/>
              </w:rPr>
              <w:t>项目</w:t>
            </w:r>
            <w:r>
              <w:rPr>
                <w:rFonts w:hint="eastAsia" w:cs="Times New Roman"/>
                <w:b/>
                <w:color w:val="auto"/>
                <w:spacing w:val="0"/>
                <w:position w:val="0"/>
                <w:sz w:val="24"/>
                <w:lang w:val="en-US" w:eastAsia="zh-CN"/>
              </w:rPr>
              <w:t>由来</w:t>
            </w:r>
          </w:p>
          <w:p w14:paraId="5DC3004F">
            <w:pPr>
              <w:pStyle w:val="6"/>
              <w:pageBreakBefore w:val="0"/>
              <w:widowControl w:val="0"/>
              <w:kinsoku/>
              <w:wordWrap/>
              <w:overflowPunct/>
              <w:topLinePunct w:val="0"/>
              <w:autoSpaceDE/>
              <w:autoSpaceDN/>
              <w:bidi w:val="0"/>
              <w:adjustRightInd/>
              <w:snapToGrid/>
              <w:spacing w:before="0" w:after="0" w:line="360" w:lineRule="auto"/>
              <w:ind w:left="0" w:leftChars="0" w:firstLine="0" w:firstLineChars="0"/>
              <w:jc w:val="left"/>
              <w:textAlignment w:val="auto"/>
              <w:rPr>
                <w:rFonts w:hint="default" w:ascii="Times New Roman" w:hAnsi="Times New Roman" w:eastAsia="宋体" w:cs="Times New Roman"/>
                <w:color w:val="auto"/>
                <w:spacing w:val="0"/>
                <w:position w:val="0"/>
                <w:sz w:val="24"/>
                <w:lang w:val="en-US" w:eastAsia="zh-CN"/>
              </w:rPr>
            </w:pPr>
            <w:r>
              <w:rPr>
                <w:rFonts w:hint="eastAsia" w:ascii="Times New Roman" w:hAnsi="Times New Roman" w:eastAsia="宋体" w:cs="Times New Roman"/>
                <w:b/>
                <w:bCs/>
                <w:color w:val="auto"/>
                <w:spacing w:val="0"/>
                <w:kern w:val="2"/>
                <w:position w:val="0"/>
                <w:sz w:val="24"/>
                <w:szCs w:val="24"/>
                <w:lang w:val="en-US" w:eastAsia="zh-CN" w:bidi="ar-SA"/>
              </w:rPr>
              <w:t>1.1</w:t>
            </w:r>
            <w:r>
              <w:rPr>
                <w:rFonts w:hint="default" w:ascii="Times New Roman" w:hAnsi="Times New Roman" w:eastAsia="宋体" w:cs="Times New Roman"/>
                <w:b/>
                <w:bCs/>
                <w:color w:val="auto"/>
                <w:spacing w:val="0"/>
                <w:kern w:val="2"/>
                <w:position w:val="0"/>
                <w:sz w:val="24"/>
                <w:szCs w:val="24"/>
                <w:lang w:val="en-US" w:eastAsia="zh-CN" w:bidi="ar-SA"/>
              </w:rPr>
              <w:t>项</w:t>
            </w:r>
            <w:r>
              <w:rPr>
                <w:rFonts w:hint="default" w:ascii="Times New Roman" w:hAnsi="Times New Roman" w:eastAsia="宋体" w:cs="Times New Roman"/>
                <w:color w:val="auto"/>
                <w:spacing w:val="0"/>
                <w:position w:val="0"/>
                <w:sz w:val="24"/>
                <w:lang w:val="en-US" w:eastAsia="zh-CN"/>
              </w:rPr>
              <w:t>目背景</w:t>
            </w:r>
          </w:p>
          <w:p w14:paraId="402B17CB">
            <w:pPr>
              <w:pStyle w:val="75"/>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eastAsia"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随着光伏发电的大规模利用，退役和废旧光伏组件的回收利用成为一个显性问 题，同时也为行业带来了巨大的新商机。据国际可再生能源机构</w:t>
            </w:r>
            <w:r>
              <w:rPr>
                <w:rFonts w:hint="eastAsia" w:ascii="Times New Roman" w:hAnsi="Times New Roman"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IRENA）预计，到2030年，全世界范围内累计的光伏组件废旧物将达到数百万吨</w:t>
            </w:r>
            <w:r>
              <w:rPr>
                <w:rFonts w:hint="eastAsia" w:ascii="Times New Roman" w:hAnsi="Times New Roman"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而到2050年，更是将达到数千万吨的规模。这些废旧组件如果处理不当，将会给环境、社会带来严重的负面影响，使原本“绿色”的初衷变得不再“绿色”。</w:t>
            </w:r>
          </w:p>
          <w:p w14:paraId="7A5AA846">
            <w:pPr>
              <w:pStyle w:val="75"/>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eastAsia" w:ascii="Times New Roman" w:hAnsi="Times New Roman" w:eastAsia="宋体" w:cs="Times New Roman"/>
                <w:color w:val="auto"/>
                <w:kern w:val="2"/>
                <w:sz w:val="24"/>
                <w:szCs w:val="24"/>
                <w:u w:val="none"/>
                <w:lang w:val="en-US" w:eastAsia="zh-CN" w:bidi="ar-SA"/>
              </w:rPr>
            </w:pPr>
            <w:r>
              <w:rPr>
                <w:rFonts w:hint="eastAsia" w:ascii="Times New Roman" w:hAnsi="Times New Roman" w:eastAsia="宋体" w:cs="Times New Roman"/>
                <w:color w:val="auto"/>
                <w:kern w:val="2"/>
                <w:sz w:val="24"/>
                <w:szCs w:val="24"/>
                <w:lang w:val="en-US" w:eastAsia="zh-CN" w:bidi="ar-SA"/>
              </w:rPr>
              <w:t>《国家发展改革委等部门关于促进退役风电、光伏设备循环利用的指导意见》（发改环资〔2023〕1030号）</w:t>
            </w:r>
            <w:r>
              <w:rPr>
                <w:rFonts w:hint="eastAsia" w:ascii="Times New Roman" w:hAnsi="Times New Roman" w:cs="Times New Roman"/>
                <w:color w:val="auto"/>
                <w:kern w:val="2"/>
                <w:sz w:val="24"/>
                <w:szCs w:val="24"/>
                <w:lang w:val="en-US" w:eastAsia="zh-CN" w:bidi="ar-SA"/>
              </w:rPr>
              <w:t>指</w:t>
            </w:r>
            <w:r>
              <w:rPr>
                <w:rFonts w:hint="eastAsia" w:ascii="Times New Roman" w:hAnsi="Times New Roman" w:eastAsia="宋体" w:cs="Times New Roman"/>
                <w:color w:val="auto"/>
                <w:kern w:val="2"/>
                <w:sz w:val="24"/>
                <w:szCs w:val="24"/>
                <w:lang w:val="en-US" w:eastAsia="zh-CN" w:bidi="ar-SA"/>
              </w:rPr>
              <w:t>出：</w:t>
            </w:r>
            <w:r>
              <w:rPr>
                <w:rFonts w:hint="eastAsia" w:ascii="Times New Roman" w:hAnsi="Times New Roman" w:eastAsia="宋体" w:cs="Times New Roman"/>
                <w:color w:val="auto"/>
                <w:kern w:val="2"/>
                <w:sz w:val="24"/>
                <w:szCs w:val="24"/>
                <w:u w:val="none"/>
                <w:lang w:val="en-US" w:eastAsia="zh-CN" w:bidi="ar-SA"/>
              </w:rPr>
              <w:t>鼓励再生利用企业开展退役风电、光伏设备精细化拆解和高水平再生利用，重点聚焦风电机组中的基础、塔架、叶片、机舱、发电机、齿轮箱、电控柜等部件，以及光伏组件中的光伏层压件、边框、接线盒等部件开展高水平再生利用。</w:t>
            </w:r>
          </w:p>
          <w:p w14:paraId="1718453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eastAsia" w:ascii="Times New Roman" w:hAnsi="Times New Roman" w:cs="Times New Roman"/>
                <w:color w:val="auto"/>
                <w:spacing w:val="0"/>
                <w:sz w:val="24"/>
                <w:szCs w:val="24"/>
                <w:lang w:val="en-US" w:eastAsia="zh-CN"/>
              </w:rPr>
            </w:pPr>
            <w:r>
              <w:rPr>
                <w:rFonts w:hint="eastAsia" w:ascii="Times New Roman" w:hAnsi="Times New Roman" w:eastAsia="宋体" w:cs="Times New Roman"/>
                <w:color w:val="auto"/>
                <w:kern w:val="2"/>
                <w:sz w:val="24"/>
                <w:szCs w:val="24"/>
                <w:lang w:val="en-US" w:eastAsia="zh-CN" w:bidi="ar-SA"/>
              </w:rPr>
              <w:t>在此背景下，安徽合丰卓盛新能源科技有限公司拟投资建设“</w:t>
            </w:r>
            <w:r>
              <w:rPr>
                <w:rFonts w:hint="eastAsia" w:cs="Times New Roman"/>
                <w:color w:val="auto"/>
                <w:spacing w:val="0"/>
                <w:position w:val="0"/>
                <w:sz w:val="24"/>
                <w:lang w:eastAsia="zh-CN"/>
              </w:rPr>
              <w:t>年处理3万吨废旧光伏组件循环再利用项目</w:t>
            </w:r>
            <w:r>
              <w:rPr>
                <w:rFonts w:hint="eastAsia" w:ascii="Times New Roman" w:hAnsi="Times New Roman" w:eastAsia="宋体" w:cs="Times New Roman"/>
                <w:color w:val="auto"/>
                <w:kern w:val="2"/>
                <w:sz w:val="24"/>
                <w:szCs w:val="24"/>
                <w:lang w:val="en-US" w:eastAsia="zh-CN" w:bidi="ar-SA"/>
              </w:rPr>
              <w:t>”</w:t>
            </w:r>
            <w:r>
              <w:rPr>
                <w:rFonts w:hint="eastAsia"/>
                <w:color w:val="auto"/>
                <w:sz w:val="24"/>
                <w:lang w:val="en-US" w:eastAsia="zh-CN"/>
              </w:rPr>
              <w:t>（以下称本项目）</w:t>
            </w:r>
            <w:r>
              <w:rPr>
                <w:rFonts w:hint="eastAsia" w:ascii="Times New Roman" w:hAnsi="Times New Roman" w:cs="Times New Roman"/>
                <w:color w:val="auto"/>
                <w:spacing w:val="0"/>
                <w:sz w:val="24"/>
                <w:szCs w:val="24"/>
                <w:lang w:val="en-US" w:eastAsia="zh-CN"/>
              </w:rPr>
              <w:t>。</w:t>
            </w:r>
          </w:p>
          <w:p w14:paraId="4175BC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cs="Times New Roman"/>
                <w:color w:val="auto"/>
                <w:spacing w:val="0"/>
                <w:sz w:val="24"/>
                <w:szCs w:val="24"/>
                <w:lang w:val="en-US" w:eastAsia="zh-CN"/>
              </w:rPr>
            </w:pPr>
            <w:r>
              <w:rPr>
                <w:rFonts w:hint="default" w:ascii="Times New Roman" w:hAnsi="Times New Roman" w:cs="Times New Roman"/>
                <w:color w:val="auto"/>
                <w:spacing w:val="0"/>
                <w:sz w:val="24"/>
                <w:szCs w:val="24"/>
                <w:lang w:eastAsia="zh-CN"/>
              </w:rPr>
              <w:t>202</w:t>
            </w:r>
            <w:r>
              <w:rPr>
                <w:rFonts w:hint="eastAsia" w:cs="Times New Roman"/>
                <w:color w:val="auto"/>
                <w:spacing w:val="0"/>
                <w:sz w:val="24"/>
                <w:szCs w:val="24"/>
                <w:lang w:val="en-US" w:eastAsia="zh-CN"/>
              </w:rPr>
              <w:t>5</w:t>
            </w:r>
            <w:r>
              <w:rPr>
                <w:rFonts w:hint="default" w:ascii="Times New Roman" w:hAnsi="Times New Roman" w:cs="Times New Roman"/>
                <w:color w:val="auto"/>
                <w:spacing w:val="0"/>
                <w:sz w:val="24"/>
                <w:szCs w:val="24"/>
                <w:lang w:eastAsia="zh-CN"/>
              </w:rPr>
              <w:t>年</w:t>
            </w:r>
            <w:r>
              <w:rPr>
                <w:rFonts w:hint="eastAsia" w:cs="Times New Roman"/>
                <w:color w:val="auto"/>
                <w:spacing w:val="0"/>
                <w:sz w:val="24"/>
                <w:szCs w:val="24"/>
                <w:lang w:val="en-US" w:eastAsia="zh-CN"/>
              </w:rPr>
              <w:t>7</w:t>
            </w:r>
            <w:r>
              <w:rPr>
                <w:rFonts w:hint="eastAsia" w:ascii="Times New Roman" w:hAnsi="Times New Roman" w:cs="Times New Roman"/>
                <w:color w:val="auto"/>
                <w:spacing w:val="0"/>
                <w:sz w:val="24"/>
                <w:szCs w:val="24"/>
                <w:lang w:val="en-US" w:eastAsia="zh-CN"/>
              </w:rPr>
              <w:t>月</w:t>
            </w:r>
            <w:r>
              <w:rPr>
                <w:rFonts w:hint="eastAsia" w:cs="Times New Roman"/>
                <w:color w:val="auto"/>
                <w:spacing w:val="0"/>
                <w:sz w:val="24"/>
                <w:szCs w:val="24"/>
                <w:lang w:val="en-US" w:eastAsia="zh-CN"/>
              </w:rPr>
              <w:t>3</w:t>
            </w:r>
            <w:r>
              <w:rPr>
                <w:rFonts w:hint="eastAsia" w:ascii="Times New Roman" w:hAnsi="Times New Roman" w:cs="Times New Roman"/>
                <w:color w:val="auto"/>
                <w:spacing w:val="0"/>
                <w:sz w:val="24"/>
                <w:szCs w:val="24"/>
                <w:lang w:val="en-US" w:eastAsia="zh-CN"/>
              </w:rPr>
              <w:t>日，</w:t>
            </w:r>
            <w:r>
              <w:rPr>
                <w:rFonts w:hint="eastAsia" w:cs="Times New Roman"/>
                <w:color w:val="auto"/>
                <w:spacing w:val="0"/>
                <w:position w:val="0"/>
                <w:sz w:val="24"/>
                <w:lang w:val="en-US" w:eastAsia="zh-CN"/>
              </w:rPr>
              <w:t>皖江江南新兴产业集中区管委会产业发展部以江南管产</w:t>
            </w:r>
            <w:r>
              <w:rPr>
                <w:rFonts w:hint="default" w:ascii="Times New Roman" w:hAnsi="Times New Roman" w:eastAsia="宋体" w:cs="Times New Roman"/>
                <w:color w:val="auto"/>
                <w:spacing w:val="0"/>
                <w:position w:val="0"/>
                <w:sz w:val="24"/>
              </w:rPr>
              <w:t>〔</w:t>
            </w:r>
            <w:r>
              <w:rPr>
                <w:rFonts w:hint="default" w:ascii="Times New Roman" w:hAnsi="Times New Roman" w:eastAsia="宋体" w:cs="Times New Roman"/>
                <w:color w:val="auto"/>
                <w:spacing w:val="0"/>
                <w:position w:val="0"/>
                <w:sz w:val="24"/>
                <w:lang w:val="en-US" w:eastAsia="zh-CN"/>
              </w:rPr>
              <w:t>202</w:t>
            </w:r>
            <w:r>
              <w:rPr>
                <w:rFonts w:hint="eastAsia" w:cs="Times New Roman"/>
                <w:color w:val="auto"/>
                <w:spacing w:val="0"/>
                <w:position w:val="0"/>
                <w:sz w:val="24"/>
                <w:lang w:val="en-US" w:eastAsia="zh-CN"/>
              </w:rPr>
              <w:t>5</w:t>
            </w:r>
            <w:r>
              <w:rPr>
                <w:rFonts w:hint="default" w:ascii="Times New Roman" w:hAnsi="Times New Roman" w:eastAsia="仿宋" w:cs="Times New Roman"/>
                <w:color w:val="auto"/>
                <w:spacing w:val="0"/>
                <w:position w:val="0"/>
                <w:sz w:val="24"/>
              </w:rPr>
              <w:t>〕</w:t>
            </w:r>
            <w:r>
              <w:rPr>
                <w:rFonts w:hint="eastAsia" w:eastAsia="仿宋" w:cs="Times New Roman"/>
                <w:color w:val="auto"/>
                <w:spacing w:val="0"/>
                <w:position w:val="0"/>
                <w:sz w:val="24"/>
                <w:lang w:val="en-US" w:eastAsia="zh-CN"/>
              </w:rPr>
              <w:t>144</w:t>
            </w:r>
            <w:r>
              <w:rPr>
                <w:rFonts w:hint="default" w:ascii="Times New Roman" w:hAnsi="Times New Roman" w:cs="Times New Roman"/>
                <w:color w:val="auto"/>
                <w:spacing w:val="0"/>
                <w:position w:val="0"/>
                <w:sz w:val="24"/>
              </w:rPr>
              <w:t>号</w:t>
            </w:r>
            <w:r>
              <w:rPr>
                <w:rFonts w:hint="eastAsia" w:cs="Times New Roman"/>
                <w:color w:val="auto"/>
                <w:spacing w:val="0"/>
                <w:position w:val="0"/>
                <w:sz w:val="24"/>
                <w:lang w:val="en-US" w:eastAsia="zh-CN"/>
              </w:rPr>
              <w:t>文</w:t>
            </w:r>
            <w:r>
              <w:rPr>
                <w:rFonts w:hint="eastAsia" w:ascii="Times New Roman" w:hAnsi="Times New Roman" w:cs="Times New Roman"/>
                <w:color w:val="auto"/>
                <w:spacing w:val="0"/>
                <w:position w:val="0"/>
                <w:sz w:val="24"/>
                <w:lang w:val="en-US" w:eastAsia="zh-CN"/>
              </w:rPr>
              <w:t>对本项目予以备案</w:t>
            </w:r>
            <w:r>
              <w:rPr>
                <w:rFonts w:hint="default" w:ascii="Times New Roman" w:hAnsi="Times New Roman" w:cs="Times New Roman"/>
                <w:color w:val="auto"/>
                <w:spacing w:val="0"/>
                <w:kern w:val="2"/>
                <w:position w:val="0"/>
                <w:sz w:val="24"/>
                <w:szCs w:val="24"/>
              </w:rPr>
              <w:t>，</w:t>
            </w:r>
            <w:r>
              <w:rPr>
                <w:rFonts w:hint="default" w:ascii="Times New Roman" w:hAnsi="Times New Roman" w:cs="Times New Roman"/>
                <w:color w:val="auto"/>
                <w:spacing w:val="0"/>
                <w:position w:val="0"/>
                <w:sz w:val="24"/>
                <w:szCs w:val="24"/>
              </w:rPr>
              <w:t>项目代码</w:t>
            </w:r>
            <w:r>
              <w:rPr>
                <w:rFonts w:hint="eastAsia" w:ascii="Times New Roman" w:hAnsi="Times New Roman" w:cs="Times New Roman"/>
                <w:color w:val="auto"/>
                <w:spacing w:val="0"/>
                <w:position w:val="0"/>
                <w:sz w:val="24"/>
                <w:szCs w:val="24"/>
                <w:lang w:eastAsia="zh-CN"/>
              </w:rPr>
              <w:t>：</w:t>
            </w:r>
            <w:r>
              <w:rPr>
                <w:rFonts w:hint="eastAsia" w:cs="Times New Roman"/>
                <w:color w:val="auto"/>
                <w:spacing w:val="0"/>
                <w:position w:val="0"/>
                <w:sz w:val="24"/>
                <w:lang w:eastAsia="zh-CN"/>
              </w:rPr>
              <w:t>2507-341763-04-01-265570</w:t>
            </w:r>
            <w:r>
              <w:rPr>
                <w:rFonts w:hint="default" w:ascii="Times New Roman" w:hAnsi="Times New Roman" w:cs="Times New Roman"/>
                <w:color w:val="auto"/>
                <w:spacing w:val="0"/>
                <w:kern w:val="2"/>
                <w:position w:val="0"/>
                <w:sz w:val="24"/>
                <w:szCs w:val="24"/>
              </w:rPr>
              <w:t>。</w:t>
            </w:r>
            <w:r>
              <w:rPr>
                <w:rFonts w:hint="eastAsia" w:cs="Times New Roman"/>
                <w:color w:val="auto"/>
                <w:spacing w:val="0"/>
                <w:sz w:val="24"/>
                <w:szCs w:val="24"/>
                <w:lang w:val="en-US" w:eastAsia="zh-CN"/>
              </w:rPr>
              <w:t>项目总投资12000万元，租赁万凯工业园7#厂房，通过购置拆框机、铜米机、热解炉、振动筛、风选机、色选机、涡电流分选机、气流比重色选机、清洗炉、烘干炉等设备，配套建设环保、安全、消防等附属设施，建设四条废旧光伏组件处理生产线，形成年处理3万吨废旧光伏组件生产能力。</w:t>
            </w:r>
          </w:p>
          <w:p w14:paraId="46A02021">
            <w:pPr>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b/>
                <w:color w:val="auto"/>
                <w:spacing w:val="0"/>
                <w:position w:val="0"/>
                <w:sz w:val="24"/>
              </w:rPr>
            </w:pPr>
            <w:r>
              <w:rPr>
                <w:rFonts w:hint="default" w:ascii="Times New Roman" w:hAnsi="Times New Roman" w:cs="Times New Roman"/>
                <w:b/>
                <w:color w:val="auto"/>
                <w:spacing w:val="0"/>
                <w:position w:val="0"/>
                <w:sz w:val="24"/>
              </w:rPr>
              <w:t>1.2行业判定</w:t>
            </w:r>
          </w:p>
          <w:p w14:paraId="4A3E4138">
            <w:pPr>
              <w:adjustRightInd w:val="0"/>
              <w:spacing w:line="480" w:lineRule="exact"/>
              <w:ind w:firstLine="480" w:firstLineChars="200"/>
              <w:rPr>
                <w:rFonts w:hint="default" w:ascii="Times New Roman" w:hAnsi="Times New Roman" w:cs="Times New Roman"/>
                <w:color w:val="auto"/>
                <w:spacing w:val="0"/>
                <w:position w:val="0"/>
                <w:sz w:val="24"/>
              </w:rPr>
            </w:pPr>
            <w:r>
              <w:rPr>
                <w:rFonts w:hint="default" w:ascii="Times New Roman" w:hAnsi="Times New Roman" w:cs="Times New Roman"/>
                <w:color w:val="auto"/>
                <w:spacing w:val="0"/>
                <w:position w:val="0"/>
                <w:sz w:val="24"/>
              </w:rPr>
              <w:t>对照《国民经济行业分类》</w:t>
            </w:r>
            <w:r>
              <w:rPr>
                <w:rFonts w:hint="eastAsia" w:cs="Times New Roman"/>
                <w:color w:val="auto"/>
                <w:spacing w:val="0"/>
                <w:position w:val="0"/>
                <w:sz w:val="24"/>
                <w:lang w:eastAsia="zh-CN"/>
              </w:rPr>
              <w:t>（</w:t>
            </w:r>
            <w:r>
              <w:rPr>
                <w:rFonts w:hint="default" w:ascii="Times New Roman" w:hAnsi="Times New Roman" w:cs="Times New Roman"/>
                <w:color w:val="auto"/>
                <w:spacing w:val="0"/>
                <w:position w:val="0"/>
                <w:sz w:val="24"/>
              </w:rPr>
              <w:t>GB/T 4754-2017）</w:t>
            </w:r>
            <w:r>
              <w:rPr>
                <w:rFonts w:hint="eastAsia" w:cs="Times New Roman"/>
                <w:color w:val="auto"/>
                <w:spacing w:val="0"/>
                <w:position w:val="0"/>
                <w:sz w:val="24"/>
                <w:lang w:eastAsia="zh-CN"/>
              </w:rPr>
              <w:t>、</w:t>
            </w:r>
            <w:r>
              <w:rPr>
                <w:rFonts w:hint="default" w:ascii="Times New Roman" w:hAnsi="Times New Roman" w:cs="Times New Roman"/>
                <w:color w:val="auto"/>
                <w:spacing w:val="0"/>
                <w:position w:val="0"/>
                <w:sz w:val="24"/>
              </w:rPr>
              <w:t>《建设项目环境影响评价分类管理名录》</w:t>
            </w:r>
            <w:r>
              <w:rPr>
                <w:rFonts w:hint="eastAsia" w:cs="Times New Roman"/>
                <w:color w:val="auto"/>
                <w:spacing w:val="0"/>
                <w:position w:val="0"/>
                <w:sz w:val="24"/>
                <w:lang w:eastAsia="zh-CN"/>
              </w:rPr>
              <w:t>（</w:t>
            </w:r>
            <w:r>
              <w:rPr>
                <w:rFonts w:hint="default" w:ascii="Times New Roman" w:hAnsi="Times New Roman" w:cs="Times New Roman"/>
                <w:color w:val="auto"/>
                <w:spacing w:val="0"/>
                <w:position w:val="0"/>
                <w:sz w:val="24"/>
              </w:rPr>
              <w:t>2021年版）以及《固定污染源排污许可分类管理名录》</w:t>
            </w:r>
            <w:r>
              <w:rPr>
                <w:rFonts w:hint="eastAsia" w:cs="Times New Roman"/>
                <w:color w:val="auto"/>
                <w:spacing w:val="0"/>
                <w:position w:val="0"/>
                <w:sz w:val="24"/>
                <w:lang w:eastAsia="zh-CN"/>
              </w:rPr>
              <w:t>（</w:t>
            </w:r>
            <w:r>
              <w:rPr>
                <w:rFonts w:hint="default" w:ascii="Times New Roman" w:hAnsi="Times New Roman" w:cs="Times New Roman"/>
                <w:color w:val="auto"/>
                <w:spacing w:val="0"/>
                <w:position w:val="0"/>
                <w:sz w:val="24"/>
              </w:rPr>
              <w:t>2019年版），项目行业类别如下表所示：</w:t>
            </w:r>
          </w:p>
          <w:p w14:paraId="55DFCBBC">
            <w:pPr>
              <w:spacing w:line="480" w:lineRule="atLeast"/>
              <w:jc w:val="center"/>
              <w:rPr>
                <w:rFonts w:hint="default" w:ascii="Times New Roman" w:hAnsi="Times New Roman" w:cs="Times New Roman"/>
                <w:b/>
                <w:color w:val="auto"/>
                <w:spacing w:val="0"/>
                <w:position w:val="0"/>
                <w:szCs w:val="21"/>
              </w:rPr>
            </w:pPr>
          </w:p>
          <w:p w14:paraId="13A2EA0B">
            <w:pPr>
              <w:spacing w:line="480" w:lineRule="atLeast"/>
              <w:jc w:val="center"/>
              <w:rPr>
                <w:rFonts w:hint="default" w:ascii="Times New Roman" w:hAnsi="Times New Roman" w:cs="Times New Roman"/>
                <w:b/>
                <w:color w:val="auto"/>
                <w:spacing w:val="0"/>
                <w:position w:val="0"/>
                <w:szCs w:val="21"/>
              </w:rPr>
            </w:pPr>
          </w:p>
          <w:p w14:paraId="4D6546B0">
            <w:pPr>
              <w:spacing w:line="480" w:lineRule="atLeast"/>
              <w:jc w:val="center"/>
              <w:rPr>
                <w:rFonts w:hint="default" w:ascii="Times New Roman" w:hAnsi="Times New Roman" w:cs="Times New Roman"/>
                <w:b/>
                <w:color w:val="auto"/>
                <w:spacing w:val="0"/>
                <w:position w:val="0"/>
                <w:szCs w:val="21"/>
              </w:rPr>
            </w:pPr>
          </w:p>
          <w:p w14:paraId="759C5B55">
            <w:pPr>
              <w:spacing w:line="480" w:lineRule="atLeast"/>
              <w:jc w:val="center"/>
              <w:rPr>
                <w:rFonts w:hint="default" w:ascii="Times New Roman" w:hAnsi="Times New Roman" w:cs="Times New Roman"/>
                <w:b/>
                <w:color w:val="auto"/>
                <w:spacing w:val="0"/>
                <w:position w:val="0"/>
                <w:szCs w:val="21"/>
              </w:rPr>
            </w:pPr>
          </w:p>
          <w:p w14:paraId="11396EDB">
            <w:pPr>
              <w:spacing w:line="480" w:lineRule="atLeast"/>
              <w:jc w:val="center"/>
              <w:rPr>
                <w:rFonts w:hint="default" w:ascii="Times New Roman" w:hAnsi="Times New Roman" w:cs="Times New Roman"/>
                <w:b/>
                <w:color w:val="auto"/>
                <w:spacing w:val="0"/>
                <w:position w:val="0"/>
                <w:szCs w:val="21"/>
              </w:rPr>
            </w:pPr>
            <w:r>
              <w:rPr>
                <w:rFonts w:hint="default" w:ascii="Times New Roman" w:hAnsi="Times New Roman" w:cs="Times New Roman"/>
                <w:b/>
                <w:color w:val="auto"/>
                <w:spacing w:val="0"/>
                <w:position w:val="0"/>
                <w:szCs w:val="21"/>
              </w:rPr>
              <w:t>表</w:t>
            </w:r>
            <w:r>
              <w:rPr>
                <w:rFonts w:hint="default" w:ascii="Times New Roman" w:hAnsi="Times New Roman" w:cs="Times New Roman"/>
                <w:b/>
                <w:color w:val="auto"/>
                <w:spacing w:val="0"/>
                <w:position w:val="0"/>
                <w:szCs w:val="21"/>
                <w:lang w:val="en-US" w:eastAsia="zh-CN"/>
              </w:rPr>
              <w:t>2</w:t>
            </w:r>
            <w:r>
              <w:rPr>
                <w:rFonts w:hint="default" w:ascii="Times New Roman" w:hAnsi="Times New Roman" w:cs="Times New Roman"/>
                <w:b/>
                <w:color w:val="auto"/>
                <w:spacing w:val="0"/>
                <w:position w:val="0"/>
                <w:szCs w:val="21"/>
              </w:rPr>
              <w:t>-</w:t>
            </w:r>
            <w:r>
              <w:rPr>
                <w:rFonts w:hint="default" w:ascii="Times New Roman" w:hAnsi="Times New Roman" w:cs="Times New Roman"/>
                <w:b/>
                <w:color w:val="auto"/>
                <w:spacing w:val="0"/>
                <w:position w:val="0"/>
                <w:szCs w:val="21"/>
                <w:lang w:val="en-US" w:eastAsia="zh-CN"/>
              </w:rPr>
              <w:t>1</w:t>
            </w:r>
            <w:r>
              <w:rPr>
                <w:rFonts w:hint="default" w:ascii="Times New Roman" w:hAnsi="Times New Roman" w:cs="Times New Roman"/>
                <w:b/>
                <w:color w:val="auto"/>
                <w:spacing w:val="0"/>
                <w:position w:val="0"/>
                <w:szCs w:val="21"/>
              </w:rPr>
              <w:t xml:space="preserve">  项目行业判定表</w:t>
            </w:r>
          </w:p>
          <w:tbl>
            <w:tblPr>
              <w:tblStyle w:val="26"/>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2056"/>
              <w:gridCol w:w="3029"/>
              <w:gridCol w:w="1359"/>
              <w:gridCol w:w="2455"/>
            </w:tblGrid>
            <w:tr w14:paraId="1773D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69" w:hRule="atLeast"/>
                <w:jc w:val="center"/>
              </w:trPr>
              <w:tc>
                <w:tcPr>
                  <w:tcW w:w="6444" w:type="dxa"/>
                  <w:gridSpan w:val="3"/>
                  <w:tcBorders>
                    <w:tl2br w:val="nil"/>
                    <w:tr2bl w:val="nil"/>
                  </w:tcBorders>
                  <w:shd w:val="clear" w:color="auto" w:fill="auto"/>
                  <w:vAlign w:val="center"/>
                </w:tcPr>
                <w:p w14:paraId="4B7F74A3">
                  <w:pPr>
                    <w:keepNext w:val="0"/>
                    <w:keepLines w:val="0"/>
                    <w:widowControl/>
                    <w:suppressLineNumbers w:val="0"/>
                    <w:jc w:val="center"/>
                    <w:textAlignment w:val="center"/>
                    <w:rPr>
                      <w:rFonts w:hint="default" w:ascii="Times New Roman" w:hAnsi="Times New Roman" w:eastAsia="宋体" w:cs="Times New Roman"/>
                      <w:b/>
                      <w:bCs/>
                      <w:i w:val="0"/>
                      <w:iCs w:val="0"/>
                      <w:color w:val="auto"/>
                      <w:spacing w:val="0"/>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分类</w:t>
                  </w:r>
                </w:p>
              </w:tc>
              <w:tc>
                <w:tcPr>
                  <w:tcW w:w="2455" w:type="dxa"/>
                  <w:tcBorders>
                    <w:tl2br w:val="nil"/>
                    <w:tr2bl w:val="nil"/>
                  </w:tcBorders>
                  <w:shd w:val="clear" w:color="auto" w:fill="auto"/>
                  <w:vAlign w:val="center"/>
                </w:tcPr>
                <w:p w14:paraId="25C3F1A7">
                  <w:pPr>
                    <w:keepNext w:val="0"/>
                    <w:keepLines w:val="0"/>
                    <w:widowControl/>
                    <w:suppressLineNumbers w:val="0"/>
                    <w:jc w:val="center"/>
                    <w:textAlignment w:val="center"/>
                    <w:rPr>
                      <w:rFonts w:hint="default" w:ascii="Times New Roman" w:hAnsi="Times New Roman" w:eastAsia="宋体" w:cs="Times New Roman"/>
                      <w:b/>
                      <w:bCs/>
                      <w:i w:val="0"/>
                      <w:iCs w:val="0"/>
                      <w:color w:val="auto"/>
                      <w:spacing w:val="0"/>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项目情况</w:t>
                  </w:r>
                </w:p>
              </w:tc>
            </w:tr>
            <w:tr w14:paraId="6CD50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69" w:hRule="atLeast"/>
                <w:jc w:val="center"/>
              </w:trPr>
              <w:tc>
                <w:tcPr>
                  <w:tcW w:w="8899" w:type="dxa"/>
                  <w:gridSpan w:val="4"/>
                  <w:tcBorders>
                    <w:tl2br w:val="nil"/>
                    <w:tr2bl w:val="nil"/>
                  </w:tcBorders>
                  <w:shd w:val="clear" w:color="auto" w:fill="auto"/>
                  <w:vAlign w:val="center"/>
                </w:tcPr>
                <w:p w14:paraId="5A782D4D">
                  <w:pPr>
                    <w:keepNext w:val="0"/>
                    <w:keepLines w:val="0"/>
                    <w:widowControl/>
                    <w:suppressLineNumbers w:val="0"/>
                    <w:jc w:val="left"/>
                    <w:textAlignment w:val="center"/>
                    <w:rPr>
                      <w:rFonts w:hint="default" w:ascii="Times New Roman" w:hAnsi="Times New Roman" w:eastAsia="宋体" w:cs="Times New Roman"/>
                      <w:b/>
                      <w:bCs/>
                      <w:i w:val="0"/>
                      <w:iCs w:val="0"/>
                      <w:color w:val="auto"/>
                      <w:spacing w:val="0"/>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一、《国民经济行业分类》</w:t>
                  </w:r>
                  <w:r>
                    <w:rPr>
                      <w:rFonts w:hint="eastAsia" w:cs="Times New Roman"/>
                      <w:b/>
                      <w:bCs/>
                      <w:i w:val="0"/>
                      <w:iCs w:val="0"/>
                      <w:color w:val="auto"/>
                      <w:spacing w:val="0"/>
                      <w:kern w:val="0"/>
                      <w:sz w:val="21"/>
                      <w:szCs w:val="21"/>
                      <w:u w:val="none"/>
                      <w:lang w:val="en-US" w:eastAsia="zh-CN" w:bidi="ar"/>
                    </w:rPr>
                    <w:t>（</w:t>
                  </w:r>
                  <w:r>
                    <w:rPr>
                      <w:rFonts w:hint="default" w:ascii="Times New Roman" w:hAnsi="Times New Roman" w:eastAsia="宋体" w:cs="Times New Roman"/>
                      <w:b/>
                      <w:bCs/>
                      <w:i w:val="0"/>
                      <w:iCs w:val="0"/>
                      <w:color w:val="auto"/>
                      <w:spacing w:val="0"/>
                      <w:kern w:val="0"/>
                      <w:sz w:val="21"/>
                      <w:szCs w:val="21"/>
                      <w:u w:val="none"/>
                      <w:lang w:val="en-US" w:eastAsia="zh-CN" w:bidi="ar"/>
                    </w:rPr>
                    <w:t>GB/T 4754-2017）</w:t>
                  </w:r>
                </w:p>
              </w:tc>
            </w:tr>
            <w:tr w14:paraId="64256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69" w:hRule="atLeast"/>
                <w:jc w:val="center"/>
              </w:trPr>
              <w:tc>
                <w:tcPr>
                  <w:tcW w:w="6444" w:type="dxa"/>
                  <w:gridSpan w:val="3"/>
                  <w:tcBorders>
                    <w:tl2br w:val="nil"/>
                    <w:tr2bl w:val="nil"/>
                  </w:tcBorders>
                  <w:shd w:val="clear" w:color="auto" w:fill="auto"/>
                  <w:vAlign w:val="center"/>
                </w:tcPr>
                <w:p w14:paraId="021D8C5F">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C制造业</w:t>
                  </w:r>
                </w:p>
              </w:tc>
              <w:tc>
                <w:tcPr>
                  <w:tcW w:w="2455" w:type="dxa"/>
                  <w:tcBorders>
                    <w:tl2br w:val="nil"/>
                    <w:tr2bl w:val="nil"/>
                  </w:tcBorders>
                  <w:shd w:val="clear" w:color="auto" w:fill="auto"/>
                  <w:vAlign w:val="center"/>
                </w:tcPr>
                <w:p w14:paraId="3D9A7323">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w:t>
                  </w:r>
                </w:p>
              </w:tc>
            </w:tr>
            <w:tr w14:paraId="4F169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056" w:type="dxa"/>
                  <w:tcBorders>
                    <w:tl2br w:val="nil"/>
                    <w:tr2bl w:val="nil"/>
                  </w:tcBorders>
                  <w:shd w:val="clear" w:color="auto" w:fill="auto"/>
                  <w:vAlign w:val="center"/>
                </w:tcPr>
                <w:p w14:paraId="5F4F9F00">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大类</w:t>
                  </w:r>
                </w:p>
              </w:tc>
              <w:tc>
                <w:tcPr>
                  <w:tcW w:w="3029" w:type="dxa"/>
                  <w:tcBorders>
                    <w:tl2br w:val="nil"/>
                    <w:tr2bl w:val="nil"/>
                  </w:tcBorders>
                  <w:shd w:val="clear" w:color="auto" w:fill="auto"/>
                  <w:vAlign w:val="center"/>
                </w:tcPr>
                <w:p w14:paraId="60E191AB">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中类</w:t>
                  </w:r>
                </w:p>
              </w:tc>
              <w:tc>
                <w:tcPr>
                  <w:tcW w:w="1359" w:type="dxa"/>
                  <w:tcBorders>
                    <w:tl2br w:val="nil"/>
                    <w:tr2bl w:val="nil"/>
                  </w:tcBorders>
                  <w:shd w:val="clear" w:color="auto" w:fill="auto"/>
                  <w:vAlign w:val="center"/>
                </w:tcPr>
                <w:p w14:paraId="10429F77">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小类</w:t>
                  </w:r>
                </w:p>
              </w:tc>
              <w:tc>
                <w:tcPr>
                  <w:tcW w:w="2455" w:type="dxa"/>
                  <w:tcBorders>
                    <w:tl2br w:val="nil"/>
                    <w:tr2bl w:val="nil"/>
                  </w:tcBorders>
                  <w:shd w:val="clear" w:color="auto" w:fill="auto"/>
                  <w:vAlign w:val="center"/>
                </w:tcPr>
                <w:p w14:paraId="005BF523">
                  <w:pPr>
                    <w:jc w:val="center"/>
                    <w:rPr>
                      <w:rFonts w:hint="default" w:ascii="Times New Roman" w:hAnsi="Times New Roman" w:eastAsia="宋体" w:cs="Times New Roman"/>
                      <w:i w:val="0"/>
                      <w:iCs w:val="0"/>
                      <w:color w:val="auto"/>
                      <w:spacing w:val="0"/>
                      <w:sz w:val="21"/>
                      <w:szCs w:val="21"/>
                      <w:u w:val="none"/>
                      <w:lang w:val="en-US" w:eastAsia="zh-CN"/>
                    </w:rPr>
                  </w:pPr>
                  <w:r>
                    <w:rPr>
                      <w:rFonts w:hint="default" w:ascii="Times New Roman" w:hAnsi="Times New Roman" w:eastAsia="宋体" w:cs="Times New Roman"/>
                      <w:i w:val="0"/>
                      <w:iCs w:val="0"/>
                      <w:color w:val="auto"/>
                      <w:spacing w:val="0"/>
                      <w:sz w:val="21"/>
                      <w:szCs w:val="21"/>
                      <w:u w:val="none"/>
                      <w:lang w:val="en-US" w:eastAsia="zh-CN"/>
                    </w:rPr>
                    <w:t>/</w:t>
                  </w:r>
                </w:p>
              </w:tc>
            </w:tr>
            <w:tr w14:paraId="716EB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2056" w:type="dxa"/>
                  <w:tcBorders>
                    <w:tl2br w:val="nil"/>
                    <w:tr2bl w:val="nil"/>
                  </w:tcBorders>
                  <w:shd w:val="clear" w:color="auto" w:fill="auto"/>
                  <w:vAlign w:val="center"/>
                </w:tcPr>
                <w:p w14:paraId="45B3B0BA">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lang w:val="en-US"/>
                    </w:rPr>
                  </w:pPr>
                  <w:r>
                    <w:rPr>
                      <w:rFonts w:hint="eastAsia" w:cs="Times New Roman"/>
                      <w:i w:val="0"/>
                      <w:iCs w:val="0"/>
                      <w:color w:val="auto"/>
                      <w:spacing w:val="0"/>
                      <w:kern w:val="0"/>
                      <w:sz w:val="21"/>
                      <w:szCs w:val="21"/>
                      <w:u w:val="none"/>
                      <w:lang w:val="en-US" w:eastAsia="zh-CN" w:bidi="ar"/>
                    </w:rPr>
                    <w:t>42废弃资源综合利用业</w:t>
                  </w:r>
                </w:p>
              </w:tc>
              <w:tc>
                <w:tcPr>
                  <w:tcW w:w="4388" w:type="dxa"/>
                  <w:gridSpan w:val="2"/>
                  <w:tcBorders>
                    <w:tl2br w:val="nil"/>
                    <w:tr2bl w:val="nil"/>
                  </w:tcBorders>
                  <w:shd w:val="clear" w:color="auto" w:fill="auto"/>
                  <w:vAlign w:val="center"/>
                </w:tcPr>
                <w:p w14:paraId="53FD9EC6">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lang w:val="en-US"/>
                    </w:rPr>
                  </w:pPr>
                  <w:r>
                    <w:rPr>
                      <w:rFonts w:hint="eastAsia"/>
                      <w:sz w:val="21"/>
                      <w:szCs w:val="21"/>
                      <w:lang w:val="en-US" w:eastAsia="zh-CN"/>
                    </w:rPr>
                    <w:t>4220</w:t>
                  </w:r>
                  <w:r>
                    <w:rPr>
                      <w:rFonts w:hint="eastAsia"/>
                      <w:sz w:val="21"/>
                      <w:szCs w:val="21"/>
                    </w:rPr>
                    <w:t>非金属废料和碎屑加工处理</w:t>
                  </w:r>
                </w:p>
              </w:tc>
              <w:tc>
                <w:tcPr>
                  <w:tcW w:w="2455" w:type="dxa"/>
                  <w:tcBorders>
                    <w:tl2br w:val="nil"/>
                    <w:tr2bl w:val="nil"/>
                  </w:tcBorders>
                  <w:shd w:val="clear" w:color="auto" w:fill="auto"/>
                  <w:vAlign w:val="center"/>
                </w:tcPr>
                <w:p w14:paraId="2335C365">
                  <w:pPr>
                    <w:jc w:val="center"/>
                    <w:rPr>
                      <w:rFonts w:hint="default" w:ascii="Times New Roman" w:hAnsi="Times New Roman" w:eastAsia="宋体" w:cs="Times New Roman"/>
                      <w:i w:val="0"/>
                      <w:iCs w:val="0"/>
                      <w:color w:val="auto"/>
                      <w:spacing w:val="0"/>
                      <w:sz w:val="21"/>
                      <w:szCs w:val="21"/>
                      <w:u w:val="none"/>
                      <w:lang w:val="en-US" w:eastAsia="zh-CN"/>
                    </w:rPr>
                  </w:pPr>
                  <w:r>
                    <w:rPr>
                      <w:rFonts w:hint="default" w:ascii="Times New Roman" w:hAnsi="Times New Roman" w:eastAsia="宋体" w:cs="Times New Roman"/>
                      <w:i w:val="0"/>
                      <w:iCs w:val="0"/>
                      <w:color w:val="auto"/>
                      <w:spacing w:val="0"/>
                      <w:sz w:val="21"/>
                      <w:szCs w:val="21"/>
                      <w:u w:val="none"/>
                      <w:lang w:val="en-US" w:eastAsia="zh-CN"/>
                    </w:rPr>
                    <w:t>本项目</w:t>
                  </w:r>
                  <w:r>
                    <w:rPr>
                      <w:rFonts w:hint="eastAsia" w:cs="Times New Roman"/>
                      <w:i w:val="0"/>
                      <w:iCs w:val="0"/>
                      <w:color w:val="auto"/>
                      <w:spacing w:val="0"/>
                      <w:sz w:val="21"/>
                      <w:szCs w:val="21"/>
                      <w:u w:val="none"/>
                      <w:lang w:val="en-US" w:eastAsia="zh-CN"/>
                    </w:rPr>
                    <w:t>对</w:t>
                  </w:r>
                  <w:r>
                    <w:rPr>
                      <w:rFonts w:hint="eastAsia" w:cs="Times New Roman"/>
                      <w:color w:val="auto"/>
                      <w:spacing w:val="0"/>
                      <w:sz w:val="21"/>
                      <w:szCs w:val="21"/>
                      <w:lang w:val="en-US" w:eastAsia="zh-CN"/>
                    </w:rPr>
                    <w:t>废旧光伏组件回收综合利用</w:t>
                  </w:r>
                  <w:r>
                    <w:rPr>
                      <w:rFonts w:hint="default" w:ascii="Times New Roman" w:hAnsi="Times New Roman" w:eastAsia="宋体" w:cs="Times New Roman"/>
                      <w:i w:val="0"/>
                      <w:iCs w:val="0"/>
                      <w:color w:val="auto"/>
                      <w:spacing w:val="0"/>
                      <w:sz w:val="21"/>
                      <w:szCs w:val="21"/>
                      <w:u w:val="none"/>
                      <w:lang w:val="en-US" w:eastAsia="zh-CN"/>
                    </w:rPr>
                    <w:t>，</w:t>
                  </w:r>
                  <w:r>
                    <w:rPr>
                      <w:rFonts w:hint="eastAsia" w:ascii="Times New Roman" w:hAnsi="Times New Roman" w:cs="Times New Roman"/>
                      <w:i w:val="0"/>
                      <w:iCs w:val="0"/>
                      <w:color w:val="auto"/>
                      <w:spacing w:val="0"/>
                      <w:sz w:val="21"/>
                      <w:szCs w:val="21"/>
                      <w:u w:val="none"/>
                      <w:lang w:val="en-US" w:eastAsia="zh-CN"/>
                    </w:rPr>
                    <w:t>列入</w:t>
                  </w:r>
                  <w:r>
                    <w:rPr>
                      <w:rFonts w:hint="eastAsia"/>
                      <w:sz w:val="21"/>
                      <w:szCs w:val="21"/>
                      <w:lang w:val="en-US" w:eastAsia="zh-CN"/>
                    </w:rPr>
                    <w:t>4220</w:t>
                  </w:r>
                  <w:r>
                    <w:rPr>
                      <w:rFonts w:hint="eastAsia"/>
                      <w:sz w:val="21"/>
                      <w:szCs w:val="21"/>
                    </w:rPr>
                    <w:t>非金属废料和碎屑加工处理</w:t>
                  </w:r>
                </w:p>
              </w:tc>
            </w:tr>
            <w:tr w14:paraId="07118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9" w:hRule="atLeast"/>
                <w:jc w:val="center"/>
              </w:trPr>
              <w:tc>
                <w:tcPr>
                  <w:tcW w:w="2056" w:type="dxa"/>
                  <w:tcBorders>
                    <w:tl2br w:val="nil"/>
                    <w:tr2bl w:val="nil"/>
                  </w:tcBorders>
                  <w:shd w:val="clear" w:color="auto" w:fill="auto"/>
                  <w:vAlign w:val="center"/>
                </w:tcPr>
                <w:p w14:paraId="6B203B4C">
                  <w:pPr>
                    <w:keepNext w:val="0"/>
                    <w:keepLines w:val="0"/>
                    <w:widowControl/>
                    <w:suppressLineNumbers w:val="0"/>
                    <w:jc w:val="center"/>
                    <w:textAlignment w:val="center"/>
                    <w:rPr>
                      <w:rFonts w:hint="default" w:ascii="Times New Roman" w:hAnsi="Times New Roman" w:eastAsia="宋体" w:cs="Times New Roman"/>
                      <w:i w:val="0"/>
                      <w:iCs w:val="0"/>
                      <w:color w:val="auto"/>
                      <w:spacing w:val="0"/>
                      <w:kern w:val="2"/>
                      <w:sz w:val="21"/>
                      <w:szCs w:val="21"/>
                      <w:u w:val="none"/>
                      <w:lang w:val="en-US" w:eastAsia="zh-CN" w:bidi="ar-SA"/>
                    </w:rPr>
                  </w:pPr>
                  <w:r>
                    <w:rPr>
                      <w:rFonts w:hint="default" w:ascii="Times New Roman" w:hAnsi="Times New Roman" w:eastAsia="宋体" w:cs="Times New Roman"/>
                      <w:i w:val="0"/>
                      <w:iCs w:val="0"/>
                      <w:color w:val="auto"/>
                      <w:spacing w:val="0"/>
                      <w:kern w:val="0"/>
                      <w:sz w:val="21"/>
                      <w:szCs w:val="21"/>
                      <w:u w:val="none"/>
                      <w:lang w:val="en-US" w:eastAsia="zh-CN" w:bidi="ar"/>
                    </w:rPr>
                    <w:t>大类</w:t>
                  </w:r>
                </w:p>
              </w:tc>
              <w:tc>
                <w:tcPr>
                  <w:tcW w:w="3029" w:type="dxa"/>
                  <w:tcBorders>
                    <w:tl2br w:val="nil"/>
                    <w:tr2bl w:val="nil"/>
                  </w:tcBorders>
                  <w:shd w:val="clear" w:color="auto" w:fill="auto"/>
                  <w:vAlign w:val="center"/>
                </w:tcPr>
                <w:p w14:paraId="6973986F">
                  <w:pPr>
                    <w:keepNext w:val="0"/>
                    <w:keepLines w:val="0"/>
                    <w:widowControl/>
                    <w:suppressLineNumbers w:val="0"/>
                    <w:jc w:val="center"/>
                    <w:textAlignment w:val="center"/>
                    <w:rPr>
                      <w:rFonts w:hint="default" w:ascii="Times New Roman" w:hAnsi="Times New Roman" w:eastAsia="宋体" w:cs="Times New Roman"/>
                      <w:i w:val="0"/>
                      <w:iCs w:val="0"/>
                      <w:color w:val="auto"/>
                      <w:spacing w:val="0"/>
                      <w:kern w:val="2"/>
                      <w:sz w:val="21"/>
                      <w:szCs w:val="21"/>
                      <w:u w:val="none"/>
                      <w:lang w:val="en-US" w:eastAsia="zh-CN" w:bidi="ar-SA"/>
                    </w:rPr>
                  </w:pPr>
                  <w:r>
                    <w:rPr>
                      <w:rFonts w:hint="default" w:ascii="Times New Roman" w:hAnsi="Times New Roman" w:eastAsia="宋体" w:cs="Times New Roman"/>
                      <w:i w:val="0"/>
                      <w:iCs w:val="0"/>
                      <w:color w:val="auto"/>
                      <w:spacing w:val="0"/>
                      <w:kern w:val="0"/>
                      <w:sz w:val="21"/>
                      <w:szCs w:val="21"/>
                      <w:u w:val="none"/>
                      <w:lang w:val="en-US" w:eastAsia="zh-CN" w:bidi="ar"/>
                    </w:rPr>
                    <w:t>中类</w:t>
                  </w:r>
                </w:p>
              </w:tc>
              <w:tc>
                <w:tcPr>
                  <w:tcW w:w="1359" w:type="dxa"/>
                  <w:tcBorders>
                    <w:tl2br w:val="nil"/>
                    <w:tr2bl w:val="nil"/>
                  </w:tcBorders>
                  <w:shd w:val="clear" w:color="auto" w:fill="auto"/>
                  <w:vAlign w:val="center"/>
                </w:tcPr>
                <w:p w14:paraId="25F56EDB">
                  <w:pPr>
                    <w:keepNext w:val="0"/>
                    <w:keepLines w:val="0"/>
                    <w:widowControl/>
                    <w:suppressLineNumbers w:val="0"/>
                    <w:jc w:val="center"/>
                    <w:textAlignment w:val="center"/>
                    <w:rPr>
                      <w:rFonts w:hint="default" w:ascii="Times New Roman" w:hAnsi="Times New Roman" w:eastAsia="宋体" w:cs="Times New Roman"/>
                      <w:i w:val="0"/>
                      <w:iCs w:val="0"/>
                      <w:color w:val="auto"/>
                      <w:spacing w:val="0"/>
                      <w:kern w:val="2"/>
                      <w:sz w:val="21"/>
                      <w:szCs w:val="21"/>
                      <w:u w:val="none"/>
                      <w:lang w:val="en-US" w:eastAsia="zh-CN" w:bidi="ar-SA"/>
                    </w:rPr>
                  </w:pPr>
                  <w:r>
                    <w:rPr>
                      <w:rFonts w:hint="default" w:ascii="Times New Roman" w:hAnsi="Times New Roman" w:eastAsia="宋体" w:cs="Times New Roman"/>
                      <w:i w:val="0"/>
                      <w:iCs w:val="0"/>
                      <w:color w:val="auto"/>
                      <w:spacing w:val="0"/>
                      <w:kern w:val="0"/>
                      <w:sz w:val="21"/>
                      <w:szCs w:val="21"/>
                      <w:u w:val="none"/>
                      <w:lang w:val="en-US" w:eastAsia="zh-CN" w:bidi="ar"/>
                    </w:rPr>
                    <w:t>小类</w:t>
                  </w:r>
                </w:p>
              </w:tc>
              <w:tc>
                <w:tcPr>
                  <w:tcW w:w="2455" w:type="dxa"/>
                  <w:tcBorders>
                    <w:tl2br w:val="nil"/>
                    <w:tr2bl w:val="nil"/>
                  </w:tcBorders>
                  <w:shd w:val="clear" w:color="auto" w:fill="auto"/>
                  <w:vAlign w:val="center"/>
                </w:tcPr>
                <w:p w14:paraId="74229831">
                  <w:pPr>
                    <w:jc w:val="center"/>
                    <w:rPr>
                      <w:rFonts w:hint="default" w:ascii="Times New Roman" w:hAnsi="Times New Roman" w:eastAsia="宋体" w:cs="Times New Roman"/>
                      <w:i w:val="0"/>
                      <w:iCs w:val="0"/>
                      <w:color w:val="auto"/>
                      <w:spacing w:val="0"/>
                      <w:kern w:val="2"/>
                      <w:sz w:val="21"/>
                      <w:szCs w:val="21"/>
                      <w:u w:val="none"/>
                      <w:lang w:val="en-US" w:eastAsia="zh-CN" w:bidi="ar-SA"/>
                    </w:rPr>
                  </w:pPr>
                  <w:r>
                    <w:rPr>
                      <w:rFonts w:hint="default" w:ascii="Times New Roman" w:hAnsi="Times New Roman" w:eastAsia="宋体" w:cs="Times New Roman"/>
                      <w:i w:val="0"/>
                      <w:iCs w:val="0"/>
                      <w:color w:val="auto"/>
                      <w:spacing w:val="0"/>
                      <w:sz w:val="21"/>
                      <w:szCs w:val="21"/>
                      <w:u w:val="none"/>
                      <w:lang w:val="en-US" w:eastAsia="zh-CN"/>
                    </w:rPr>
                    <w:t>/</w:t>
                  </w:r>
                </w:p>
              </w:tc>
            </w:tr>
            <w:tr w14:paraId="562EE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8899" w:type="dxa"/>
                  <w:gridSpan w:val="4"/>
                  <w:tcBorders>
                    <w:tl2br w:val="nil"/>
                    <w:tr2bl w:val="nil"/>
                  </w:tcBorders>
                  <w:shd w:val="clear" w:color="auto" w:fill="auto"/>
                  <w:vAlign w:val="center"/>
                </w:tcPr>
                <w:p w14:paraId="7700BBC3">
                  <w:pPr>
                    <w:keepNext w:val="0"/>
                    <w:keepLines w:val="0"/>
                    <w:widowControl/>
                    <w:suppressLineNumbers w:val="0"/>
                    <w:jc w:val="left"/>
                    <w:textAlignment w:val="center"/>
                    <w:rPr>
                      <w:rFonts w:hint="default" w:ascii="Times New Roman" w:hAnsi="Times New Roman" w:eastAsia="宋体" w:cs="Times New Roman"/>
                      <w:b/>
                      <w:bCs/>
                      <w:i w:val="0"/>
                      <w:iCs w:val="0"/>
                      <w:color w:val="auto"/>
                      <w:spacing w:val="0"/>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二、《建设项目环境影响评价分类管理名录》</w:t>
                  </w:r>
                  <w:r>
                    <w:rPr>
                      <w:rFonts w:hint="eastAsia" w:cs="Times New Roman"/>
                      <w:b/>
                      <w:bCs/>
                      <w:i w:val="0"/>
                      <w:iCs w:val="0"/>
                      <w:color w:val="auto"/>
                      <w:spacing w:val="0"/>
                      <w:kern w:val="0"/>
                      <w:sz w:val="21"/>
                      <w:szCs w:val="21"/>
                      <w:u w:val="none"/>
                      <w:lang w:val="en-US" w:eastAsia="zh-CN" w:bidi="ar"/>
                    </w:rPr>
                    <w:t>（</w:t>
                  </w:r>
                  <w:r>
                    <w:rPr>
                      <w:rFonts w:hint="default" w:ascii="Times New Roman" w:hAnsi="Times New Roman" w:eastAsia="宋体" w:cs="Times New Roman"/>
                      <w:b/>
                      <w:bCs/>
                      <w:i w:val="0"/>
                      <w:iCs w:val="0"/>
                      <w:color w:val="auto"/>
                      <w:spacing w:val="0"/>
                      <w:kern w:val="0"/>
                      <w:sz w:val="21"/>
                      <w:szCs w:val="21"/>
                      <w:u w:val="none"/>
                      <w:lang w:val="en-US" w:eastAsia="zh-CN" w:bidi="ar"/>
                    </w:rPr>
                    <w:t>2021年版）</w:t>
                  </w:r>
                </w:p>
              </w:tc>
            </w:tr>
            <w:tr w14:paraId="5971E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6444" w:type="dxa"/>
                  <w:gridSpan w:val="3"/>
                  <w:tcBorders>
                    <w:tl2br w:val="nil"/>
                    <w:tr2bl w:val="nil"/>
                  </w:tcBorders>
                  <w:shd w:val="clear" w:color="auto" w:fill="auto"/>
                  <w:vAlign w:val="center"/>
                </w:tcPr>
                <w:p w14:paraId="3DBF56CD">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lang w:val="en-US"/>
                    </w:rPr>
                  </w:pPr>
                  <w:r>
                    <w:rPr>
                      <w:rFonts w:hint="eastAsia"/>
                      <w:color w:val="auto"/>
                      <w:sz w:val="21"/>
                      <w:szCs w:val="21"/>
                      <w:lang w:val="en-US" w:eastAsia="zh-CN"/>
                    </w:rPr>
                    <w:t>“三十九、废弃资源综合利用业42”中的“非金属废料和碎屑加工处理422”</w:t>
                  </w:r>
                </w:p>
              </w:tc>
              <w:tc>
                <w:tcPr>
                  <w:tcW w:w="2455" w:type="dxa"/>
                  <w:tcBorders>
                    <w:tl2br w:val="nil"/>
                    <w:tr2bl w:val="nil"/>
                  </w:tcBorders>
                  <w:shd w:val="clear" w:color="auto" w:fill="auto"/>
                  <w:vAlign w:val="center"/>
                </w:tcPr>
                <w:p w14:paraId="66C2171A">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w:t>
                  </w:r>
                </w:p>
              </w:tc>
            </w:tr>
            <w:tr w14:paraId="25CB6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69" w:hRule="atLeast"/>
                <w:jc w:val="center"/>
              </w:trPr>
              <w:tc>
                <w:tcPr>
                  <w:tcW w:w="2056" w:type="dxa"/>
                  <w:tcBorders>
                    <w:tl2br w:val="nil"/>
                    <w:tr2bl w:val="nil"/>
                  </w:tcBorders>
                  <w:shd w:val="clear" w:color="auto" w:fill="auto"/>
                  <w:vAlign w:val="center"/>
                </w:tcPr>
                <w:p w14:paraId="7C096C7E">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报告书</w:t>
                  </w:r>
                </w:p>
              </w:tc>
              <w:tc>
                <w:tcPr>
                  <w:tcW w:w="3029" w:type="dxa"/>
                  <w:tcBorders>
                    <w:tl2br w:val="nil"/>
                    <w:tr2bl w:val="nil"/>
                  </w:tcBorders>
                  <w:shd w:val="clear" w:color="auto" w:fill="auto"/>
                  <w:vAlign w:val="center"/>
                </w:tcPr>
                <w:p w14:paraId="2D3564BB">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报告表</w:t>
                  </w:r>
                </w:p>
              </w:tc>
              <w:tc>
                <w:tcPr>
                  <w:tcW w:w="1359" w:type="dxa"/>
                  <w:tcBorders>
                    <w:tl2br w:val="nil"/>
                    <w:tr2bl w:val="nil"/>
                  </w:tcBorders>
                  <w:shd w:val="clear" w:color="auto" w:fill="auto"/>
                  <w:vAlign w:val="center"/>
                </w:tcPr>
                <w:p w14:paraId="4B8000AA">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登记表</w:t>
                  </w:r>
                </w:p>
              </w:tc>
              <w:tc>
                <w:tcPr>
                  <w:tcW w:w="2455" w:type="dxa"/>
                  <w:tcBorders>
                    <w:tl2br w:val="nil"/>
                    <w:tr2bl w:val="nil"/>
                  </w:tcBorders>
                  <w:shd w:val="clear" w:color="auto" w:fill="auto"/>
                  <w:vAlign w:val="center"/>
                </w:tcPr>
                <w:p w14:paraId="5C0CF295">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w:t>
                  </w:r>
                </w:p>
              </w:tc>
            </w:tr>
            <w:tr w14:paraId="52414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28" w:hRule="atLeast"/>
                <w:jc w:val="center"/>
              </w:trPr>
              <w:tc>
                <w:tcPr>
                  <w:tcW w:w="2056" w:type="dxa"/>
                  <w:tcBorders>
                    <w:tl2br w:val="nil"/>
                    <w:tr2bl w:val="nil"/>
                  </w:tcBorders>
                  <w:shd w:val="clear" w:color="auto" w:fill="auto"/>
                  <w:vAlign w:val="center"/>
                </w:tcPr>
                <w:p w14:paraId="64A08D18">
                  <w:pPr>
                    <w:jc w:val="center"/>
                    <w:rPr>
                      <w:rFonts w:hint="default" w:ascii="Times New Roman" w:hAnsi="Times New Roman" w:eastAsia="宋体" w:cs="Times New Roman"/>
                      <w:i w:val="0"/>
                      <w:iCs w:val="0"/>
                      <w:color w:val="auto"/>
                      <w:spacing w:val="0"/>
                      <w:sz w:val="21"/>
                      <w:szCs w:val="21"/>
                      <w:u w:val="none"/>
                      <w:lang w:val="en-US" w:eastAsia="zh-CN"/>
                    </w:rPr>
                  </w:pPr>
                  <w:r>
                    <w:rPr>
                      <w:rFonts w:hint="default" w:ascii="Times New Roman" w:hAnsi="Times New Roman" w:eastAsia="宋体" w:cs="Times New Roman"/>
                      <w:i w:val="0"/>
                      <w:iCs w:val="0"/>
                      <w:color w:val="auto"/>
                      <w:spacing w:val="0"/>
                      <w:sz w:val="21"/>
                      <w:szCs w:val="21"/>
                      <w:u w:val="none"/>
                      <w:lang w:val="en-US" w:eastAsia="zh-CN"/>
                    </w:rPr>
                    <w:t>废电池、废油加工处理</w:t>
                  </w:r>
                </w:p>
              </w:tc>
              <w:tc>
                <w:tcPr>
                  <w:tcW w:w="3029" w:type="dxa"/>
                  <w:tcBorders>
                    <w:tl2br w:val="nil"/>
                    <w:tr2bl w:val="nil"/>
                  </w:tcBorders>
                  <w:shd w:val="clear" w:color="auto" w:fill="auto"/>
                  <w:vAlign w:val="center"/>
                </w:tcPr>
                <w:p w14:paraId="455A607A">
                  <w:pPr>
                    <w:jc w:val="center"/>
                    <w:rPr>
                      <w:rFonts w:hint="default" w:ascii="Times New Roman" w:hAnsi="Times New Roman" w:eastAsia="宋体" w:cs="Times New Roman"/>
                      <w:i w:val="0"/>
                      <w:iCs w:val="0"/>
                      <w:color w:val="auto"/>
                      <w:spacing w:val="0"/>
                      <w:sz w:val="21"/>
                      <w:szCs w:val="21"/>
                      <w:u w:val="none"/>
                      <w:lang w:val="en-US" w:eastAsia="zh-CN"/>
                    </w:rPr>
                  </w:pPr>
                  <w:r>
                    <w:rPr>
                      <w:rFonts w:hint="default" w:ascii="Times New Roman" w:hAnsi="Times New Roman" w:eastAsia="宋体" w:cs="Times New Roman"/>
                      <w:i w:val="0"/>
                      <w:iCs w:val="0"/>
                      <w:color w:val="auto"/>
                      <w:spacing w:val="0"/>
                      <w:sz w:val="21"/>
                      <w:szCs w:val="21"/>
                      <w:u w:val="none"/>
                      <w:lang w:val="en-US" w:eastAsia="zh-CN"/>
                    </w:rPr>
                    <w:t>废弃电器电子产品、废机动车、废电机、废电线电缆、废钢、废铁、金属和金属化合物矿灰及残渣、有色金属废料与碎屑、废塑料、废轮胎、废船、含水洗工艺的其他废料和碎屑加工处理</w:t>
                  </w:r>
                  <w:r>
                    <w:rPr>
                      <w:rFonts w:hint="eastAsia" w:cs="Times New Roman"/>
                      <w:i w:val="0"/>
                      <w:iCs w:val="0"/>
                      <w:color w:val="auto"/>
                      <w:spacing w:val="0"/>
                      <w:sz w:val="21"/>
                      <w:szCs w:val="21"/>
                      <w:u w:val="none"/>
                      <w:lang w:val="en-US" w:eastAsia="zh-CN"/>
                    </w:rPr>
                    <w:t>（</w:t>
                  </w:r>
                  <w:r>
                    <w:rPr>
                      <w:rFonts w:hint="default" w:ascii="Times New Roman" w:hAnsi="Times New Roman" w:eastAsia="宋体" w:cs="Times New Roman"/>
                      <w:i w:val="0"/>
                      <w:iCs w:val="0"/>
                      <w:color w:val="auto"/>
                      <w:spacing w:val="0"/>
                      <w:sz w:val="21"/>
                      <w:szCs w:val="21"/>
                      <w:u w:val="none"/>
                      <w:lang w:val="en-US" w:eastAsia="zh-CN"/>
                    </w:rPr>
                    <w:t>农业生产产生的废旧秧盘、薄膜破碎和清洗工艺的除外</w:t>
                  </w:r>
                  <w:r>
                    <w:rPr>
                      <w:rFonts w:hint="eastAsia" w:cs="Times New Roman"/>
                      <w:i w:val="0"/>
                      <w:iCs w:val="0"/>
                      <w:color w:val="auto"/>
                      <w:spacing w:val="0"/>
                      <w:sz w:val="21"/>
                      <w:szCs w:val="21"/>
                      <w:u w:val="none"/>
                      <w:lang w:val="en-US" w:eastAsia="zh-CN"/>
                    </w:rPr>
                    <w:t>）</w:t>
                  </w:r>
                </w:p>
              </w:tc>
              <w:tc>
                <w:tcPr>
                  <w:tcW w:w="1359" w:type="dxa"/>
                  <w:tcBorders>
                    <w:tl2br w:val="nil"/>
                    <w:tr2bl w:val="nil"/>
                  </w:tcBorders>
                  <w:shd w:val="clear" w:color="auto" w:fill="auto"/>
                  <w:vAlign w:val="center"/>
                </w:tcPr>
                <w:p w14:paraId="07DB79AA">
                  <w:pPr>
                    <w:jc w:val="center"/>
                    <w:rPr>
                      <w:rFonts w:hint="default" w:ascii="Times New Roman" w:hAnsi="Times New Roman" w:eastAsia="宋体" w:cs="Times New Roman"/>
                      <w:i w:val="0"/>
                      <w:iCs w:val="0"/>
                      <w:color w:val="auto"/>
                      <w:spacing w:val="0"/>
                      <w:sz w:val="21"/>
                      <w:szCs w:val="21"/>
                      <w:u w:val="none"/>
                      <w:lang w:val="en-US" w:eastAsia="zh-CN"/>
                    </w:rPr>
                  </w:pPr>
                  <w:r>
                    <w:rPr>
                      <w:rFonts w:hint="default" w:ascii="Times New Roman" w:hAnsi="Times New Roman" w:eastAsia="宋体" w:cs="Times New Roman"/>
                      <w:i w:val="0"/>
                      <w:iCs w:val="0"/>
                      <w:color w:val="auto"/>
                      <w:spacing w:val="0"/>
                      <w:sz w:val="21"/>
                      <w:szCs w:val="21"/>
                      <w:u w:val="none"/>
                      <w:lang w:val="en-US" w:eastAsia="zh-CN"/>
                    </w:rPr>
                    <w:t>/</w:t>
                  </w:r>
                </w:p>
              </w:tc>
              <w:tc>
                <w:tcPr>
                  <w:tcW w:w="2455" w:type="dxa"/>
                  <w:tcBorders>
                    <w:tl2br w:val="nil"/>
                    <w:tr2bl w:val="nil"/>
                  </w:tcBorders>
                  <w:shd w:val="clear" w:color="auto" w:fill="auto"/>
                  <w:vAlign w:val="center"/>
                </w:tcPr>
                <w:p w14:paraId="47F6E09B">
                  <w:pPr>
                    <w:jc w:val="center"/>
                    <w:rPr>
                      <w:rFonts w:hint="default" w:ascii="Times New Roman" w:hAnsi="Times New Roman" w:eastAsia="宋体" w:cs="Times New Roman"/>
                      <w:i w:val="0"/>
                      <w:iCs w:val="0"/>
                      <w:color w:val="auto"/>
                      <w:spacing w:val="0"/>
                      <w:sz w:val="21"/>
                      <w:szCs w:val="21"/>
                      <w:u w:val="none"/>
                      <w:lang w:val="en-US" w:eastAsia="zh-CN"/>
                    </w:rPr>
                  </w:pPr>
                  <w:r>
                    <w:rPr>
                      <w:rFonts w:hint="eastAsia" w:ascii="Times New Roman" w:hAnsi="Times New Roman" w:cs="Times New Roman"/>
                      <w:i w:val="0"/>
                      <w:iCs w:val="0"/>
                      <w:color w:val="auto"/>
                      <w:spacing w:val="0"/>
                      <w:sz w:val="21"/>
                      <w:szCs w:val="21"/>
                      <w:u w:val="none"/>
                      <w:lang w:val="en-US" w:eastAsia="zh-CN"/>
                    </w:rPr>
                    <w:t>本项目从事废旧光伏组件拆解</w:t>
                  </w:r>
                  <w:r>
                    <w:rPr>
                      <w:rFonts w:hint="eastAsia" w:cs="Times New Roman"/>
                      <w:i w:val="0"/>
                      <w:iCs w:val="0"/>
                      <w:color w:val="auto"/>
                      <w:spacing w:val="0"/>
                      <w:sz w:val="21"/>
                      <w:szCs w:val="21"/>
                      <w:u w:val="none"/>
                      <w:lang w:val="en-US" w:eastAsia="zh-CN"/>
                    </w:rPr>
                    <w:t>，</w:t>
                  </w:r>
                  <w:r>
                    <w:rPr>
                      <w:rFonts w:hint="eastAsia" w:ascii="Times New Roman" w:hAnsi="Times New Roman" w:cs="Times New Roman"/>
                      <w:i w:val="0"/>
                      <w:iCs w:val="0"/>
                      <w:color w:val="auto"/>
                      <w:spacing w:val="0"/>
                      <w:sz w:val="21"/>
                      <w:szCs w:val="21"/>
                      <w:u w:val="none"/>
                      <w:lang w:val="en-US" w:eastAsia="zh-CN"/>
                    </w:rPr>
                    <w:t>根据《固体废物分类与代码目录》，废旧光伏组件属于一般工业固废。项目主要工艺为拆框、热解、风选、</w:t>
                  </w:r>
                  <w:r>
                    <w:rPr>
                      <w:rFonts w:hint="eastAsia" w:cs="Times New Roman"/>
                      <w:i w:val="0"/>
                      <w:iCs w:val="0"/>
                      <w:color w:val="auto"/>
                      <w:spacing w:val="0"/>
                      <w:sz w:val="21"/>
                      <w:szCs w:val="21"/>
                      <w:u w:val="none"/>
                      <w:lang w:val="en-US" w:eastAsia="zh-CN"/>
                    </w:rPr>
                    <w:t>色</w:t>
                  </w:r>
                  <w:r>
                    <w:rPr>
                      <w:rFonts w:hint="eastAsia" w:ascii="Times New Roman" w:hAnsi="Times New Roman" w:cs="Times New Roman"/>
                      <w:i w:val="0"/>
                      <w:iCs w:val="0"/>
                      <w:color w:val="auto"/>
                      <w:spacing w:val="0"/>
                      <w:sz w:val="21"/>
                      <w:szCs w:val="21"/>
                      <w:u w:val="none"/>
                      <w:lang w:val="en-US" w:eastAsia="zh-CN"/>
                    </w:rPr>
                    <w:t>选</w:t>
                  </w:r>
                  <w:r>
                    <w:rPr>
                      <w:rFonts w:hint="eastAsia" w:cs="Times New Roman"/>
                      <w:i w:val="0"/>
                      <w:iCs w:val="0"/>
                      <w:color w:val="auto"/>
                      <w:spacing w:val="0"/>
                      <w:sz w:val="21"/>
                      <w:szCs w:val="21"/>
                      <w:u w:val="none"/>
                      <w:lang w:val="en-US" w:eastAsia="zh-CN"/>
                    </w:rPr>
                    <w:t>等</w:t>
                  </w:r>
                  <w:r>
                    <w:rPr>
                      <w:rFonts w:hint="eastAsia" w:ascii="Times New Roman" w:hAnsi="Times New Roman" w:cs="Times New Roman"/>
                      <w:i w:val="0"/>
                      <w:iCs w:val="0"/>
                      <w:color w:val="auto"/>
                      <w:spacing w:val="0"/>
                      <w:sz w:val="21"/>
                      <w:szCs w:val="21"/>
                      <w:u w:val="none"/>
                      <w:lang w:val="en-US" w:eastAsia="zh-CN"/>
                    </w:rPr>
                    <w:t>，应编制报告表。</w:t>
                  </w:r>
                </w:p>
              </w:tc>
            </w:tr>
            <w:tr w14:paraId="1115A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69" w:hRule="atLeast"/>
                <w:jc w:val="center"/>
              </w:trPr>
              <w:tc>
                <w:tcPr>
                  <w:tcW w:w="8899" w:type="dxa"/>
                  <w:gridSpan w:val="4"/>
                  <w:tcBorders>
                    <w:tl2br w:val="nil"/>
                    <w:tr2bl w:val="nil"/>
                  </w:tcBorders>
                  <w:shd w:val="clear" w:color="auto" w:fill="auto"/>
                  <w:vAlign w:val="center"/>
                </w:tcPr>
                <w:p w14:paraId="145C24EC">
                  <w:pPr>
                    <w:keepNext w:val="0"/>
                    <w:keepLines w:val="0"/>
                    <w:widowControl/>
                    <w:suppressLineNumbers w:val="0"/>
                    <w:jc w:val="left"/>
                    <w:textAlignment w:val="center"/>
                    <w:rPr>
                      <w:rFonts w:hint="default" w:ascii="Times New Roman" w:hAnsi="Times New Roman" w:eastAsia="宋体" w:cs="Times New Roman"/>
                      <w:b/>
                      <w:bCs/>
                      <w:i w:val="0"/>
                      <w:iCs w:val="0"/>
                      <w:color w:val="auto"/>
                      <w:spacing w:val="0"/>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三、《固定污染源排污许可分类管理名录》</w:t>
                  </w:r>
                  <w:r>
                    <w:rPr>
                      <w:rFonts w:hint="eastAsia" w:cs="Times New Roman"/>
                      <w:b/>
                      <w:bCs/>
                      <w:i w:val="0"/>
                      <w:iCs w:val="0"/>
                      <w:color w:val="auto"/>
                      <w:spacing w:val="0"/>
                      <w:kern w:val="0"/>
                      <w:sz w:val="21"/>
                      <w:szCs w:val="21"/>
                      <w:u w:val="none"/>
                      <w:lang w:val="en-US" w:eastAsia="zh-CN" w:bidi="ar"/>
                    </w:rPr>
                    <w:t>（</w:t>
                  </w:r>
                  <w:r>
                    <w:rPr>
                      <w:rFonts w:hint="default" w:ascii="Times New Roman" w:hAnsi="Times New Roman" w:eastAsia="宋体" w:cs="Times New Roman"/>
                      <w:b/>
                      <w:bCs/>
                      <w:i w:val="0"/>
                      <w:iCs w:val="0"/>
                      <w:color w:val="auto"/>
                      <w:spacing w:val="0"/>
                      <w:kern w:val="0"/>
                      <w:sz w:val="21"/>
                      <w:szCs w:val="21"/>
                      <w:u w:val="none"/>
                      <w:lang w:val="en-US" w:eastAsia="zh-CN" w:bidi="ar"/>
                    </w:rPr>
                    <w:t>2019年版）</w:t>
                  </w:r>
                </w:p>
              </w:tc>
            </w:tr>
            <w:tr w14:paraId="679A3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69" w:hRule="atLeast"/>
                <w:jc w:val="center"/>
              </w:trPr>
              <w:tc>
                <w:tcPr>
                  <w:tcW w:w="6444" w:type="dxa"/>
                  <w:gridSpan w:val="3"/>
                  <w:tcBorders>
                    <w:tl2br w:val="nil"/>
                    <w:tr2bl w:val="nil"/>
                  </w:tcBorders>
                  <w:shd w:val="clear" w:color="auto" w:fill="auto"/>
                  <w:vAlign w:val="center"/>
                </w:tcPr>
                <w:p w14:paraId="65FA9FD7">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lang w:val="en-US"/>
                    </w:rPr>
                  </w:pPr>
                  <w:r>
                    <w:rPr>
                      <w:rFonts w:hint="eastAsia" w:ascii="Times New Roman" w:hAnsi="Times New Roman" w:cs="Times New Roman"/>
                      <w:i w:val="0"/>
                      <w:iCs w:val="0"/>
                      <w:color w:val="auto"/>
                      <w:spacing w:val="0"/>
                      <w:kern w:val="0"/>
                      <w:sz w:val="21"/>
                      <w:szCs w:val="21"/>
                      <w:u w:val="none"/>
                      <w:lang w:val="en-US" w:eastAsia="zh-CN" w:bidi="ar"/>
                    </w:rPr>
                    <w:t>“</w:t>
                  </w:r>
                  <w:r>
                    <w:rPr>
                      <w:rFonts w:hint="eastAsia"/>
                      <w:color w:val="auto"/>
                      <w:sz w:val="21"/>
                      <w:szCs w:val="21"/>
                      <w:lang w:val="en-US" w:eastAsia="zh-CN"/>
                    </w:rPr>
                    <w:t>三十七、废弃资源综合利用业42</w:t>
                  </w:r>
                  <w:r>
                    <w:rPr>
                      <w:rFonts w:hint="eastAsia" w:ascii="Times New Roman" w:hAnsi="Times New Roman" w:cs="Times New Roman"/>
                      <w:i w:val="0"/>
                      <w:iCs w:val="0"/>
                      <w:color w:val="auto"/>
                      <w:spacing w:val="0"/>
                      <w:kern w:val="0"/>
                      <w:sz w:val="21"/>
                      <w:szCs w:val="21"/>
                      <w:u w:val="none"/>
                      <w:lang w:val="en-US" w:eastAsia="zh-CN" w:bidi="ar"/>
                    </w:rPr>
                    <w:t>”</w:t>
                  </w:r>
                  <w:r>
                    <w:rPr>
                      <w:rFonts w:hint="eastAsia"/>
                      <w:color w:val="auto"/>
                      <w:sz w:val="21"/>
                      <w:szCs w:val="21"/>
                      <w:lang w:val="en-US" w:eastAsia="zh-CN"/>
                    </w:rPr>
                    <w:t>中的“非金属废料和碎屑加工处理422”</w:t>
                  </w:r>
                </w:p>
              </w:tc>
              <w:tc>
                <w:tcPr>
                  <w:tcW w:w="2455" w:type="dxa"/>
                  <w:tcBorders>
                    <w:tl2br w:val="nil"/>
                    <w:tr2bl w:val="nil"/>
                  </w:tcBorders>
                  <w:shd w:val="clear" w:color="auto" w:fill="auto"/>
                  <w:vAlign w:val="center"/>
                </w:tcPr>
                <w:p w14:paraId="5ED87785">
                  <w:pPr>
                    <w:jc w:val="center"/>
                    <w:rPr>
                      <w:rFonts w:hint="eastAsia" w:ascii="Times New Roman" w:hAnsi="Times New Roman" w:eastAsia="宋体" w:cs="Times New Roman"/>
                      <w:i w:val="0"/>
                      <w:iCs w:val="0"/>
                      <w:color w:val="auto"/>
                      <w:spacing w:val="0"/>
                      <w:sz w:val="21"/>
                      <w:szCs w:val="21"/>
                      <w:u w:val="none"/>
                      <w:lang w:val="en-US" w:eastAsia="zh-CN"/>
                    </w:rPr>
                  </w:pPr>
                  <w:r>
                    <w:rPr>
                      <w:rFonts w:hint="eastAsia" w:ascii="Times New Roman" w:hAnsi="Times New Roman" w:eastAsia="宋体" w:cs="Times New Roman"/>
                      <w:i w:val="0"/>
                      <w:iCs w:val="0"/>
                      <w:color w:val="auto"/>
                      <w:spacing w:val="0"/>
                      <w:sz w:val="21"/>
                      <w:szCs w:val="21"/>
                      <w:u w:val="none"/>
                      <w:lang w:val="en-US" w:eastAsia="zh-CN"/>
                    </w:rPr>
                    <w:t>/</w:t>
                  </w:r>
                </w:p>
              </w:tc>
            </w:tr>
            <w:tr w14:paraId="7F5AC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69" w:hRule="atLeast"/>
                <w:jc w:val="center"/>
              </w:trPr>
              <w:tc>
                <w:tcPr>
                  <w:tcW w:w="2056" w:type="dxa"/>
                  <w:tcBorders>
                    <w:tl2br w:val="nil"/>
                    <w:tr2bl w:val="nil"/>
                  </w:tcBorders>
                  <w:shd w:val="clear" w:color="auto" w:fill="auto"/>
                  <w:vAlign w:val="center"/>
                </w:tcPr>
                <w:p w14:paraId="40D82911">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重点管理</w:t>
                  </w:r>
                </w:p>
              </w:tc>
              <w:tc>
                <w:tcPr>
                  <w:tcW w:w="3029" w:type="dxa"/>
                  <w:tcBorders>
                    <w:tl2br w:val="nil"/>
                    <w:tr2bl w:val="nil"/>
                  </w:tcBorders>
                  <w:shd w:val="clear" w:color="auto" w:fill="auto"/>
                  <w:vAlign w:val="center"/>
                </w:tcPr>
                <w:p w14:paraId="54FB1192">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简化管理</w:t>
                  </w:r>
                </w:p>
              </w:tc>
              <w:tc>
                <w:tcPr>
                  <w:tcW w:w="1359" w:type="dxa"/>
                  <w:tcBorders>
                    <w:tl2br w:val="nil"/>
                    <w:tr2bl w:val="nil"/>
                  </w:tcBorders>
                  <w:shd w:val="clear" w:color="auto" w:fill="auto"/>
                  <w:vAlign w:val="center"/>
                </w:tcPr>
                <w:p w14:paraId="514AD7F6">
                  <w:pPr>
                    <w:keepNext w:val="0"/>
                    <w:keepLines w:val="0"/>
                    <w:widowControl/>
                    <w:suppressLineNumbers w:val="0"/>
                    <w:jc w:val="center"/>
                    <w:textAlignment w:val="center"/>
                    <w:rPr>
                      <w:rFonts w:hint="default" w:ascii="Times New Roman" w:hAnsi="Times New Roman" w:eastAsia="宋体" w:cs="Times New Roman"/>
                      <w:i w:val="0"/>
                      <w:iCs w:val="0"/>
                      <w:color w:val="auto"/>
                      <w:spacing w:val="0"/>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登记管理</w:t>
                  </w:r>
                </w:p>
              </w:tc>
              <w:tc>
                <w:tcPr>
                  <w:tcW w:w="2455" w:type="dxa"/>
                  <w:tcBorders>
                    <w:tl2br w:val="nil"/>
                    <w:tr2bl w:val="nil"/>
                  </w:tcBorders>
                  <w:shd w:val="clear" w:color="auto" w:fill="auto"/>
                  <w:vAlign w:val="center"/>
                </w:tcPr>
                <w:p w14:paraId="3A0B4F2E">
                  <w:pPr>
                    <w:jc w:val="center"/>
                    <w:rPr>
                      <w:rFonts w:hint="eastAsia" w:ascii="Times New Roman" w:hAnsi="Times New Roman" w:eastAsia="宋体" w:cs="Times New Roman"/>
                      <w:i w:val="0"/>
                      <w:iCs w:val="0"/>
                      <w:color w:val="auto"/>
                      <w:spacing w:val="0"/>
                      <w:sz w:val="21"/>
                      <w:szCs w:val="21"/>
                      <w:u w:val="none"/>
                      <w:lang w:val="en-US" w:eastAsia="zh-CN"/>
                    </w:rPr>
                  </w:pPr>
                  <w:r>
                    <w:rPr>
                      <w:rFonts w:hint="eastAsia" w:ascii="Times New Roman" w:hAnsi="Times New Roman" w:eastAsia="宋体" w:cs="Times New Roman"/>
                      <w:i w:val="0"/>
                      <w:iCs w:val="0"/>
                      <w:color w:val="auto"/>
                      <w:spacing w:val="0"/>
                      <w:sz w:val="21"/>
                      <w:szCs w:val="21"/>
                      <w:u w:val="none"/>
                      <w:lang w:val="en-US" w:eastAsia="zh-CN"/>
                    </w:rPr>
                    <w:t>/</w:t>
                  </w:r>
                </w:p>
              </w:tc>
            </w:tr>
            <w:tr w14:paraId="64CE4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394" w:hRule="atLeast"/>
                <w:jc w:val="center"/>
              </w:trPr>
              <w:tc>
                <w:tcPr>
                  <w:tcW w:w="2056" w:type="dxa"/>
                  <w:tcBorders>
                    <w:tl2br w:val="nil"/>
                    <w:tr2bl w:val="nil"/>
                  </w:tcBorders>
                  <w:shd w:val="clear" w:color="auto" w:fill="auto"/>
                  <w:vAlign w:val="center"/>
                </w:tcPr>
                <w:p w14:paraId="2EBA68DA">
                  <w:pPr>
                    <w:jc w:val="center"/>
                    <w:rPr>
                      <w:rFonts w:hint="default" w:ascii="Times New Roman" w:hAnsi="Times New Roman" w:eastAsia="宋体" w:cs="Times New Roman"/>
                      <w:i w:val="0"/>
                      <w:iCs w:val="0"/>
                      <w:color w:val="auto"/>
                      <w:spacing w:val="0"/>
                      <w:sz w:val="21"/>
                      <w:szCs w:val="21"/>
                      <w:u w:val="none"/>
                      <w:lang w:val="en-US" w:eastAsia="zh-CN"/>
                    </w:rPr>
                  </w:pPr>
                  <w:r>
                    <w:rPr>
                      <w:rFonts w:hint="default" w:ascii="Times New Roman" w:hAnsi="Times New Roman" w:eastAsia="宋体" w:cs="Times New Roman"/>
                      <w:i w:val="0"/>
                      <w:iCs w:val="0"/>
                      <w:color w:val="auto"/>
                      <w:spacing w:val="0"/>
                      <w:sz w:val="21"/>
                      <w:szCs w:val="21"/>
                      <w:u w:val="none"/>
                      <w:lang w:val="en-US" w:eastAsia="zh-CN"/>
                    </w:rPr>
                    <w:t>废电池、废油、废轮胎加工处理</w:t>
                  </w:r>
                </w:p>
              </w:tc>
              <w:tc>
                <w:tcPr>
                  <w:tcW w:w="3029" w:type="dxa"/>
                  <w:tcBorders>
                    <w:tl2br w:val="nil"/>
                    <w:tr2bl w:val="nil"/>
                  </w:tcBorders>
                  <w:shd w:val="clear" w:color="auto" w:fill="auto"/>
                  <w:vAlign w:val="center"/>
                </w:tcPr>
                <w:p w14:paraId="29CEB1E9">
                  <w:pPr>
                    <w:jc w:val="center"/>
                    <w:rPr>
                      <w:rFonts w:hint="default" w:ascii="Times New Roman" w:hAnsi="Times New Roman" w:eastAsia="宋体" w:cs="Times New Roman"/>
                      <w:i w:val="0"/>
                      <w:iCs w:val="0"/>
                      <w:color w:val="auto"/>
                      <w:spacing w:val="0"/>
                      <w:sz w:val="21"/>
                      <w:szCs w:val="21"/>
                      <w:u w:val="none"/>
                      <w:lang w:val="en-US" w:eastAsia="zh-CN"/>
                    </w:rPr>
                  </w:pPr>
                  <w:r>
                    <w:rPr>
                      <w:rFonts w:hint="default" w:ascii="Times New Roman" w:hAnsi="Times New Roman" w:eastAsia="宋体" w:cs="Times New Roman"/>
                      <w:i w:val="0"/>
                      <w:iCs w:val="0"/>
                      <w:color w:val="auto"/>
                      <w:spacing w:val="0"/>
                      <w:sz w:val="21"/>
                      <w:szCs w:val="21"/>
                      <w:u w:val="none"/>
                      <w:lang w:val="en-US" w:eastAsia="zh-CN"/>
                    </w:rPr>
                    <w:t>废弃电器电子产品、废机动车、废电机、废电线电缆、废塑料、废船、含水洗工艺的其他废料和碎屑加工处理</w:t>
                  </w:r>
                </w:p>
              </w:tc>
              <w:tc>
                <w:tcPr>
                  <w:tcW w:w="1359" w:type="dxa"/>
                  <w:tcBorders>
                    <w:tl2br w:val="nil"/>
                    <w:tr2bl w:val="nil"/>
                  </w:tcBorders>
                  <w:shd w:val="clear" w:color="auto" w:fill="auto"/>
                  <w:vAlign w:val="center"/>
                </w:tcPr>
                <w:p w14:paraId="427DEB05">
                  <w:pPr>
                    <w:jc w:val="center"/>
                    <w:rPr>
                      <w:rFonts w:hint="default" w:ascii="Times New Roman" w:hAnsi="Times New Roman" w:eastAsia="宋体" w:cs="Times New Roman"/>
                      <w:i w:val="0"/>
                      <w:iCs w:val="0"/>
                      <w:color w:val="auto"/>
                      <w:spacing w:val="0"/>
                      <w:sz w:val="21"/>
                      <w:szCs w:val="21"/>
                      <w:u w:val="none"/>
                      <w:lang w:val="en-US" w:eastAsia="zh-CN"/>
                    </w:rPr>
                  </w:pPr>
                  <w:r>
                    <w:rPr>
                      <w:rFonts w:hint="default" w:ascii="Times New Roman" w:hAnsi="Times New Roman" w:eastAsia="宋体" w:cs="Times New Roman"/>
                      <w:i w:val="0"/>
                      <w:iCs w:val="0"/>
                      <w:color w:val="auto"/>
                      <w:spacing w:val="0"/>
                      <w:sz w:val="21"/>
                      <w:szCs w:val="21"/>
                      <w:u w:val="none"/>
                      <w:lang w:val="en-US" w:eastAsia="zh-CN"/>
                    </w:rPr>
                    <w:t>其他</w:t>
                  </w:r>
                </w:p>
              </w:tc>
              <w:tc>
                <w:tcPr>
                  <w:tcW w:w="2455" w:type="dxa"/>
                  <w:tcBorders>
                    <w:tl2br w:val="nil"/>
                    <w:tr2bl w:val="nil"/>
                  </w:tcBorders>
                  <w:shd w:val="clear" w:color="auto" w:fill="auto"/>
                  <w:vAlign w:val="center"/>
                </w:tcPr>
                <w:p w14:paraId="03407B79">
                  <w:pPr>
                    <w:jc w:val="center"/>
                    <w:rPr>
                      <w:rFonts w:hint="default" w:ascii="Times New Roman" w:hAnsi="Times New Roman" w:eastAsia="宋体" w:cs="Times New Roman"/>
                      <w:i w:val="0"/>
                      <w:iCs w:val="0"/>
                      <w:color w:val="auto"/>
                      <w:spacing w:val="0"/>
                      <w:sz w:val="21"/>
                      <w:szCs w:val="21"/>
                      <w:u w:val="none"/>
                      <w:lang w:val="en-US" w:eastAsia="zh-CN"/>
                    </w:rPr>
                  </w:pPr>
                  <w:r>
                    <w:rPr>
                      <w:rFonts w:hint="eastAsia" w:ascii="Times New Roman" w:hAnsi="Times New Roman" w:cs="Times New Roman"/>
                      <w:i w:val="0"/>
                      <w:iCs w:val="0"/>
                      <w:color w:val="auto"/>
                      <w:spacing w:val="0"/>
                      <w:sz w:val="21"/>
                      <w:szCs w:val="21"/>
                      <w:u w:val="none"/>
                      <w:lang w:val="en-US" w:eastAsia="zh-CN"/>
                    </w:rPr>
                    <w:t>本项目</w:t>
                  </w:r>
                  <w:r>
                    <w:rPr>
                      <w:rFonts w:hint="eastAsia" w:cs="Times New Roman"/>
                      <w:i w:val="0"/>
                      <w:iCs w:val="0"/>
                      <w:color w:val="auto"/>
                      <w:spacing w:val="0"/>
                      <w:sz w:val="21"/>
                      <w:szCs w:val="21"/>
                      <w:u w:val="none"/>
                      <w:lang w:val="en-US" w:eastAsia="zh-CN"/>
                    </w:rPr>
                    <w:t>属于“</w:t>
                  </w:r>
                  <w:r>
                    <w:rPr>
                      <w:rFonts w:hint="default" w:ascii="Times New Roman" w:hAnsi="Times New Roman" w:eastAsia="宋体" w:cs="Times New Roman"/>
                      <w:i w:val="0"/>
                      <w:iCs w:val="0"/>
                      <w:color w:val="auto"/>
                      <w:spacing w:val="0"/>
                      <w:sz w:val="21"/>
                      <w:szCs w:val="21"/>
                      <w:u w:val="none"/>
                      <w:lang w:val="en-US" w:eastAsia="zh-CN"/>
                    </w:rPr>
                    <w:t>含水洗工艺的其他废料和碎屑加工处理</w:t>
                  </w:r>
                  <w:r>
                    <w:rPr>
                      <w:rFonts w:hint="eastAsia" w:cs="Times New Roman"/>
                      <w:i w:val="0"/>
                      <w:iCs w:val="0"/>
                      <w:color w:val="auto"/>
                      <w:spacing w:val="0"/>
                      <w:sz w:val="21"/>
                      <w:szCs w:val="21"/>
                      <w:u w:val="none"/>
                      <w:lang w:val="en-US" w:eastAsia="zh-CN"/>
                    </w:rPr>
                    <w:t>”</w:t>
                  </w:r>
                  <w:r>
                    <w:rPr>
                      <w:rFonts w:hint="eastAsia" w:ascii="Times New Roman" w:hAnsi="Times New Roman" w:cs="Times New Roman"/>
                      <w:i w:val="0"/>
                      <w:iCs w:val="0"/>
                      <w:color w:val="auto"/>
                      <w:spacing w:val="0"/>
                      <w:sz w:val="21"/>
                      <w:szCs w:val="21"/>
                      <w:u w:val="none"/>
                      <w:lang w:val="en-US" w:eastAsia="zh-CN"/>
                    </w:rPr>
                    <w:t>，属于</w:t>
                  </w:r>
                  <w:r>
                    <w:rPr>
                      <w:rFonts w:hint="eastAsia" w:cs="Times New Roman"/>
                      <w:i w:val="0"/>
                      <w:iCs w:val="0"/>
                      <w:color w:val="auto"/>
                      <w:spacing w:val="0"/>
                      <w:sz w:val="21"/>
                      <w:szCs w:val="21"/>
                      <w:u w:val="none"/>
                      <w:lang w:val="en-US" w:eastAsia="zh-CN"/>
                    </w:rPr>
                    <w:t>简化</w:t>
                  </w:r>
                  <w:r>
                    <w:rPr>
                      <w:rFonts w:hint="eastAsia" w:ascii="Times New Roman" w:hAnsi="Times New Roman" w:cs="Times New Roman"/>
                      <w:i w:val="0"/>
                      <w:iCs w:val="0"/>
                      <w:color w:val="auto"/>
                      <w:spacing w:val="0"/>
                      <w:sz w:val="21"/>
                      <w:szCs w:val="21"/>
                      <w:u w:val="none"/>
                      <w:lang w:val="en-US" w:eastAsia="zh-CN"/>
                    </w:rPr>
                    <w:t>管理。</w:t>
                  </w:r>
                </w:p>
              </w:tc>
            </w:tr>
          </w:tbl>
          <w:p w14:paraId="3678F649">
            <w:pPr>
              <w:adjustRightInd w:val="0"/>
              <w:spacing w:line="480" w:lineRule="exact"/>
              <w:ind w:firstLine="480" w:firstLineChars="200"/>
              <w:rPr>
                <w:rFonts w:hint="default" w:ascii="Times New Roman" w:hAnsi="Times New Roman" w:cs="Times New Roman"/>
                <w:color w:val="auto"/>
                <w:spacing w:val="0"/>
                <w:position w:val="0"/>
                <w:sz w:val="24"/>
              </w:rPr>
            </w:pPr>
            <w:r>
              <w:rPr>
                <w:rFonts w:hint="default" w:ascii="Times New Roman" w:hAnsi="Times New Roman" w:eastAsia="宋体" w:cs="Times New Roman"/>
                <w:color w:val="auto"/>
                <w:spacing w:val="0"/>
                <w:position w:val="0"/>
                <w:sz w:val="24"/>
              </w:rPr>
              <w:t>综上，本项</w:t>
            </w:r>
            <w:r>
              <w:rPr>
                <w:rFonts w:hint="default" w:ascii="Times New Roman" w:hAnsi="Times New Roman" w:cs="Times New Roman"/>
                <w:color w:val="auto"/>
                <w:spacing w:val="0"/>
                <w:position w:val="0"/>
                <w:sz w:val="24"/>
              </w:rPr>
              <w:t>目需要编制环境影响报告表，受</w:t>
            </w:r>
            <w:r>
              <w:rPr>
                <w:rFonts w:hint="eastAsia" w:cs="Times New Roman"/>
                <w:color w:val="auto"/>
                <w:spacing w:val="0"/>
                <w:position w:val="0"/>
                <w:sz w:val="24"/>
                <w:lang w:eastAsia="zh-CN"/>
              </w:rPr>
              <w:t>安徽合丰卓盛新能源科技有限公司</w:t>
            </w:r>
            <w:r>
              <w:rPr>
                <w:rFonts w:hint="default" w:ascii="Times New Roman" w:hAnsi="Times New Roman" w:cs="Times New Roman"/>
                <w:color w:val="auto"/>
                <w:spacing w:val="0"/>
                <w:position w:val="0"/>
                <w:sz w:val="24"/>
              </w:rPr>
              <w:t>的委托，</w:t>
            </w:r>
            <w:r>
              <w:rPr>
                <w:rFonts w:hint="eastAsia" w:cs="Times New Roman"/>
                <w:color w:val="auto"/>
                <w:spacing w:val="0"/>
                <w:position w:val="0"/>
                <w:sz w:val="24"/>
                <w:lang w:val="en-US" w:eastAsia="zh-CN"/>
              </w:rPr>
              <w:t>安徽碳峰专业咨询有限公司</w:t>
            </w:r>
            <w:r>
              <w:rPr>
                <w:rFonts w:hint="default" w:ascii="Times New Roman" w:hAnsi="Times New Roman" w:cs="Times New Roman"/>
                <w:color w:val="auto"/>
                <w:spacing w:val="0"/>
                <w:position w:val="0"/>
                <w:sz w:val="24"/>
              </w:rPr>
              <w:t>承担了本项目环境影响评价工作。</w:t>
            </w:r>
            <w:r>
              <w:rPr>
                <w:rFonts w:hint="eastAsia" w:cs="Times New Roman"/>
                <w:color w:val="auto"/>
                <w:spacing w:val="0"/>
                <w:position w:val="0"/>
                <w:sz w:val="24"/>
                <w:lang w:val="en-US" w:eastAsia="zh-CN"/>
              </w:rPr>
              <w:t>环评单位在</w:t>
            </w:r>
            <w:r>
              <w:rPr>
                <w:rFonts w:hint="default" w:ascii="Times New Roman" w:hAnsi="Times New Roman" w:cs="Times New Roman"/>
                <w:color w:val="auto"/>
                <w:spacing w:val="0"/>
                <w:position w:val="0"/>
                <w:sz w:val="24"/>
              </w:rPr>
              <w:t>接受委托后，迅速进行了现场踏勘、调研，对建设工程进行了全面调查，确定本次环评目的是在了解建设项目厂址周围环境特点和污染物排放特征的基础上，分析预测项目建设过程中以及投入运营对周围环境的影响程度、影响范围以及环境质量可能发生的变化</w:t>
            </w:r>
            <w:r>
              <w:rPr>
                <w:rFonts w:hint="eastAsia" w:cs="Times New Roman"/>
                <w:color w:val="auto"/>
                <w:spacing w:val="0"/>
                <w:position w:val="0"/>
                <w:sz w:val="24"/>
                <w:lang w:eastAsia="zh-CN"/>
              </w:rPr>
              <w:t>；</w:t>
            </w:r>
            <w:r>
              <w:rPr>
                <w:rFonts w:hint="default" w:ascii="Times New Roman" w:hAnsi="Times New Roman" w:cs="Times New Roman"/>
                <w:color w:val="auto"/>
                <w:spacing w:val="0"/>
                <w:position w:val="0"/>
                <w:sz w:val="24"/>
              </w:rPr>
              <w:t>同时结合实际，依据国家、安徽省环境保护有关法律法规、标准和当地环境功能的要求，规定实行达标排放的污染防治措施，从环境保护角度分析工程建设的可行性，为建设项目工程设计方案的确定以及管理提供科学的依据。</w:t>
            </w:r>
          </w:p>
          <w:p w14:paraId="1197B4CB">
            <w:pPr>
              <w:adjustRightInd w:val="0"/>
              <w:spacing w:line="480" w:lineRule="exact"/>
              <w:rPr>
                <w:rFonts w:hint="eastAsia" w:ascii="Times New Roman" w:hAnsi="Times New Roman" w:cs="Times New Roman"/>
                <w:b/>
                <w:bCs/>
                <w:color w:val="auto"/>
                <w:spacing w:val="0"/>
                <w:position w:val="0"/>
                <w:sz w:val="24"/>
                <w:lang w:eastAsia="zh-CN"/>
              </w:rPr>
            </w:pPr>
            <w:r>
              <w:rPr>
                <w:rFonts w:hint="default" w:ascii="Times New Roman" w:hAnsi="Times New Roman" w:cs="Times New Roman"/>
                <w:b/>
                <w:bCs/>
                <w:color w:val="auto"/>
                <w:spacing w:val="0"/>
                <w:position w:val="0"/>
                <w:sz w:val="24"/>
              </w:rPr>
              <w:t>2、</w:t>
            </w:r>
            <w:r>
              <w:rPr>
                <w:rFonts w:hint="eastAsia" w:ascii="Times New Roman" w:hAnsi="Times New Roman" w:cs="Times New Roman"/>
                <w:b/>
                <w:bCs/>
                <w:color w:val="auto"/>
                <w:spacing w:val="0"/>
                <w:position w:val="0"/>
                <w:sz w:val="24"/>
                <w:lang w:val="en-US" w:eastAsia="zh-CN"/>
              </w:rPr>
              <w:t>产品方案</w:t>
            </w:r>
          </w:p>
          <w:p w14:paraId="21138E46">
            <w:pPr>
              <w:pStyle w:val="75"/>
              <w:keepNext w:val="0"/>
              <w:keepLines w:val="0"/>
              <w:pageBreakBefore w:val="0"/>
              <w:widowControl w:val="0"/>
              <w:kinsoku/>
              <w:wordWrap/>
              <w:overflowPunct/>
              <w:topLinePunct w:val="0"/>
              <w:autoSpaceDE/>
              <w:autoSpaceDN/>
              <w:bidi w:val="0"/>
              <w:snapToGrid/>
              <w:spacing w:line="480" w:lineRule="atLeast"/>
              <w:ind w:left="0" w:firstLine="480" w:firstLineChars="200"/>
              <w:textAlignment w:val="auto"/>
              <w:rPr>
                <w:rFonts w:hint="eastAsia" w:ascii="Times New Roman" w:hAnsi="Times New Roman" w:eastAsia="宋体" w:cs="Times New Roman"/>
                <w:color w:val="auto"/>
                <w:spacing w:val="0"/>
                <w:position w:val="0"/>
                <w:sz w:val="24"/>
                <w:lang w:val="en-US" w:eastAsia="zh-CN"/>
              </w:rPr>
            </w:pPr>
            <w:r>
              <w:rPr>
                <w:rFonts w:hint="default" w:ascii="Times New Roman" w:hAnsi="Times New Roman" w:eastAsia="宋体" w:cs="Times New Roman"/>
                <w:color w:val="auto"/>
                <w:spacing w:val="0"/>
                <w:kern w:val="2"/>
                <w:position w:val="0"/>
                <w:sz w:val="24"/>
                <w:szCs w:val="24"/>
                <w:lang w:val="en-US" w:eastAsia="zh-CN" w:bidi="ar-SA"/>
              </w:rPr>
              <w:t>项目</w:t>
            </w:r>
            <w:r>
              <w:rPr>
                <w:rFonts w:hint="default" w:ascii="Times New Roman" w:hAnsi="Times New Roman" w:cs="Times New Roman"/>
                <w:color w:val="auto"/>
                <w:spacing w:val="0"/>
                <w:position w:val="0"/>
                <w:sz w:val="24"/>
                <w:lang w:eastAsia="zh-CN"/>
              </w:rPr>
              <w:t>年处理3万吨废旧光伏组件，</w:t>
            </w:r>
            <w:r>
              <w:rPr>
                <w:rFonts w:hint="eastAsia" w:ascii="Times New Roman" w:hAnsi="Times New Roman" w:cs="Times New Roman"/>
                <w:color w:val="auto"/>
                <w:spacing w:val="0"/>
                <w:position w:val="0"/>
                <w:sz w:val="24"/>
                <w:lang w:val="en-US" w:eastAsia="zh-CN"/>
              </w:rPr>
              <w:t>物理拆解出铝合金边框和接线盒，接线盒经撕碎分选得到塑料和铜丝</w:t>
            </w:r>
            <w:r>
              <w:rPr>
                <w:rFonts w:hint="eastAsia" w:ascii="Times New Roman" w:hAnsi="Times New Roman" w:eastAsia="宋体" w:cs="Times New Roman"/>
                <w:color w:val="auto"/>
                <w:spacing w:val="0"/>
                <w:position w:val="0"/>
                <w:sz w:val="24"/>
                <w:lang w:val="en-US" w:eastAsia="zh-CN"/>
              </w:rPr>
              <w:t>。拆解后的光伏板经热解产出不凝气和热解油，同时为项目生产线提供燃料，富余不凝气进燃烧室燃烧处理，富余热解油则作为产品。</w:t>
            </w:r>
          </w:p>
          <w:p w14:paraId="5FF8FEFD">
            <w:pPr>
              <w:pStyle w:val="75"/>
              <w:keepNext w:val="0"/>
              <w:keepLines w:val="0"/>
              <w:pageBreakBefore w:val="0"/>
              <w:widowControl w:val="0"/>
              <w:kinsoku/>
              <w:wordWrap/>
              <w:overflowPunct/>
              <w:topLinePunct w:val="0"/>
              <w:autoSpaceDE/>
              <w:autoSpaceDN/>
              <w:bidi w:val="0"/>
              <w:snapToGrid/>
              <w:spacing w:line="480" w:lineRule="atLeast"/>
              <w:ind w:left="0" w:firstLine="480" w:firstLineChars="200"/>
              <w:textAlignment w:val="auto"/>
              <w:rPr>
                <w:rFonts w:hint="default" w:ascii="Times New Roman" w:hAnsi="Times New Roman" w:eastAsia="宋体" w:cs="Times New Roman"/>
                <w:color w:val="auto"/>
                <w:spacing w:val="0"/>
                <w:position w:val="0"/>
                <w:sz w:val="24"/>
                <w:lang w:val="en-US" w:eastAsia="zh-CN"/>
              </w:rPr>
            </w:pPr>
            <w:r>
              <w:rPr>
                <w:rFonts w:hint="eastAsia" w:ascii="Times New Roman" w:hAnsi="Times New Roman" w:eastAsia="宋体" w:cs="Times New Roman"/>
                <w:color w:val="auto"/>
                <w:spacing w:val="0"/>
                <w:position w:val="0"/>
                <w:sz w:val="24"/>
                <w:lang w:val="en-US" w:eastAsia="zh-CN"/>
              </w:rPr>
              <w:t>热解炉出料通过筛分、旋风分离、风选等工序选出玻璃、铜、硅，其中铜</w:t>
            </w:r>
            <w:r>
              <w:rPr>
                <w:rFonts w:hint="eastAsia" w:ascii="Times New Roman" w:hAnsi="Times New Roman" w:cs="Times New Roman"/>
                <w:color w:val="auto"/>
                <w:spacing w:val="0"/>
                <w:position w:val="0"/>
                <w:sz w:val="24"/>
                <w:lang w:val="en-US" w:eastAsia="zh-CN"/>
              </w:rPr>
              <w:t>、硅</w:t>
            </w:r>
            <w:r>
              <w:rPr>
                <w:rFonts w:hint="eastAsia" w:ascii="Times New Roman" w:hAnsi="Times New Roman" w:eastAsia="宋体" w:cs="Times New Roman"/>
                <w:color w:val="auto"/>
                <w:spacing w:val="0"/>
                <w:position w:val="0"/>
                <w:sz w:val="24"/>
                <w:lang w:val="en-US" w:eastAsia="zh-CN"/>
              </w:rPr>
              <w:t>不需要处理直接作为副产。选出的玻璃通过碱液清洗、洗砂去碱、烘干、色选等工序进一步去杂，得到高纯度的玻璃。</w:t>
            </w:r>
          </w:p>
          <w:p w14:paraId="194412BF">
            <w:pPr>
              <w:pStyle w:val="75"/>
              <w:keepNext w:val="0"/>
              <w:keepLines w:val="0"/>
              <w:pageBreakBefore w:val="0"/>
              <w:widowControl w:val="0"/>
              <w:kinsoku/>
              <w:wordWrap/>
              <w:overflowPunct/>
              <w:topLinePunct w:val="0"/>
              <w:autoSpaceDE/>
              <w:autoSpaceDN/>
              <w:bidi w:val="0"/>
              <w:snapToGrid/>
              <w:spacing w:line="480" w:lineRule="atLeast"/>
              <w:ind w:left="0" w:firstLine="480" w:firstLineChars="200"/>
              <w:textAlignment w:val="auto"/>
              <w:rPr>
                <w:rFonts w:hint="default" w:ascii="Times New Roman" w:hAnsi="Times New Roman" w:cs="Times New Roman"/>
                <w:color w:val="auto"/>
                <w:spacing w:val="0"/>
                <w:position w:val="0"/>
                <w:sz w:val="24"/>
                <w:lang w:val="en-US" w:eastAsia="zh-CN"/>
              </w:rPr>
            </w:pPr>
            <w:r>
              <w:rPr>
                <w:rFonts w:hint="eastAsia" w:ascii="Times New Roman" w:hAnsi="Times New Roman" w:cs="Times New Roman"/>
                <w:color w:val="auto"/>
                <w:spacing w:val="0"/>
                <w:position w:val="0"/>
                <w:sz w:val="24"/>
                <w:lang w:val="en-US" w:eastAsia="zh-CN"/>
              </w:rPr>
              <w:t>因此，项目产品主要包括铝合金边框、塑料、</w:t>
            </w:r>
            <w:r>
              <w:rPr>
                <w:rFonts w:hint="eastAsia" w:ascii="Times New Roman" w:hAnsi="Times New Roman" w:eastAsia="宋体" w:cs="Times New Roman"/>
                <w:color w:val="auto"/>
                <w:spacing w:val="0"/>
                <w:position w:val="0"/>
                <w:sz w:val="24"/>
                <w:lang w:val="en-US" w:eastAsia="zh-CN"/>
              </w:rPr>
              <w:t>热解油、玻璃、铜、硅</w:t>
            </w:r>
            <w:r>
              <w:rPr>
                <w:rFonts w:hint="eastAsia" w:ascii="Times New Roman" w:hAnsi="Times New Roman" w:cs="Times New Roman"/>
                <w:color w:val="auto"/>
                <w:spacing w:val="0"/>
                <w:position w:val="0"/>
                <w:sz w:val="24"/>
                <w:lang w:val="en-US" w:eastAsia="zh-CN"/>
              </w:rPr>
              <w:t>片</w:t>
            </w:r>
            <w:r>
              <w:rPr>
                <w:rFonts w:hint="eastAsia" w:ascii="Times New Roman" w:hAnsi="Times New Roman" w:eastAsia="宋体" w:cs="Times New Roman"/>
                <w:color w:val="auto"/>
                <w:spacing w:val="0"/>
                <w:position w:val="0"/>
                <w:sz w:val="24"/>
                <w:lang w:val="en-US" w:eastAsia="zh-CN"/>
              </w:rPr>
              <w:t>、</w:t>
            </w:r>
            <w:r>
              <w:rPr>
                <w:rFonts w:hint="eastAsia" w:ascii="宋体" w:hAnsi="宋体" w:eastAsia="宋体" w:cs="宋体"/>
                <w:i w:val="0"/>
                <w:iCs w:val="0"/>
                <w:color w:val="000000"/>
                <w:kern w:val="0"/>
                <w:sz w:val="24"/>
                <w:szCs w:val="24"/>
                <w:u w:val="none"/>
                <w:lang w:val="en-US" w:eastAsia="zh-CN" w:bidi="ar"/>
              </w:rPr>
              <w:t>硅粉（含炭黑）</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杂质（铜+硅+难溶物等）</w:t>
            </w:r>
            <w:r>
              <w:rPr>
                <w:rFonts w:hint="eastAsia" w:ascii="Times New Roman" w:hAnsi="Times New Roman" w:eastAsia="宋体" w:cs="Times New Roman"/>
                <w:color w:val="auto"/>
                <w:spacing w:val="0"/>
                <w:position w:val="0"/>
                <w:sz w:val="24"/>
                <w:lang w:val="en-US" w:eastAsia="zh-CN"/>
              </w:rPr>
              <w:t>等，</w:t>
            </w:r>
            <w:r>
              <w:rPr>
                <w:rFonts w:hint="eastAsia" w:ascii="Times New Roman" w:hAnsi="Times New Roman" w:cs="Times New Roman"/>
                <w:color w:val="auto"/>
                <w:spacing w:val="0"/>
                <w:position w:val="0"/>
                <w:sz w:val="24"/>
                <w:lang w:val="en-US" w:eastAsia="zh-CN"/>
              </w:rPr>
              <w:t>根据市场需求，本项目得到的产品大部分可供应安徽省内企业使用，</w:t>
            </w:r>
            <w:r>
              <w:rPr>
                <w:rFonts w:hint="eastAsia" w:ascii="Times New Roman" w:hAnsi="Times New Roman" w:eastAsia="宋体" w:cs="Times New Roman"/>
                <w:color w:val="auto"/>
                <w:spacing w:val="0"/>
                <w:position w:val="0"/>
                <w:sz w:val="24"/>
                <w:lang w:val="en-US" w:eastAsia="zh-CN"/>
              </w:rPr>
              <w:t>详见下表：</w:t>
            </w:r>
          </w:p>
          <w:p w14:paraId="25DAD8F4">
            <w:pPr>
              <w:keepNext w:val="0"/>
              <w:keepLines w:val="0"/>
              <w:pageBreakBefore w:val="0"/>
              <w:widowControl w:val="0"/>
              <w:kinsoku/>
              <w:wordWrap/>
              <w:overflowPunct/>
              <w:topLinePunct w:val="0"/>
              <w:autoSpaceDE/>
              <w:autoSpaceDN/>
              <w:bidi w:val="0"/>
              <w:adjustRightInd w:val="0"/>
              <w:snapToGrid/>
              <w:spacing w:line="480" w:lineRule="exact"/>
              <w:ind w:firstLine="0" w:firstLineChars="0"/>
              <w:jc w:val="center"/>
              <w:textAlignment w:val="auto"/>
              <w:rPr>
                <w:rFonts w:hint="default" w:ascii="Times New Roman" w:hAnsi="Times New Roman" w:eastAsia="宋体" w:cs="Times New Roman"/>
                <w:b/>
                <w:bCs/>
                <w:snapToGrid w:val="0"/>
                <w:color w:val="auto"/>
                <w:spacing w:val="0"/>
                <w:kern w:val="0"/>
                <w:position w:val="0"/>
                <w:sz w:val="21"/>
                <w:szCs w:val="21"/>
                <w:lang w:val="en-US" w:eastAsia="zh-CN"/>
              </w:rPr>
            </w:pPr>
            <w:r>
              <w:rPr>
                <w:rFonts w:hint="eastAsia" w:cs="Times New Roman"/>
                <w:b/>
                <w:bCs/>
                <w:snapToGrid w:val="0"/>
                <w:color w:val="auto"/>
                <w:spacing w:val="0"/>
                <w:kern w:val="0"/>
                <w:position w:val="0"/>
                <w:sz w:val="21"/>
                <w:szCs w:val="21"/>
                <w:lang w:val="en-US" w:eastAsia="zh-CN"/>
              </w:rPr>
              <w:t>表2-2  项目产品方案一览表</w:t>
            </w:r>
          </w:p>
          <w:tbl>
            <w:tblPr>
              <w:tblStyle w:val="26"/>
              <w:tblW w:w="87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0"/>
              <w:gridCol w:w="1224"/>
              <w:gridCol w:w="1564"/>
              <w:gridCol w:w="1555"/>
              <w:gridCol w:w="3503"/>
            </w:tblGrid>
            <w:tr w14:paraId="023DE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AED5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7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08D89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6E1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产能</w:t>
                  </w:r>
                  <w:r>
                    <w:rPr>
                      <w:rFonts w:hint="default" w:ascii="Times New Roman" w:hAnsi="Times New Roman" w:eastAsia="宋体" w:cs="Times New Roman"/>
                      <w:b/>
                      <w:bCs/>
                      <w:i w:val="0"/>
                      <w:iCs w:val="0"/>
                      <w:color w:val="000000"/>
                      <w:kern w:val="0"/>
                      <w:sz w:val="21"/>
                      <w:szCs w:val="21"/>
                      <w:u w:val="none"/>
                      <w:lang w:val="en-US" w:eastAsia="zh-CN" w:bidi="ar"/>
                    </w:rPr>
                    <w:t>t/a</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635B">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设计去向</w:t>
                  </w:r>
                </w:p>
              </w:tc>
            </w:tr>
            <w:tr w14:paraId="3D3A3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8E6E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7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6BD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铝合金边框</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9A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3195.000 </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8AC2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安徽浩源铝业科技有限公司</w:t>
                  </w:r>
                </w:p>
              </w:tc>
            </w:tr>
            <w:tr w14:paraId="40119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F36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27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ED0B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4351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117.556 </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2CB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安徽斯塑达新材料科技有限公司</w:t>
                  </w:r>
                </w:p>
              </w:tc>
            </w:tr>
            <w:tr w14:paraId="034F9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853D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27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E436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AD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243.718 </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B137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安徽鑫汇达新材料科技有限公司</w:t>
                  </w:r>
                  <w:r>
                    <w:rPr>
                      <w:rFonts w:hint="eastAsia" w:cs="Times New Roman"/>
                      <w:i w:val="0"/>
                      <w:iCs w:val="0"/>
                      <w:color w:val="000000"/>
                      <w:kern w:val="0"/>
                      <w:sz w:val="21"/>
                      <w:szCs w:val="21"/>
                      <w:u w:val="none"/>
                      <w:lang w:val="en-US" w:eastAsia="zh-CN" w:bidi="ar"/>
                    </w:rPr>
                    <w:t>；安徽鑫汇达新材料科技有限公司</w:t>
                  </w:r>
                </w:p>
              </w:tc>
            </w:tr>
            <w:tr w14:paraId="383C1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jc w:val="center"/>
              </w:trPr>
              <w:tc>
                <w:tcPr>
                  <w:tcW w:w="8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3ECB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2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A568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热解油</w:t>
                  </w:r>
                  <w:r>
                    <w:rPr>
                      <w:rFonts w:hint="default" w:ascii="Times New Roman" w:hAnsi="Times New Roman" w:eastAsia="宋体" w:cs="Times New Roman"/>
                      <w:i w:val="0"/>
                      <w:iCs w:val="0"/>
                      <w:color w:val="000000"/>
                      <w:kern w:val="0"/>
                      <w:sz w:val="21"/>
                      <w:szCs w:val="21"/>
                      <w:u w:val="none"/>
                      <w:lang w:val="en-US" w:eastAsia="zh-CN" w:bidi="ar"/>
                    </w:rPr>
                    <w:t>1212.75</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40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热解炉自用</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99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965.186 </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3A82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w:t>
                  </w:r>
                </w:p>
              </w:tc>
            </w:tr>
            <w:tr w14:paraId="37EEB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jc w:val="center"/>
              </w:trPr>
              <w:tc>
                <w:tcPr>
                  <w:tcW w:w="8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28B71">
                  <w:pPr>
                    <w:jc w:val="center"/>
                    <w:rPr>
                      <w:rFonts w:hint="default" w:ascii="Times New Roman" w:hAnsi="Times New Roman" w:eastAsia="宋体" w:cs="Times New Roman"/>
                      <w:i w:val="0"/>
                      <w:iCs w:val="0"/>
                      <w:color w:val="000000"/>
                      <w:sz w:val="21"/>
                      <w:szCs w:val="21"/>
                      <w:u w:val="none"/>
                    </w:rPr>
                  </w:pPr>
                </w:p>
              </w:tc>
              <w:tc>
                <w:tcPr>
                  <w:tcW w:w="12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38FFB">
                  <w:pPr>
                    <w:jc w:val="center"/>
                    <w:rPr>
                      <w:rFonts w:hint="eastAsia" w:ascii="宋体" w:hAnsi="宋体" w:eastAsia="宋体" w:cs="宋体"/>
                      <w:i w:val="0"/>
                      <w:iCs w:val="0"/>
                      <w:color w:val="000000"/>
                      <w:sz w:val="21"/>
                      <w:szCs w:val="21"/>
                      <w:u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4FE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清洗炉用油</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9FA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57.600 </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6A8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w:t>
                  </w:r>
                </w:p>
              </w:tc>
            </w:tr>
            <w:tr w14:paraId="69488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jc w:val="center"/>
              </w:trPr>
              <w:tc>
                <w:tcPr>
                  <w:tcW w:w="8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199D3">
                  <w:pPr>
                    <w:jc w:val="center"/>
                    <w:rPr>
                      <w:rFonts w:hint="default" w:ascii="Times New Roman" w:hAnsi="Times New Roman" w:eastAsia="宋体" w:cs="Times New Roman"/>
                      <w:i w:val="0"/>
                      <w:iCs w:val="0"/>
                      <w:color w:val="000000"/>
                      <w:sz w:val="21"/>
                      <w:szCs w:val="21"/>
                      <w:u w:val="none"/>
                    </w:rPr>
                  </w:pPr>
                </w:p>
              </w:tc>
              <w:tc>
                <w:tcPr>
                  <w:tcW w:w="12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219A6">
                  <w:pPr>
                    <w:jc w:val="center"/>
                    <w:rPr>
                      <w:rFonts w:hint="eastAsia" w:ascii="宋体" w:hAnsi="宋体" w:eastAsia="宋体" w:cs="宋体"/>
                      <w:i w:val="0"/>
                      <w:iCs w:val="0"/>
                      <w:color w:val="000000"/>
                      <w:sz w:val="21"/>
                      <w:szCs w:val="21"/>
                      <w:u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40C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烘干炉用油</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391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57.600 </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7C4E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w:t>
                  </w:r>
                </w:p>
              </w:tc>
            </w:tr>
            <w:tr w14:paraId="7B2F8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8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A1471">
                  <w:pPr>
                    <w:jc w:val="center"/>
                    <w:rPr>
                      <w:rFonts w:hint="default" w:ascii="Times New Roman" w:hAnsi="Times New Roman" w:eastAsia="宋体" w:cs="Times New Roman"/>
                      <w:i w:val="0"/>
                      <w:iCs w:val="0"/>
                      <w:color w:val="000000"/>
                      <w:sz w:val="21"/>
                      <w:szCs w:val="21"/>
                      <w:u w:val="none"/>
                    </w:rPr>
                  </w:pPr>
                </w:p>
              </w:tc>
              <w:tc>
                <w:tcPr>
                  <w:tcW w:w="12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BCF98">
                  <w:pPr>
                    <w:jc w:val="center"/>
                    <w:rPr>
                      <w:rFonts w:hint="eastAsia" w:ascii="宋体" w:hAnsi="宋体" w:eastAsia="宋体" w:cs="宋体"/>
                      <w:i w:val="0"/>
                      <w:iCs w:val="0"/>
                      <w:color w:val="000000"/>
                      <w:sz w:val="21"/>
                      <w:szCs w:val="21"/>
                      <w:u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F0D8">
                  <w:pPr>
                    <w:keepNext w:val="0"/>
                    <w:keepLines w:val="0"/>
                    <w:widowControl/>
                    <w:suppressLineNumbers w:val="0"/>
                    <w:jc w:val="center"/>
                    <w:textAlignment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kern w:val="0"/>
                      <w:sz w:val="21"/>
                      <w:szCs w:val="21"/>
                      <w:u w:val="none"/>
                      <w:lang w:val="en-US" w:eastAsia="zh-CN" w:bidi="ar"/>
                    </w:rPr>
                    <w:t>产品油</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5C747">
                  <w:pPr>
                    <w:keepNext w:val="0"/>
                    <w:keepLines w:val="0"/>
                    <w:widowControl/>
                    <w:suppressLineNumbers w:val="0"/>
                    <w:jc w:val="center"/>
                    <w:textAlignment w:val="center"/>
                    <w:rPr>
                      <w:rFonts w:hint="default" w:ascii="Times New Roman" w:hAnsi="Times New Roman" w:eastAsia="宋体" w:cs="Times New Roman"/>
                      <w:i w:val="0"/>
                      <w:iCs w:val="0"/>
                      <w:color w:val="0000FF"/>
                      <w:sz w:val="21"/>
                      <w:szCs w:val="21"/>
                      <w:u w:val="none"/>
                    </w:rPr>
                  </w:pPr>
                  <w:r>
                    <w:rPr>
                      <w:rFonts w:hint="default" w:ascii="Times New Roman" w:hAnsi="Times New Roman" w:eastAsia="宋体" w:cs="Times New Roman"/>
                      <w:i w:val="0"/>
                      <w:iCs w:val="0"/>
                      <w:color w:val="0000FF"/>
                      <w:kern w:val="0"/>
                      <w:sz w:val="21"/>
                      <w:szCs w:val="21"/>
                      <w:u w:val="none"/>
                      <w:lang w:val="en-US" w:eastAsia="zh-CN" w:bidi="ar"/>
                    </w:rPr>
                    <w:t xml:space="preserve">132.364 </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2F9C">
                  <w:pPr>
                    <w:keepNext w:val="0"/>
                    <w:keepLines w:val="0"/>
                    <w:widowControl/>
                    <w:suppressLineNumbers w:val="0"/>
                    <w:jc w:val="center"/>
                    <w:textAlignment w:val="center"/>
                    <w:rPr>
                      <w:rFonts w:hint="default" w:ascii="Times New Roman" w:hAnsi="Times New Roman" w:eastAsia="宋体" w:cs="Times New Roman"/>
                      <w:i w:val="0"/>
                      <w:iCs w:val="0"/>
                      <w:color w:val="0000FF"/>
                      <w:kern w:val="0"/>
                      <w:sz w:val="21"/>
                      <w:szCs w:val="21"/>
                      <w:u w:val="none"/>
                      <w:lang w:val="en-US" w:eastAsia="zh-CN" w:bidi="ar"/>
                    </w:rPr>
                  </w:pPr>
                  <w:r>
                    <w:rPr>
                      <w:rFonts w:hint="default" w:ascii="Times New Roman" w:hAnsi="Times New Roman" w:eastAsia="宋体" w:cs="Times New Roman"/>
                      <w:i w:val="0"/>
                      <w:iCs w:val="0"/>
                      <w:color w:val="0000FF"/>
                      <w:kern w:val="0"/>
                      <w:sz w:val="21"/>
                      <w:szCs w:val="21"/>
                      <w:u w:val="none"/>
                      <w:lang w:val="en-US" w:eastAsia="zh-CN" w:bidi="ar"/>
                    </w:rPr>
                    <w:t>合肥安天废油回收有限公司</w:t>
                  </w:r>
                </w:p>
              </w:tc>
            </w:tr>
            <w:tr w14:paraId="55607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2E3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27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A1B0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硅片</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ABF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969.788</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ADED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天长市中硅硅材料回收有限公司</w:t>
                  </w:r>
                </w:p>
              </w:tc>
            </w:tr>
            <w:tr w14:paraId="477FA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CEE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27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5250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硅粉（含炭黑）</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6C9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123.661</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B325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w:t>
                  </w:r>
                </w:p>
              </w:tc>
            </w:tr>
            <w:tr w14:paraId="1B2D7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C23B2">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12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2225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D0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8mm</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4B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14.244 </w:t>
                  </w:r>
                </w:p>
              </w:tc>
              <w:tc>
                <w:tcPr>
                  <w:tcW w:w="3503" w:type="dxa"/>
                  <w:vMerge w:val="restart"/>
                  <w:tcBorders>
                    <w:top w:val="single" w:color="000000" w:sz="4" w:space="0"/>
                    <w:left w:val="single" w:color="000000" w:sz="4" w:space="0"/>
                    <w:right w:val="single" w:color="000000" w:sz="4" w:space="0"/>
                  </w:tcBorders>
                  <w:shd w:val="clear" w:color="auto" w:fill="auto"/>
                  <w:vAlign w:val="center"/>
                </w:tcPr>
                <w:p w14:paraId="73B231F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合肥高倪玻璃回收有限公司</w:t>
                  </w:r>
                </w:p>
              </w:tc>
            </w:tr>
            <w:tr w14:paraId="6929B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FA590">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2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7E891">
                  <w:pPr>
                    <w:jc w:val="center"/>
                    <w:rPr>
                      <w:rFonts w:hint="default" w:ascii="Times New Roman" w:hAnsi="Times New Roman" w:eastAsia="宋体" w:cs="Times New Roman"/>
                      <w:i w:val="0"/>
                      <w:iCs w:val="0"/>
                      <w:color w:val="000000"/>
                      <w:sz w:val="21"/>
                      <w:szCs w:val="21"/>
                      <w:u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5AD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8mm</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69F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23669.763 </w:t>
                  </w:r>
                </w:p>
              </w:tc>
              <w:tc>
                <w:tcPr>
                  <w:tcW w:w="3503" w:type="dxa"/>
                  <w:vMerge w:val="continue"/>
                  <w:tcBorders>
                    <w:left w:val="single" w:color="000000" w:sz="4" w:space="0"/>
                    <w:bottom w:val="single" w:color="000000" w:sz="4" w:space="0"/>
                    <w:right w:val="single" w:color="000000" w:sz="4" w:space="0"/>
                  </w:tcBorders>
                  <w:shd w:val="clear" w:color="auto" w:fill="auto"/>
                  <w:vAlign w:val="center"/>
                </w:tcPr>
                <w:p w14:paraId="3CF29D3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68443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BF5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eastAsia" w:cs="Times New Roman"/>
                      <w:i w:val="0"/>
                      <w:iCs w:val="0"/>
                      <w:color w:val="000000"/>
                      <w:sz w:val="21"/>
                      <w:szCs w:val="21"/>
                      <w:u w:val="none"/>
                      <w:lang w:val="en-US" w:eastAsia="zh-CN"/>
                    </w:rPr>
                    <w:t>9</w:t>
                  </w:r>
                </w:p>
              </w:tc>
              <w:tc>
                <w:tcPr>
                  <w:tcW w:w="27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7A08F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杂质（铜+硅+难溶物等）</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751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11.851</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FBB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w:t>
                  </w:r>
                </w:p>
              </w:tc>
            </w:tr>
          </w:tbl>
          <w:p w14:paraId="39662272">
            <w:pPr>
              <w:tabs>
                <w:tab w:val="left" w:pos="6490"/>
              </w:tabs>
              <w:adjustRightInd w:val="0"/>
              <w:spacing w:line="480" w:lineRule="exact"/>
              <w:rPr>
                <w:rFonts w:hint="default" w:ascii="Times New Roman" w:hAnsi="Times New Roman" w:eastAsia="宋体" w:cs="Times New Roman"/>
                <w:b/>
                <w:bCs/>
                <w:snapToGrid w:val="0"/>
                <w:color w:val="auto"/>
                <w:spacing w:val="0"/>
                <w:kern w:val="0"/>
                <w:position w:val="0"/>
                <w:sz w:val="24"/>
                <w:lang w:val="en-US" w:eastAsia="zh-CN"/>
              </w:rPr>
            </w:pPr>
            <w:r>
              <w:rPr>
                <w:rFonts w:hint="eastAsia" w:cs="Times New Roman"/>
                <w:b/>
                <w:bCs/>
                <w:snapToGrid w:val="0"/>
                <w:color w:val="auto"/>
                <w:spacing w:val="0"/>
                <w:kern w:val="0"/>
                <w:position w:val="0"/>
                <w:sz w:val="24"/>
                <w:lang w:val="en-US" w:eastAsia="zh-CN"/>
              </w:rPr>
              <w:t>3、工程组成</w:t>
            </w:r>
            <w:r>
              <w:rPr>
                <w:rFonts w:hint="eastAsia" w:cs="Times New Roman"/>
                <w:b/>
                <w:bCs/>
                <w:snapToGrid w:val="0"/>
                <w:color w:val="auto"/>
                <w:spacing w:val="0"/>
                <w:kern w:val="0"/>
                <w:position w:val="0"/>
                <w:sz w:val="24"/>
                <w:lang w:val="en-US" w:eastAsia="zh-CN"/>
              </w:rPr>
              <w:tab/>
            </w:r>
          </w:p>
          <w:p w14:paraId="4B7F9456">
            <w:pPr>
              <w:adjustRightInd w:val="0"/>
              <w:spacing w:line="480" w:lineRule="exact"/>
              <w:ind w:firstLine="480" w:firstLineChars="200"/>
              <w:rPr>
                <w:rFonts w:hint="default" w:ascii="Times New Roman" w:hAnsi="Times New Roman" w:eastAsia="宋体" w:cs="Times New Roman"/>
                <w:snapToGrid w:val="0"/>
                <w:color w:val="auto"/>
                <w:spacing w:val="0"/>
                <w:kern w:val="0"/>
                <w:position w:val="0"/>
                <w:sz w:val="24"/>
                <w:lang w:val="en-US" w:eastAsia="zh-CN"/>
              </w:rPr>
            </w:pPr>
            <w:r>
              <w:rPr>
                <w:rFonts w:hint="eastAsia" w:cs="Times New Roman"/>
                <w:snapToGrid w:val="0"/>
                <w:color w:val="auto"/>
                <w:spacing w:val="0"/>
                <w:kern w:val="0"/>
                <w:position w:val="0"/>
                <w:sz w:val="24"/>
                <w:lang w:val="en-US" w:eastAsia="zh-CN"/>
              </w:rPr>
              <w:t>本项目利用现有7#空厂房进行生产改造，布置废旧光伏板回收利用生产线，</w:t>
            </w:r>
            <w:r>
              <w:rPr>
                <w:rFonts w:hint="default" w:ascii="Times New Roman" w:hAnsi="Times New Roman" w:cs="Times New Roman"/>
                <w:color w:val="auto"/>
                <w:spacing w:val="0"/>
                <w:position w:val="0"/>
                <w:sz w:val="24"/>
                <w:lang w:val="en-US" w:eastAsia="zh-CN"/>
              </w:rPr>
              <w:t>配套辅助工程、储运工程、公用工程</w:t>
            </w:r>
            <w:r>
              <w:rPr>
                <w:rFonts w:hint="eastAsia" w:cs="Times New Roman"/>
                <w:color w:val="auto"/>
                <w:spacing w:val="0"/>
                <w:position w:val="0"/>
                <w:sz w:val="24"/>
                <w:lang w:val="en-US" w:eastAsia="zh-CN"/>
              </w:rPr>
              <w:t>和</w:t>
            </w:r>
            <w:r>
              <w:rPr>
                <w:rFonts w:hint="default" w:ascii="Times New Roman" w:hAnsi="Times New Roman" w:cs="Times New Roman"/>
                <w:color w:val="auto"/>
                <w:spacing w:val="0"/>
                <w:position w:val="0"/>
                <w:sz w:val="24"/>
                <w:lang w:val="en-US" w:eastAsia="zh-CN"/>
              </w:rPr>
              <w:t>环保工程。</w:t>
            </w:r>
            <w:r>
              <w:rPr>
                <w:rFonts w:hint="eastAsia" w:cs="Times New Roman"/>
                <w:color w:val="auto"/>
                <w:spacing w:val="0"/>
                <w:position w:val="0"/>
                <w:sz w:val="24"/>
                <w:lang w:val="en-US" w:eastAsia="zh-CN"/>
              </w:rPr>
              <w:t>详见下表：</w:t>
            </w:r>
          </w:p>
          <w:p w14:paraId="216FFB4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b w:val="0"/>
                <w:bCs w:val="0"/>
                <w:color w:val="auto"/>
                <w:sz w:val="24"/>
                <w:vertAlign w:val="baseline"/>
                <w:lang w:val="en-US" w:eastAsia="zh-CN"/>
              </w:rPr>
            </w:pPr>
          </w:p>
          <w:p w14:paraId="47BEE75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b w:val="0"/>
                <w:bCs w:val="0"/>
                <w:color w:val="auto"/>
                <w:sz w:val="24"/>
                <w:vertAlign w:val="baseline"/>
                <w:lang w:val="en-US" w:eastAsia="zh-CN"/>
              </w:rPr>
            </w:pPr>
          </w:p>
          <w:p w14:paraId="35926B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b w:val="0"/>
                <w:bCs w:val="0"/>
                <w:color w:val="auto"/>
                <w:sz w:val="24"/>
                <w:vertAlign w:val="baseline"/>
                <w:lang w:val="en-US" w:eastAsia="zh-CN"/>
              </w:rPr>
            </w:pPr>
          </w:p>
          <w:p w14:paraId="2CF05C74">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cs="Times New Roman"/>
                <w:color w:val="auto"/>
                <w:spacing w:val="0"/>
                <w:position w:val="0"/>
                <w:lang w:val="en-US" w:eastAsia="zh-CN"/>
              </w:rPr>
            </w:pPr>
          </w:p>
        </w:tc>
      </w:tr>
    </w:tbl>
    <w:p w14:paraId="4661C909">
      <w:pPr>
        <w:rPr>
          <w:rFonts w:hint="default" w:ascii="Times New Roman" w:hAnsi="Times New Roman" w:cs="Times New Roman"/>
          <w:b/>
          <w:bCs/>
          <w:color w:val="auto"/>
          <w:spacing w:val="0"/>
          <w:position w:val="0"/>
          <w:szCs w:val="24"/>
        </w:rPr>
        <w:sectPr>
          <w:pgSz w:w="11905" w:h="16838"/>
          <w:pgMar w:top="1440" w:right="1083" w:bottom="1440" w:left="1083" w:header="851" w:footer="1077" w:gutter="0"/>
          <w:pgBorders>
            <w:top w:val="none" w:sz="0" w:space="0"/>
            <w:left w:val="none" w:sz="0" w:space="0"/>
            <w:bottom w:val="none" w:sz="0" w:space="0"/>
            <w:right w:val="none" w:sz="0" w:space="0"/>
          </w:pgBorders>
          <w:pgNumType w:fmt="decimal"/>
          <w:cols w:space="0" w:num="1"/>
          <w:rtlGutter w:val="0"/>
          <w:docGrid w:linePitch="312" w:charSpace="0"/>
        </w:sectPr>
      </w:pPr>
    </w:p>
    <w:tbl>
      <w:tblPr>
        <w:tblStyle w:val="27"/>
        <w:tblW w:w="14659" w:type="dxa"/>
        <w:tblInd w:w="-2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4034"/>
      </w:tblGrid>
      <w:tr w14:paraId="786C9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1" w:hRule="atLeast"/>
        </w:trPr>
        <w:tc>
          <w:tcPr>
            <w:tcW w:w="625" w:type="dxa"/>
            <w:vAlign w:val="center"/>
          </w:tcPr>
          <w:p w14:paraId="7788A668">
            <w:pPr>
              <w:pStyle w:val="23"/>
              <w:adjustRightInd w:val="0"/>
              <w:snapToGrid w:val="0"/>
              <w:spacing w:before="0" w:beforeAutospacing="0" w:after="0" w:afterAutospacing="0"/>
              <w:jc w:val="center"/>
              <w:rPr>
                <w:rFonts w:hint="eastAsia" w:ascii="Times New Roman" w:hAnsi="Times New Roman" w:cs="Times New Roman"/>
                <w:b/>
                <w:bCs/>
                <w:color w:val="auto"/>
                <w:spacing w:val="0"/>
                <w:position w:val="0"/>
                <w:szCs w:val="24"/>
                <w:vertAlign w:val="baseline"/>
                <w:lang w:eastAsia="zh-CN"/>
              </w:rPr>
            </w:pPr>
            <w:r>
              <w:rPr>
                <w:rFonts w:hint="default" w:ascii="Times New Roman" w:hAnsi="Times New Roman" w:cs="Times New Roman"/>
                <w:b/>
                <w:bCs/>
                <w:color w:val="auto"/>
                <w:spacing w:val="0"/>
                <w:position w:val="0"/>
                <w:szCs w:val="24"/>
              </w:rPr>
              <w:t>建设内容</w:t>
            </w:r>
          </w:p>
        </w:tc>
        <w:tc>
          <w:tcPr>
            <w:tcW w:w="14034" w:type="dxa"/>
          </w:tcPr>
          <w:p w14:paraId="35BC855A">
            <w:pPr>
              <w:spacing w:line="480" w:lineRule="exact"/>
              <w:jc w:val="center"/>
              <w:rPr>
                <w:rFonts w:hint="default" w:ascii="Times New Roman" w:hAnsi="Times New Roman" w:eastAsia="宋体" w:cs="Times New Roman"/>
                <w:b/>
                <w:bCs/>
                <w:color w:val="auto"/>
                <w:spacing w:val="0"/>
                <w:position w:val="0"/>
                <w:szCs w:val="21"/>
              </w:rPr>
            </w:pPr>
            <w:r>
              <w:rPr>
                <w:rFonts w:hint="default" w:ascii="Times New Roman" w:hAnsi="Times New Roman" w:eastAsia="宋体" w:cs="Times New Roman"/>
                <w:b/>
                <w:bCs/>
                <w:color w:val="auto"/>
                <w:spacing w:val="0"/>
                <w:position w:val="0"/>
                <w:szCs w:val="21"/>
              </w:rPr>
              <w:t>表2-</w:t>
            </w:r>
            <w:r>
              <w:rPr>
                <w:rFonts w:hint="eastAsia" w:cs="Times New Roman"/>
                <w:b/>
                <w:bCs/>
                <w:color w:val="auto"/>
                <w:spacing w:val="0"/>
                <w:position w:val="0"/>
                <w:szCs w:val="21"/>
                <w:lang w:val="en-US" w:eastAsia="zh-CN"/>
              </w:rPr>
              <w:t xml:space="preserve">3  </w:t>
            </w:r>
            <w:r>
              <w:rPr>
                <w:rFonts w:hint="default" w:ascii="Times New Roman" w:hAnsi="Times New Roman" w:eastAsia="宋体" w:cs="Times New Roman"/>
                <w:b/>
                <w:bCs/>
                <w:color w:val="auto"/>
                <w:spacing w:val="0"/>
                <w:position w:val="0"/>
                <w:szCs w:val="21"/>
              </w:rPr>
              <w:t>建设项目工程组成一览表</w:t>
            </w:r>
          </w:p>
          <w:tbl>
            <w:tblPr>
              <w:tblStyle w:val="26"/>
              <w:tblW w:w="13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994"/>
              <w:gridCol w:w="689"/>
              <w:gridCol w:w="3114"/>
              <w:gridCol w:w="5732"/>
              <w:gridCol w:w="1429"/>
              <w:gridCol w:w="905"/>
            </w:tblGrid>
            <w:tr w14:paraId="39DB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5" w:type="pct"/>
                  <w:tcBorders>
                    <w:tl2br w:val="nil"/>
                    <w:tr2bl w:val="nil"/>
                  </w:tcBorders>
                  <w:vAlign w:val="center"/>
                </w:tcPr>
                <w:p w14:paraId="118F21BC">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r>
                    <w:rPr>
                      <w:rFonts w:hint="default" w:ascii="Times New Roman" w:hAnsi="Times New Roman" w:eastAsia="宋体" w:cs="Times New Roman"/>
                      <w:b/>
                      <w:color w:val="auto"/>
                      <w:spacing w:val="0"/>
                      <w:position w:val="0"/>
                      <w:sz w:val="21"/>
                      <w:szCs w:val="21"/>
                    </w:rPr>
                    <w:t>工程类别</w:t>
                  </w:r>
                </w:p>
              </w:tc>
              <w:tc>
                <w:tcPr>
                  <w:tcW w:w="358" w:type="pct"/>
                  <w:tcBorders>
                    <w:tl2br w:val="nil"/>
                    <w:tr2bl w:val="nil"/>
                  </w:tcBorders>
                  <w:vAlign w:val="center"/>
                </w:tcPr>
                <w:p w14:paraId="771EDE74">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r>
                    <w:rPr>
                      <w:rFonts w:hint="default" w:ascii="Times New Roman" w:hAnsi="Times New Roman" w:eastAsia="宋体" w:cs="Times New Roman"/>
                      <w:b/>
                      <w:color w:val="auto"/>
                      <w:spacing w:val="0"/>
                      <w:position w:val="0"/>
                      <w:sz w:val="21"/>
                      <w:szCs w:val="21"/>
                    </w:rPr>
                    <w:t>单项工程</w:t>
                  </w:r>
                </w:p>
              </w:tc>
              <w:tc>
                <w:tcPr>
                  <w:tcW w:w="3950" w:type="pct"/>
                  <w:gridSpan w:val="4"/>
                  <w:tcBorders>
                    <w:tl2br w:val="nil"/>
                    <w:tr2bl w:val="nil"/>
                  </w:tcBorders>
                  <w:vAlign w:val="center"/>
                </w:tcPr>
                <w:p w14:paraId="7F5A7B51">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r>
                    <w:rPr>
                      <w:rFonts w:hint="default" w:ascii="Times New Roman" w:hAnsi="Times New Roman" w:cs="Times New Roman"/>
                      <w:b/>
                      <w:bCs/>
                      <w:color w:val="auto"/>
                      <w:sz w:val="21"/>
                      <w:szCs w:val="21"/>
                      <w:lang w:val="en-US" w:eastAsia="zh-CN"/>
                    </w:rPr>
                    <w:t>工程建设</w:t>
                  </w:r>
                  <w:r>
                    <w:rPr>
                      <w:rFonts w:hint="default" w:ascii="Times New Roman" w:hAnsi="Times New Roman" w:cs="Times New Roman"/>
                      <w:b/>
                      <w:bCs/>
                      <w:color w:val="auto"/>
                      <w:sz w:val="21"/>
                      <w:szCs w:val="21"/>
                    </w:rPr>
                    <w:t>内容及规模</w:t>
                  </w:r>
                </w:p>
              </w:tc>
              <w:tc>
                <w:tcPr>
                  <w:tcW w:w="326" w:type="pct"/>
                  <w:tcBorders>
                    <w:tl2br w:val="nil"/>
                    <w:tr2bl w:val="nil"/>
                  </w:tcBorders>
                  <w:vAlign w:val="center"/>
                </w:tcPr>
                <w:p w14:paraId="37D267FA">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r>
                    <w:rPr>
                      <w:rFonts w:hint="default" w:ascii="Times New Roman" w:hAnsi="Times New Roman" w:eastAsia="宋体" w:cs="Times New Roman"/>
                      <w:b/>
                      <w:color w:val="auto"/>
                      <w:spacing w:val="0"/>
                      <w:position w:val="0"/>
                      <w:sz w:val="21"/>
                      <w:szCs w:val="21"/>
                    </w:rPr>
                    <w:t>备注</w:t>
                  </w:r>
                </w:p>
              </w:tc>
            </w:tr>
            <w:tr w14:paraId="6F897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65" w:type="pct"/>
                  <w:vMerge w:val="restart"/>
                  <w:tcBorders>
                    <w:tl2br w:val="nil"/>
                    <w:tr2bl w:val="nil"/>
                  </w:tcBorders>
                  <w:vAlign w:val="center"/>
                </w:tcPr>
                <w:p w14:paraId="13146F9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position w:val="0"/>
                      <w:sz w:val="21"/>
                      <w:szCs w:val="21"/>
                      <w:lang w:val="en-US" w:eastAsia="zh-CN"/>
                    </w:rPr>
                  </w:pPr>
                  <w:r>
                    <w:rPr>
                      <w:rFonts w:hint="default" w:ascii="Times New Roman" w:hAnsi="Times New Roman" w:cs="Times New Roman"/>
                      <w:b/>
                      <w:bCs w:val="0"/>
                      <w:color w:val="auto"/>
                      <w:spacing w:val="0"/>
                      <w:position w:val="0"/>
                      <w:sz w:val="21"/>
                      <w:szCs w:val="21"/>
                      <w:lang w:val="en-US" w:eastAsia="zh-CN"/>
                    </w:rPr>
                    <w:t>主体工程</w:t>
                  </w:r>
                </w:p>
              </w:tc>
              <w:tc>
                <w:tcPr>
                  <w:tcW w:w="358" w:type="pct"/>
                  <w:tcBorders>
                    <w:tl2br w:val="nil"/>
                    <w:tr2bl w:val="nil"/>
                  </w:tcBorders>
                  <w:vAlign w:val="center"/>
                </w:tcPr>
                <w:p w14:paraId="76EE3152">
                  <w:pPr>
                    <w:pStyle w:val="11"/>
                    <w:keepNext w:val="0"/>
                    <w:keepLines w:val="0"/>
                    <w:pageBreakBefore w:val="0"/>
                    <w:kinsoku/>
                    <w:wordWrap/>
                    <w:overflowPunct/>
                    <w:topLinePunct w:val="0"/>
                    <w:autoSpaceDE/>
                    <w:autoSpaceDN/>
                    <w:bidi w:val="0"/>
                    <w:adjustRightInd/>
                    <w:snapToGrid/>
                    <w:jc w:val="left"/>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生产区</w:t>
                  </w:r>
                </w:p>
              </w:tc>
              <w:tc>
                <w:tcPr>
                  <w:tcW w:w="3435" w:type="pct"/>
                  <w:gridSpan w:val="3"/>
                  <w:tcBorders>
                    <w:tl2br w:val="nil"/>
                    <w:tr2bl w:val="nil"/>
                  </w:tcBorders>
                  <w:vAlign w:val="center"/>
                </w:tcPr>
                <w:p w14:paraId="3535BC9A">
                  <w:pPr>
                    <w:pStyle w:val="11"/>
                    <w:keepNext w:val="0"/>
                    <w:keepLines w:val="0"/>
                    <w:pageBreakBefore w:val="0"/>
                    <w:kinsoku/>
                    <w:wordWrap/>
                    <w:overflowPunct/>
                    <w:topLinePunct w:val="0"/>
                    <w:autoSpaceDE/>
                    <w:autoSpaceDN/>
                    <w:bidi w:val="0"/>
                    <w:adjustRightInd/>
                    <w:snapToGrid/>
                    <w:jc w:val="left"/>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位于厂房内北侧靠东</w:t>
                  </w:r>
                  <w:r>
                    <w:rPr>
                      <w:rFonts w:hint="eastAsia" w:cs="Times New Roman"/>
                      <w:b w:val="0"/>
                      <w:bCs/>
                      <w:color w:val="auto"/>
                      <w:spacing w:val="0"/>
                      <w:position w:val="0"/>
                      <w:sz w:val="21"/>
                      <w:szCs w:val="21"/>
                      <w:lang w:val="en-US" w:eastAsia="zh-CN"/>
                    </w:rPr>
                    <w:t>侧</w:t>
                  </w:r>
                  <w:r>
                    <w:rPr>
                      <w:rFonts w:hint="default" w:ascii="Times New Roman" w:hAnsi="Times New Roman" w:cs="Times New Roman"/>
                      <w:b w:val="0"/>
                      <w:bCs/>
                      <w:color w:val="auto"/>
                      <w:spacing w:val="0"/>
                      <w:position w:val="0"/>
                      <w:sz w:val="21"/>
                      <w:szCs w:val="21"/>
                      <w:lang w:val="en-US" w:eastAsia="zh-CN"/>
                    </w:rPr>
                    <w:t>。长60m，宽34m，高8.5m。</w:t>
                  </w:r>
                  <w:r>
                    <w:rPr>
                      <w:rFonts w:hint="eastAsia" w:ascii="Times New Roman" w:hAnsi="Times New Roman" w:cs="Times New Roman"/>
                      <w:b w:val="0"/>
                      <w:bCs/>
                      <w:color w:val="auto"/>
                      <w:spacing w:val="0"/>
                      <w:position w:val="0"/>
                      <w:sz w:val="21"/>
                      <w:szCs w:val="21"/>
                      <w:lang w:val="en-US" w:eastAsia="zh-CN"/>
                    </w:rPr>
                    <w:t>主要生产工序</w:t>
                  </w:r>
                  <w:r>
                    <w:rPr>
                      <w:rFonts w:hint="default" w:ascii="Times New Roman" w:hAnsi="Times New Roman" w:cs="Times New Roman"/>
                      <w:b w:val="0"/>
                      <w:bCs/>
                      <w:color w:val="auto"/>
                      <w:spacing w:val="0"/>
                      <w:position w:val="0"/>
                      <w:sz w:val="21"/>
                      <w:szCs w:val="21"/>
                      <w:lang w:val="en-US" w:eastAsia="zh-CN"/>
                    </w:rPr>
                    <w:t>分布有</w:t>
                  </w:r>
                  <w:r>
                    <w:rPr>
                      <w:rFonts w:hint="eastAsia" w:cs="Times New Roman"/>
                      <w:b w:val="0"/>
                      <w:bCs/>
                      <w:color w:val="auto"/>
                      <w:spacing w:val="0"/>
                      <w:position w:val="0"/>
                      <w:sz w:val="21"/>
                      <w:szCs w:val="21"/>
                      <w:lang w:val="en-US" w:eastAsia="zh-CN"/>
                    </w:rPr>
                    <w:t>拆框区、1#热解分选生产区、2#热解分选生产区</w:t>
                  </w:r>
                  <w:r>
                    <w:rPr>
                      <w:rFonts w:hint="default" w:ascii="Times New Roman" w:hAnsi="Times New Roman" w:cs="Times New Roman"/>
                      <w:b w:val="0"/>
                      <w:bCs/>
                      <w:color w:val="auto"/>
                      <w:spacing w:val="0"/>
                      <w:position w:val="0"/>
                      <w:sz w:val="21"/>
                      <w:szCs w:val="21"/>
                      <w:lang w:val="en-US" w:eastAsia="zh-CN"/>
                    </w:rPr>
                    <w:t>。</w:t>
                  </w:r>
                </w:p>
              </w:tc>
              <w:tc>
                <w:tcPr>
                  <w:tcW w:w="514" w:type="pct"/>
                  <w:vMerge w:val="restart"/>
                  <w:tcBorders>
                    <w:tl2br w:val="nil"/>
                    <w:tr2bl w:val="nil"/>
                  </w:tcBorders>
                  <w:vAlign w:val="center"/>
                </w:tcPr>
                <w:p w14:paraId="3858D748">
                  <w:pPr>
                    <w:pStyle w:val="45"/>
                    <w:ind w:left="0" w:leftChars="0"/>
                    <w:rPr>
                      <w:rFonts w:hint="default"/>
                      <w:lang w:val="en-US" w:eastAsia="zh-CN"/>
                    </w:rPr>
                  </w:pPr>
                  <w:r>
                    <w:rPr>
                      <w:rFonts w:hint="default"/>
                      <w:lang w:val="en-US" w:eastAsia="zh-CN"/>
                    </w:rPr>
                    <w:t>7#厂房：钢结构厂房，79m×60m×8.5m，火灾危险性等级丙类</w:t>
                  </w:r>
                  <w:r>
                    <w:rPr>
                      <w:rFonts w:hint="eastAsia"/>
                      <w:lang w:val="en-US" w:eastAsia="zh-CN"/>
                    </w:rPr>
                    <w:t>，</w:t>
                  </w:r>
                  <w:r>
                    <w:rPr>
                      <w:rFonts w:hint="default"/>
                      <w:lang w:val="en-US" w:eastAsia="zh-CN"/>
                    </w:rPr>
                    <w:t>年处理3万吨废旧光伏组件</w:t>
                  </w:r>
                  <w:r>
                    <w:rPr>
                      <w:rFonts w:hint="eastAsia"/>
                      <w:lang w:val="en-US" w:eastAsia="zh-CN"/>
                    </w:rPr>
                    <w:t>。</w:t>
                  </w:r>
                </w:p>
              </w:tc>
              <w:tc>
                <w:tcPr>
                  <w:tcW w:w="326" w:type="pct"/>
                  <w:tcBorders>
                    <w:tl2br w:val="nil"/>
                    <w:tr2bl w:val="nil"/>
                  </w:tcBorders>
                  <w:vAlign w:val="center"/>
                </w:tcPr>
                <w:p w14:paraId="341A2684">
                  <w:pPr>
                    <w:pStyle w:val="45"/>
                    <w:ind w:left="0" w:leftChars="0"/>
                    <w:rPr>
                      <w:rFonts w:hint="default"/>
                      <w:lang w:val="en-US" w:eastAsia="zh-CN"/>
                    </w:rPr>
                  </w:pPr>
                  <w:r>
                    <w:rPr>
                      <w:rFonts w:hint="default"/>
                      <w:lang w:val="en-US" w:eastAsia="zh-CN"/>
                    </w:rPr>
                    <w:t>新建</w:t>
                  </w:r>
                </w:p>
              </w:tc>
            </w:tr>
            <w:tr w14:paraId="2EA11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5" w:type="pct"/>
                  <w:vMerge w:val="continue"/>
                  <w:tcBorders>
                    <w:tl2br w:val="nil"/>
                    <w:tr2bl w:val="nil"/>
                  </w:tcBorders>
                  <w:vAlign w:val="center"/>
                </w:tcPr>
                <w:p w14:paraId="06BEC8E3">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position w:val="0"/>
                      <w:sz w:val="21"/>
                      <w:szCs w:val="21"/>
                    </w:rPr>
                  </w:pPr>
                </w:p>
              </w:tc>
              <w:tc>
                <w:tcPr>
                  <w:tcW w:w="358" w:type="pct"/>
                  <w:tcBorders>
                    <w:tl2br w:val="nil"/>
                    <w:tr2bl w:val="nil"/>
                  </w:tcBorders>
                  <w:vAlign w:val="center"/>
                </w:tcPr>
                <w:p w14:paraId="7F57D322">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eastAsia" w:cs="Times New Roman"/>
                      <w:b w:val="0"/>
                      <w:bCs/>
                      <w:color w:val="auto"/>
                      <w:spacing w:val="0"/>
                      <w:position w:val="0"/>
                      <w:sz w:val="21"/>
                      <w:szCs w:val="21"/>
                      <w:lang w:val="en-US" w:eastAsia="zh-CN"/>
                    </w:rPr>
                    <w:t>拆框区</w:t>
                  </w:r>
                </w:p>
              </w:tc>
              <w:tc>
                <w:tcPr>
                  <w:tcW w:w="3435" w:type="pct"/>
                  <w:gridSpan w:val="3"/>
                  <w:tcBorders>
                    <w:tl2br w:val="nil"/>
                    <w:tr2bl w:val="nil"/>
                  </w:tcBorders>
                  <w:vAlign w:val="center"/>
                </w:tcPr>
                <w:p w14:paraId="2B0AED45">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cs="Times New Roman"/>
                      <w:b w:val="0"/>
                      <w:bCs/>
                      <w:color w:val="auto"/>
                      <w:spacing w:val="0"/>
                      <w:position w:val="0"/>
                      <w:sz w:val="21"/>
                      <w:szCs w:val="21"/>
                      <w:lang w:val="en-US" w:eastAsia="zh-CN"/>
                    </w:rPr>
                    <w:t>位于生产车间内西南角，布置2台单玻拆框机、2台双玻拆框机、1台撕碎机、1台铜米机器，年拆解废旧光伏组件3万吨，并对拆除接线盒进行撕碎、分选。</w:t>
                  </w:r>
                </w:p>
              </w:tc>
              <w:tc>
                <w:tcPr>
                  <w:tcW w:w="514" w:type="pct"/>
                  <w:vMerge w:val="continue"/>
                  <w:tcBorders>
                    <w:tl2br w:val="nil"/>
                    <w:tr2bl w:val="nil"/>
                  </w:tcBorders>
                  <w:vAlign w:val="center"/>
                </w:tcPr>
                <w:p w14:paraId="7CC39E69">
                  <w:pPr>
                    <w:pStyle w:val="45"/>
                    <w:ind w:left="0" w:leftChars="0"/>
                    <w:rPr>
                      <w:rFonts w:hint="eastAsia"/>
                      <w:lang w:val="en-US" w:eastAsia="zh-CN"/>
                    </w:rPr>
                  </w:pPr>
                </w:p>
              </w:tc>
              <w:tc>
                <w:tcPr>
                  <w:tcW w:w="326" w:type="pct"/>
                  <w:tcBorders>
                    <w:tl2br w:val="nil"/>
                    <w:tr2bl w:val="nil"/>
                  </w:tcBorders>
                  <w:vAlign w:val="center"/>
                </w:tcPr>
                <w:p w14:paraId="68BE5F3F">
                  <w:pPr>
                    <w:pStyle w:val="45"/>
                    <w:ind w:left="0" w:leftChars="0"/>
                    <w:rPr>
                      <w:rFonts w:hint="default"/>
                      <w:lang w:val="en-US" w:eastAsia="zh-CN"/>
                    </w:rPr>
                  </w:pPr>
                  <w:r>
                    <w:rPr>
                      <w:rFonts w:hint="default"/>
                      <w:lang w:val="en-US" w:eastAsia="zh-CN"/>
                    </w:rPr>
                    <w:t>新建</w:t>
                  </w:r>
                </w:p>
              </w:tc>
            </w:tr>
            <w:tr w14:paraId="25B0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365" w:type="pct"/>
                  <w:vMerge w:val="continue"/>
                  <w:tcBorders>
                    <w:tl2br w:val="nil"/>
                    <w:tr2bl w:val="nil"/>
                  </w:tcBorders>
                  <w:vAlign w:val="center"/>
                </w:tcPr>
                <w:p w14:paraId="6996084D">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position w:val="0"/>
                      <w:sz w:val="21"/>
                      <w:szCs w:val="21"/>
                    </w:rPr>
                  </w:pPr>
                </w:p>
              </w:tc>
              <w:tc>
                <w:tcPr>
                  <w:tcW w:w="358" w:type="pct"/>
                  <w:tcBorders>
                    <w:tl2br w:val="nil"/>
                    <w:tr2bl w:val="nil"/>
                  </w:tcBorders>
                  <w:vAlign w:val="center"/>
                </w:tcPr>
                <w:p w14:paraId="568452D1">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position w:val="0"/>
                      <w:sz w:val="21"/>
                      <w:szCs w:val="21"/>
                      <w:lang w:val="en-US" w:eastAsia="zh-CN"/>
                    </w:rPr>
                  </w:pPr>
                  <w:r>
                    <w:rPr>
                      <w:rFonts w:hint="eastAsia" w:cs="Times New Roman"/>
                      <w:b w:val="0"/>
                      <w:bCs/>
                      <w:color w:val="auto"/>
                      <w:spacing w:val="0"/>
                      <w:position w:val="0"/>
                      <w:sz w:val="21"/>
                      <w:szCs w:val="21"/>
                      <w:lang w:val="en-US" w:eastAsia="zh-CN"/>
                    </w:rPr>
                    <w:t>1#热解分选生产区</w:t>
                  </w:r>
                </w:p>
              </w:tc>
              <w:tc>
                <w:tcPr>
                  <w:tcW w:w="3435" w:type="pct"/>
                  <w:gridSpan w:val="3"/>
                  <w:tcBorders>
                    <w:tl2br w:val="nil"/>
                    <w:tr2bl w:val="nil"/>
                  </w:tcBorders>
                  <w:vAlign w:val="center"/>
                </w:tcPr>
                <w:p w14:paraId="53AC8ADD">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eastAsia="宋体"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位于生产车间内南部，占地面积约1500m</w:t>
                  </w:r>
                  <w:r>
                    <w:rPr>
                      <w:rFonts w:hint="eastAsia" w:ascii="Times New Roman" w:hAnsi="Times New Roman" w:cs="Times New Roman"/>
                      <w:b w:val="0"/>
                      <w:bCs/>
                      <w:color w:val="auto"/>
                      <w:spacing w:val="0"/>
                      <w:position w:val="0"/>
                      <w:sz w:val="21"/>
                      <w:szCs w:val="21"/>
                      <w:vertAlign w:val="superscript"/>
                      <w:lang w:val="en-US" w:eastAsia="zh-CN"/>
                    </w:rPr>
                    <w:t>2</w:t>
                  </w:r>
                  <w:r>
                    <w:rPr>
                      <w:rFonts w:hint="eastAsia" w:ascii="Times New Roman" w:hAnsi="Times New Roman" w:cs="Times New Roman"/>
                      <w:b w:val="0"/>
                      <w:bCs/>
                      <w:color w:val="auto"/>
                      <w:spacing w:val="0"/>
                      <w:position w:val="0"/>
                      <w:sz w:val="21"/>
                      <w:szCs w:val="21"/>
                      <w:vertAlign w:val="baseline"/>
                      <w:lang w:val="en-US" w:eastAsia="zh-CN"/>
                    </w:rPr>
                    <w:t>，左边区</w:t>
                  </w:r>
                  <w:r>
                    <w:rPr>
                      <w:rFonts w:hint="default" w:ascii="Times New Roman" w:hAnsi="Times New Roman" w:cs="Times New Roman"/>
                      <w:b w:val="0"/>
                      <w:bCs/>
                      <w:color w:val="auto"/>
                      <w:spacing w:val="0"/>
                      <w:position w:val="0"/>
                      <w:sz w:val="21"/>
                      <w:szCs w:val="21"/>
                      <w:lang w:val="en-US" w:eastAsia="zh-CN"/>
                    </w:rPr>
                    <w:t>南北方向并列4条热解线，每条线主要由1台热解炉、1台</w:t>
                  </w:r>
                  <w:r>
                    <w:rPr>
                      <w:rFonts w:hint="default" w:ascii="Times New Roman" w:hAnsi="Times New Roman" w:cs="Times New Roman"/>
                      <w:spacing w:val="-11"/>
                      <w:sz w:val="21"/>
                      <w:szCs w:val="21"/>
                    </w:rPr>
                    <w:t>立式分油器</w:t>
                  </w:r>
                  <w:r>
                    <w:rPr>
                      <w:rFonts w:hint="default" w:ascii="Times New Roman" w:hAnsi="Times New Roman" w:cs="Times New Roman"/>
                      <w:spacing w:val="-11"/>
                      <w:sz w:val="21"/>
                      <w:szCs w:val="21"/>
                      <w:lang w:eastAsia="zh-CN"/>
                    </w:rPr>
                    <w:t>、</w:t>
                  </w:r>
                  <w:r>
                    <w:rPr>
                      <w:rFonts w:hint="default" w:ascii="Times New Roman" w:hAnsi="Times New Roman" w:cs="Times New Roman"/>
                      <w:spacing w:val="-11"/>
                      <w:sz w:val="21"/>
                      <w:szCs w:val="21"/>
                      <w:lang w:val="en-US" w:eastAsia="zh-CN"/>
                    </w:rPr>
                    <w:t>1</w:t>
                  </w:r>
                  <w:r>
                    <w:rPr>
                      <w:rFonts w:hint="default" w:ascii="Times New Roman" w:hAnsi="Times New Roman" w:cs="Times New Roman"/>
                      <w:b w:val="0"/>
                      <w:bCs/>
                      <w:color w:val="auto"/>
                      <w:spacing w:val="0"/>
                      <w:position w:val="0"/>
                      <w:sz w:val="21"/>
                      <w:szCs w:val="21"/>
                      <w:lang w:val="en-US" w:eastAsia="zh-CN"/>
                    </w:rPr>
                    <w:t>个渣油罐、</w:t>
                  </w:r>
                  <w:r>
                    <w:rPr>
                      <w:rFonts w:hint="eastAsia" w:cs="Times New Roman"/>
                      <w:b w:val="0"/>
                      <w:bCs/>
                      <w:color w:val="auto"/>
                      <w:spacing w:val="0"/>
                      <w:position w:val="0"/>
                      <w:sz w:val="21"/>
                      <w:szCs w:val="21"/>
                      <w:lang w:val="en-US" w:eastAsia="zh-CN"/>
                    </w:rPr>
                    <w:t>台</w:t>
                  </w:r>
                  <w:r>
                    <w:rPr>
                      <w:rFonts w:hint="default" w:ascii="Times New Roman" w:hAnsi="Times New Roman" w:cs="Times New Roman"/>
                      <w:b w:val="0"/>
                      <w:bCs/>
                      <w:color w:val="auto"/>
                      <w:spacing w:val="0"/>
                      <w:position w:val="0"/>
                      <w:sz w:val="21"/>
                      <w:szCs w:val="21"/>
                      <w:lang w:val="en-US" w:eastAsia="zh-CN"/>
                    </w:rPr>
                    <w:t>个</w:t>
                  </w:r>
                  <w:r>
                    <w:rPr>
                      <w:rFonts w:hint="default" w:ascii="Times New Roman" w:hAnsi="Times New Roman" w:cs="Times New Roman"/>
                      <w:sz w:val="21"/>
                      <w:szCs w:val="21"/>
                    </w:rPr>
                    <w:t>卧式冷凝器</w:t>
                  </w:r>
                  <w:r>
                    <w:rPr>
                      <w:rFonts w:hint="eastAsia" w:cs="Times New Roman"/>
                      <w:sz w:val="21"/>
                      <w:szCs w:val="21"/>
                      <w:lang w:eastAsia="zh-CN"/>
                    </w:rPr>
                    <w:t>（</w:t>
                  </w:r>
                  <w:r>
                    <w:rPr>
                      <w:rFonts w:hint="default" w:ascii="Times New Roman" w:hAnsi="Times New Roman" w:cs="Times New Roman"/>
                      <w:sz w:val="21"/>
                      <w:szCs w:val="21"/>
                      <w:lang w:val="en-US" w:eastAsia="zh-CN"/>
                    </w:rPr>
                    <w:t>水冷</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1个</w:t>
                  </w:r>
                  <w:r>
                    <w:rPr>
                      <w:rFonts w:hint="default" w:ascii="Times New Roman" w:hAnsi="Times New Roman" w:cs="Times New Roman"/>
                      <w:sz w:val="21"/>
                      <w:szCs w:val="21"/>
                    </w:rPr>
                    <w:t>油品中转罐</w:t>
                  </w:r>
                  <w:r>
                    <w:rPr>
                      <w:rFonts w:hint="default" w:ascii="Times New Roman" w:hAnsi="Times New Roman" w:cs="Times New Roman"/>
                      <w:sz w:val="21"/>
                      <w:szCs w:val="21"/>
                      <w:lang w:val="en-US" w:eastAsia="zh-CN"/>
                    </w:rPr>
                    <w:t>组成</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年热解光伏板</w:t>
                  </w:r>
                  <w:r>
                    <w:rPr>
                      <w:rFonts w:hint="eastAsia" w:ascii="Times New Roman" w:hAnsi="Times New Roman" w:cs="Times New Roman"/>
                      <w:sz w:val="21"/>
                      <w:szCs w:val="21"/>
                      <w:lang w:val="en-US" w:eastAsia="zh-CN"/>
                    </w:rPr>
                    <w:t>13305</w:t>
                  </w:r>
                  <w:r>
                    <w:rPr>
                      <w:rFonts w:hint="default" w:ascii="Times New Roman" w:hAnsi="Times New Roman" w:cs="Times New Roman"/>
                      <w:sz w:val="21"/>
                      <w:szCs w:val="21"/>
                      <w:lang w:val="en-US" w:eastAsia="zh-CN"/>
                    </w:rPr>
                    <w:t>t/a</w:t>
                  </w:r>
                  <w:r>
                    <w:rPr>
                      <w:rFonts w:hint="eastAsia" w:ascii="Times New Roman" w:hAnsi="Times New Roman" w:cs="Times New Roman"/>
                      <w:sz w:val="21"/>
                      <w:szCs w:val="21"/>
                      <w:lang w:val="en-US" w:eastAsia="zh-CN"/>
                    </w:rPr>
                    <w:t>；右边区布置有振动筛、旋风分离器、风选机、色选机、清洗炉、洗砂机、</w:t>
                  </w:r>
                  <w:r>
                    <w:rPr>
                      <w:rFonts w:hint="default" w:ascii="Times New Roman" w:hAnsi="Times New Roman" w:cs="Times New Roman"/>
                      <w:sz w:val="21"/>
                      <w:szCs w:val="21"/>
                      <w:lang w:val="en-US" w:eastAsia="zh-CN"/>
                    </w:rPr>
                    <w:t>烘干炉</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小直线筛</w:t>
                  </w:r>
                  <w:r>
                    <w:rPr>
                      <w:rFonts w:hint="eastAsia" w:ascii="Times New Roman" w:hAnsi="Times New Roman" w:cs="Times New Roman"/>
                      <w:sz w:val="21"/>
                      <w:szCs w:val="21"/>
                      <w:lang w:val="en-US" w:eastAsia="zh-CN"/>
                    </w:rPr>
                    <w:t>等设备，对热解炉渣进行分选和处理。</w:t>
                  </w:r>
                </w:p>
              </w:tc>
              <w:tc>
                <w:tcPr>
                  <w:tcW w:w="514" w:type="pct"/>
                  <w:vMerge w:val="continue"/>
                  <w:tcBorders>
                    <w:tl2br w:val="nil"/>
                    <w:tr2bl w:val="nil"/>
                  </w:tcBorders>
                  <w:vAlign w:val="center"/>
                </w:tcPr>
                <w:p w14:paraId="0C81EB4D">
                  <w:pPr>
                    <w:pStyle w:val="45"/>
                    <w:ind w:left="0" w:leftChars="0"/>
                    <w:rPr>
                      <w:rFonts w:hint="eastAsia"/>
                      <w:lang w:val="en-US" w:eastAsia="zh-CN"/>
                    </w:rPr>
                  </w:pPr>
                </w:p>
              </w:tc>
              <w:tc>
                <w:tcPr>
                  <w:tcW w:w="326" w:type="pct"/>
                  <w:tcBorders>
                    <w:tl2br w:val="nil"/>
                    <w:tr2bl w:val="nil"/>
                  </w:tcBorders>
                  <w:vAlign w:val="center"/>
                </w:tcPr>
                <w:p w14:paraId="7C49F71A">
                  <w:pPr>
                    <w:pStyle w:val="45"/>
                    <w:ind w:left="0" w:leftChars="0"/>
                    <w:rPr>
                      <w:rFonts w:hint="default"/>
                    </w:rPr>
                  </w:pPr>
                  <w:r>
                    <w:rPr>
                      <w:rFonts w:hint="default"/>
                      <w:lang w:val="en-US" w:eastAsia="zh-CN"/>
                    </w:rPr>
                    <w:t>新建</w:t>
                  </w:r>
                </w:p>
              </w:tc>
            </w:tr>
            <w:tr w14:paraId="770A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365" w:type="pct"/>
                  <w:vMerge w:val="continue"/>
                  <w:tcBorders>
                    <w:tl2br w:val="nil"/>
                    <w:tr2bl w:val="nil"/>
                  </w:tcBorders>
                  <w:vAlign w:val="center"/>
                </w:tcPr>
                <w:p w14:paraId="2BA03482">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position w:val="0"/>
                      <w:sz w:val="21"/>
                      <w:szCs w:val="21"/>
                    </w:rPr>
                  </w:pPr>
                </w:p>
              </w:tc>
              <w:tc>
                <w:tcPr>
                  <w:tcW w:w="358" w:type="pct"/>
                  <w:tcBorders>
                    <w:tl2br w:val="nil"/>
                    <w:tr2bl w:val="nil"/>
                  </w:tcBorders>
                  <w:shd w:val="clear" w:color="auto" w:fill="auto"/>
                  <w:vAlign w:val="center"/>
                </w:tcPr>
                <w:p w14:paraId="58D82108">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kern w:val="2"/>
                      <w:position w:val="0"/>
                      <w:sz w:val="21"/>
                      <w:szCs w:val="21"/>
                      <w:lang w:val="en-US" w:eastAsia="zh-CN" w:bidi="ar-SA"/>
                    </w:rPr>
                  </w:pPr>
                  <w:r>
                    <w:rPr>
                      <w:rFonts w:hint="eastAsia" w:cs="Times New Roman"/>
                      <w:b w:val="0"/>
                      <w:bCs/>
                      <w:color w:val="auto"/>
                      <w:spacing w:val="0"/>
                      <w:position w:val="0"/>
                      <w:sz w:val="21"/>
                      <w:szCs w:val="21"/>
                      <w:lang w:val="en-US" w:eastAsia="zh-CN"/>
                    </w:rPr>
                    <w:t>2#热解分选生产区</w:t>
                  </w:r>
                </w:p>
              </w:tc>
              <w:tc>
                <w:tcPr>
                  <w:tcW w:w="3435" w:type="pct"/>
                  <w:gridSpan w:val="3"/>
                  <w:tcBorders>
                    <w:tl2br w:val="nil"/>
                    <w:tr2bl w:val="nil"/>
                  </w:tcBorders>
                  <w:shd w:val="clear" w:color="auto" w:fill="auto"/>
                  <w:vAlign w:val="center"/>
                </w:tcPr>
                <w:p w14:paraId="06D1AE4F">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eastAsia="宋体" w:cs="Times New Roman"/>
                      <w:b w:val="0"/>
                      <w:bCs/>
                      <w:color w:val="auto"/>
                      <w:spacing w:val="0"/>
                      <w:kern w:val="2"/>
                      <w:position w:val="0"/>
                      <w:sz w:val="21"/>
                      <w:szCs w:val="21"/>
                      <w:lang w:val="en-US" w:eastAsia="zh-CN" w:bidi="ar-SA"/>
                    </w:rPr>
                  </w:pPr>
                  <w:r>
                    <w:rPr>
                      <w:rFonts w:hint="eastAsia" w:ascii="Times New Roman" w:hAnsi="Times New Roman" w:cs="Times New Roman"/>
                      <w:b w:val="0"/>
                      <w:bCs/>
                      <w:color w:val="auto"/>
                      <w:spacing w:val="0"/>
                      <w:position w:val="0"/>
                      <w:sz w:val="21"/>
                      <w:szCs w:val="21"/>
                      <w:lang w:val="en-US" w:eastAsia="zh-CN"/>
                    </w:rPr>
                    <w:t>位于生产车间内北部，占地面积约1500m</w:t>
                  </w:r>
                  <w:r>
                    <w:rPr>
                      <w:rFonts w:hint="eastAsia" w:ascii="Times New Roman" w:hAnsi="Times New Roman" w:cs="Times New Roman"/>
                      <w:b w:val="0"/>
                      <w:bCs/>
                      <w:color w:val="auto"/>
                      <w:spacing w:val="0"/>
                      <w:position w:val="0"/>
                      <w:sz w:val="21"/>
                      <w:szCs w:val="21"/>
                      <w:vertAlign w:val="superscript"/>
                      <w:lang w:val="en-US" w:eastAsia="zh-CN"/>
                    </w:rPr>
                    <w:t>2</w:t>
                  </w:r>
                  <w:r>
                    <w:rPr>
                      <w:rFonts w:hint="eastAsia" w:ascii="Times New Roman" w:hAnsi="Times New Roman" w:cs="Times New Roman"/>
                      <w:b w:val="0"/>
                      <w:bCs/>
                      <w:color w:val="auto"/>
                      <w:spacing w:val="0"/>
                      <w:position w:val="0"/>
                      <w:sz w:val="21"/>
                      <w:szCs w:val="21"/>
                      <w:vertAlign w:val="baseline"/>
                      <w:lang w:val="en-US" w:eastAsia="zh-CN"/>
                    </w:rPr>
                    <w:t>，左边区</w:t>
                  </w:r>
                  <w:r>
                    <w:rPr>
                      <w:rFonts w:hint="default" w:ascii="Times New Roman" w:hAnsi="Times New Roman" w:cs="Times New Roman"/>
                      <w:b w:val="0"/>
                      <w:bCs/>
                      <w:color w:val="auto"/>
                      <w:spacing w:val="0"/>
                      <w:position w:val="0"/>
                      <w:sz w:val="21"/>
                      <w:szCs w:val="21"/>
                      <w:lang w:val="en-US" w:eastAsia="zh-CN"/>
                    </w:rPr>
                    <w:t>南北方向并列4条热解线，每条线主要由1台热解炉、1台</w:t>
                  </w:r>
                  <w:r>
                    <w:rPr>
                      <w:rFonts w:hint="default" w:ascii="Times New Roman" w:hAnsi="Times New Roman" w:cs="Times New Roman"/>
                      <w:spacing w:val="-11"/>
                      <w:sz w:val="21"/>
                      <w:szCs w:val="21"/>
                    </w:rPr>
                    <w:t>立式分油器</w:t>
                  </w:r>
                  <w:r>
                    <w:rPr>
                      <w:rFonts w:hint="default" w:ascii="Times New Roman" w:hAnsi="Times New Roman" w:cs="Times New Roman"/>
                      <w:spacing w:val="-11"/>
                      <w:sz w:val="21"/>
                      <w:szCs w:val="21"/>
                      <w:lang w:eastAsia="zh-CN"/>
                    </w:rPr>
                    <w:t>、</w:t>
                  </w:r>
                  <w:r>
                    <w:rPr>
                      <w:rFonts w:hint="default" w:ascii="Times New Roman" w:hAnsi="Times New Roman" w:cs="Times New Roman"/>
                      <w:spacing w:val="-11"/>
                      <w:sz w:val="21"/>
                      <w:szCs w:val="21"/>
                      <w:lang w:val="en-US" w:eastAsia="zh-CN"/>
                    </w:rPr>
                    <w:t>1</w:t>
                  </w:r>
                  <w:r>
                    <w:rPr>
                      <w:rFonts w:hint="default" w:ascii="Times New Roman" w:hAnsi="Times New Roman" w:cs="Times New Roman"/>
                      <w:b w:val="0"/>
                      <w:bCs/>
                      <w:color w:val="auto"/>
                      <w:spacing w:val="0"/>
                      <w:position w:val="0"/>
                      <w:sz w:val="21"/>
                      <w:szCs w:val="21"/>
                      <w:lang w:val="en-US" w:eastAsia="zh-CN"/>
                    </w:rPr>
                    <w:t>个渣油罐、</w:t>
                  </w:r>
                  <w:r>
                    <w:rPr>
                      <w:rFonts w:hint="eastAsia" w:cs="Times New Roman"/>
                      <w:b w:val="0"/>
                      <w:bCs/>
                      <w:color w:val="auto"/>
                      <w:spacing w:val="0"/>
                      <w:position w:val="0"/>
                      <w:sz w:val="21"/>
                      <w:szCs w:val="21"/>
                      <w:lang w:val="en-US" w:eastAsia="zh-CN"/>
                    </w:rPr>
                    <w:t>台</w:t>
                  </w:r>
                  <w:r>
                    <w:rPr>
                      <w:rFonts w:hint="default" w:ascii="Times New Roman" w:hAnsi="Times New Roman" w:cs="Times New Roman"/>
                      <w:b w:val="0"/>
                      <w:bCs/>
                      <w:color w:val="auto"/>
                      <w:spacing w:val="0"/>
                      <w:position w:val="0"/>
                      <w:sz w:val="21"/>
                      <w:szCs w:val="21"/>
                      <w:lang w:val="en-US" w:eastAsia="zh-CN"/>
                    </w:rPr>
                    <w:t>个</w:t>
                  </w:r>
                  <w:r>
                    <w:rPr>
                      <w:rFonts w:hint="default" w:ascii="Times New Roman" w:hAnsi="Times New Roman" w:cs="Times New Roman"/>
                      <w:sz w:val="21"/>
                      <w:szCs w:val="21"/>
                    </w:rPr>
                    <w:t>卧式冷凝器</w:t>
                  </w:r>
                  <w:r>
                    <w:rPr>
                      <w:rFonts w:hint="eastAsia" w:cs="Times New Roman"/>
                      <w:sz w:val="21"/>
                      <w:szCs w:val="21"/>
                      <w:lang w:eastAsia="zh-CN"/>
                    </w:rPr>
                    <w:t>（</w:t>
                  </w:r>
                  <w:r>
                    <w:rPr>
                      <w:rFonts w:hint="default" w:ascii="Times New Roman" w:hAnsi="Times New Roman" w:cs="Times New Roman"/>
                      <w:sz w:val="21"/>
                      <w:szCs w:val="21"/>
                      <w:lang w:val="en-US" w:eastAsia="zh-CN"/>
                    </w:rPr>
                    <w:t>水冷</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1个</w:t>
                  </w:r>
                  <w:r>
                    <w:rPr>
                      <w:rFonts w:hint="default" w:ascii="Times New Roman" w:hAnsi="Times New Roman" w:cs="Times New Roman"/>
                      <w:sz w:val="21"/>
                      <w:szCs w:val="21"/>
                    </w:rPr>
                    <w:t>油品中转罐</w:t>
                  </w:r>
                  <w:r>
                    <w:rPr>
                      <w:rFonts w:hint="default" w:ascii="Times New Roman" w:hAnsi="Times New Roman" w:cs="Times New Roman"/>
                      <w:sz w:val="21"/>
                      <w:szCs w:val="21"/>
                      <w:lang w:val="en-US" w:eastAsia="zh-CN"/>
                    </w:rPr>
                    <w:t>组成</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年热解光伏板</w:t>
                  </w:r>
                  <w:r>
                    <w:rPr>
                      <w:rFonts w:hint="eastAsia" w:ascii="Times New Roman" w:hAnsi="Times New Roman" w:cs="Times New Roman"/>
                      <w:sz w:val="21"/>
                      <w:szCs w:val="21"/>
                      <w:lang w:val="en-US" w:eastAsia="zh-CN"/>
                    </w:rPr>
                    <w:t>13305</w:t>
                  </w:r>
                  <w:r>
                    <w:rPr>
                      <w:rFonts w:hint="default" w:ascii="Times New Roman" w:hAnsi="Times New Roman" w:cs="Times New Roman"/>
                      <w:sz w:val="21"/>
                      <w:szCs w:val="21"/>
                      <w:lang w:val="en-US" w:eastAsia="zh-CN"/>
                    </w:rPr>
                    <w:t>t/a</w:t>
                  </w:r>
                  <w:r>
                    <w:rPr>
                      <w:rFonts w:hint="eastAsia" w:ascii="Times New Roman" w:hAnsi="Times New Roman" w:cs="Times New Roman"/>
                      <w:sz w:val="21"/>
                      <w:szCs w:val="21"/>
                      <w:lang w:val="en-US" w:eastAsia="zh-CN"/>
                    </w:rPr>
                    <w:t>；右边区布置有振动筛、旋风分离器、风选机、色选机、清洗炉、洗砂机、</w:t>
                  </w:r>
                  <w:r>
                    <w:rPr>
                      <w:rFonts w:hint="default" w:ascii="Times New Roman" w:hAnsi="Times New Roman" w:cs="Times New Roman"/>
                      <w:sz w:val="21"/>
                      <w:szCs w:val="21"/>
                      <w:lang w:val="en-US" w:eastAsia="zh-CN"/>
                    </w:rPr>
                    <w:t>烘干炉</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小直线筛</w:t>
                  </w:r>
                  <w:r>
                    <w:rPr>
                      <w:rFonts w:hint="eastAsia" w:ascii="Times New Roman" w:hAnsi="Times New Roman" w:cs="Times New Roman"/>
                      <w:sz w:val="21"/>
                      <w:szCs w:val="21"/>
                      <w:lang w:val="en-US" w:eastAsia="zh-CN"/>
                    </w:rPr>
                    <w:t>等设备，对热解炉渣进行分选和处理。</w:t>
                  </w:r>
                </w:p>
              </w:tc>
              <w:tc>
                <w:tcPr>
                  <w:tcW w:w="514" w:type="pct"/>
                  <w:vMerge w:val="continue"/>
                  <w:tcBorders>
                    <w:tl2br w:val="nil"/>
                    <w:tr2bl w:val="nil"/>
                  </w:tcBorders>
                  <w:shd w:val="clear" w:color="auto" w:fill="auto"/>
                  <w:vAlign w:val="center"/>
                </w:tcPr>
                <w:p w14:paraId="0389CE1E">
                  <w:pPr>
                    <w:pStyle w:val="45"/>
                    <w:ind w:left="0" w:leftChars="0"/>
                    <w:rPr>
                      <w:rFonts w:hint="eastAsia"/>
                      <w:lang w:val="en-US" w:eastAsia="zh-CN"/>
                    </w:rPr>
                  </w:pPr>
                </w:p>
              </w:tc>
              <w:tc>
                <w:tcPr>
                  <w:tcW w:w="326" w:type="pct"/>
                  <w:tcBorders>
                    <w:tl2br w:val="nil"/>
                    <w:tr2bl w:val="nil"/>
                  </w:tcBorders>
                  <w:vAlign w:val="center"/>
                </w:tcPr>
                <w:p w14:paraId="6A7D9394">
                  <w:pPr>
                    <w:pStyle w:val="45"/>
                    <w:ind w:left="0" w:leftChars="0"/>
                    <w:rPr>
                      <w:rFonts w:hint="default"/>
                      <w:lang w:val="en-US" w:eastAsia="zh-CN"/>
                    </w:rPr>
                  </w:pPr>
                  <w:r>
                    <w:rPr>
                      <w:rFonts w:hint="default"/>
                      <w:lang w:val="en-US" w:eastAsia="zh-CN"/>
                    </w:rPr>
                    <w:t>新建</w:t>
                  </w:r>
                </w:p>
              </w:tc>
            </w:tr>
            <w:tr w14:paraId="23555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365" w:type="pct"/>
                  <w:vMerge w:val="restart"/>
                  <w:tcBorders>
                    <w:tl2br w:val="nil"/>
                    <w:tr2bl w:val="nil"/>
                  </w:tcBorders>
                  <w:vAlign w:val="center"/>
                </w:tcPr>
                <w:p w14:paraId="0459DB08">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position w:val="0"/>
                      <w:sz w:val="21"/>
                      <w:szCs w:val="21"/>
                      <w:lang w:val="en-US" w:eastAsia="zh-CN"/>
                    </w:rPr>
                  </w:pPr>
                  <w:r>
                    <w:rPr>
                      <w:rFonts w:hint="default" w:ascii="Times New Roman" w:hAnsi="Times New Roman" w:cs="Times New Roman"/>
                      <w:b/>
                      <w:bCs w:val="0"/>
                      <w:color w:val="auto"/>
                      <w:spacing w:val="0"/>
                      <w:position w:val="0"/>
                      <w:sz w:val="21"/>
                      <w:szCs w:val="21"/>
                      <w:lang w:val="en-US" w:eastAsia="zh-CN"/>
                    </w:rPr>
                    <w:t>储运工程</w:t>
                  </w:r>
                </w:p>
                <w:p w14:paraId="22D92356">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r>
                    <w:rPr>
                      <w:rFonts w:hint="default" w:ascii="Times New Roman" w:hAnsi="Times New Roman" w:cs="Times New Roman"/>
                      <w:b/>
                      <w:bCs w:val="0"/>
                      <w:color w:val="auto"/>
                      <w:spacing w:val="0"/>
                      <w:position w:val="0"/>
                      <w:sz w:val="21"/>
                      <w:szCs w:val="21"/>
                      <w:lang w:val="en-US" w:eastAsia="zh-CN"/>
                    </w:rPr>
                    <w:t>b</w:t>
                  </w:r>
                </w:p>
              </w:tc>
              <w:tc>
                <w:tcPr>
                  <w:tcW w:w="358" w:type="pct"/>
                  <w:tcBorders>
                    <w:tl2br w:val="nil"/>
                    <w:tr2bl w:val="nil"/>
                  </w:tcBorders>
                  <w:vAlign w:val="center"/>
                </w:tcPr>
                <w:p w14:paraId="6B367AF1">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color w:val="auto"/>
                      <w:spacing w:val="0"/>
                      <w:kern w:val="2"/>
                      <w:position w:val="0"/>
                      <w:sz w:val="21"/>
                      <w:szCs w:val="21"/>
                      <w:lang w:val="en-US" w:eastAsia="zh-CN" w:bidi="ar-SA"/>
                    </w:rPr>
                  </w:pPr>
                  <w:r>
                    <w:rPr>
                      <w:rFonts w:hint="eastAsia" w:cs="Times New Roman"/>
                      <w:color w:val="auto"/>
                      <w:spacing w:val="0"/>
                      <w:kern w:val="2"/>
                      <w:position w:val="0"/>
                      <w:sz w:val="21"/>
                      <w:szCs w:val="21"/>
                      <w:lang w:val="en-US" w:eastAsia="zh-CN" w:bidi="ar-SA"/>
                    </w:rPr>
                    <w:t>仓储区</w:t>
                  </w:r>
                </w:p>
              </w:tc>
              <w:tc>
                <w:tcPr>
                  <w:tcW w:w="3950" w:type="pct"/>
                  <w:gridSpan w:val="4"/>
                  <w:tcBorders>
                    <w:tl2br w:val="nil"/>
                    <w:tr2bl w:val="nil"/>
                  </w:tcBorders>
                  <w:vAlign w:val="center"/>
                </w:tcPr>
                <w:p w14:paraId="556CC358">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eastAsia="宋体" w:cs="Times New Roman"/>
                      <w:b w:val="0"/>
                      <w:bCs/>
                      <w:color w:val="auto"/>
                      <w:spacing w:val="0"/>
                      <w:position w:val="0"/>
                      <w:sz w:val="21"/>
                      <w:szCs w:val="21"/>
                      <w:lang w:val="en-US" w:eastAsia="zh-CN"/>
                    </w:rPr>
                  </w:pPr>
                  <w:r>
                    <w:rPr>
                      <w:rFonts w:hint="eastAsia" w:cs="Times New Roman"/>
                      <w:b w:val="0"/>
                      <w:bCs/>
                      <w:color w:val="auto"/>
                      <w:spacing w:val="0"/>
                      <w:position w:val="0"/>
                      <w:sz w:val="21"/>
                      <w:szCs w:val="21"/>
                      <w:lang w:val="en-US" w:eastAsia="zh-CN"/>
                    </w:rPr>
                    <w:t>位于生产车间内东北侧</w:t>
                  </w:r>
                  <w:r>
                    <w:rPr>
                      <w:rFonts w:hint="default" w:ascii="Times New Roman" w:hAnsi="Times New Roman" w:eastAsia="宋体" w:cs="Times New Roman"/>
                      <w:b w:val="0"/>
                      <w:bCs/>
                      <w:color w:val="auto"/>
                      <w:spacing w:val="0"/>
                      <w:position w:val="0"/>
                      <w:sz w:val="21"/>
                      <w:szCs w:val="21"/>
                      <w:lang w:val="en-US" w:eastAsia="zh-CN"/>
                    </w:rPr>
                    <w:t>，占地面积约</w:t>
                  </w:r>
                  <w:r>
                    <w:rPr>
                      <w:rFonts w:hint="eastAsia" w:cs="Times New Roman"/>
                      <w:b w:val="0"/>
                      <w:bCs/>
                      <w:color w:val="auto"/>
                      <w:spacing w:val="0"/>
                      <w:position w:val="0"/>
                      <w:sz w:val="21"/>
                      <w:szCs w:val="21"/>
                      <w:lang w:val="en-US" w:eastAsia="zh-CN"/>
                    </w:rPr>
                    <w:t>5</w:t>
                  </w:r>
                  <w:r>
                    <w:rPr>
                      <w:rFonts w:hint="default" w:ascii="Times New Roman" w:hAnsi="Times New Roman" w:eastAsia="宋体" w:cs="Times New Roman"/>
                      <w:b w:val="0"/>
                      <w:bCs/>
                      <w:color w:val="auto"/>
                      <w:spacing w:val="0"/>
                      <w:position w:val="0"/>
                      <w:sz w:val="21"/>
                      <w:szCs w:val="21"/>
                      <w:lang w:val="en-US" w:eastAsia="zh-CN"/>
                    </w:rPr>
                    <w:t>00m</w:t>
                  </w:r>
                  <w:r>
                    <w:rPr>
                      <w:rFonts w:hint="default" w:ascii="Times New Roman" w:hAnsi="Times New Roman" w:eastAsia="宋体" w:cs="Times New Roman"/>
                      <w:b w:val="0"/>
                      <w:bCs/>
                      <w:color w:val="auto"/>
                      <w:spacing w:val="0"/>
                      <w:position w:val="0"/>
                      <w:sz w:val="21"/>
                      <w:szCs w:val="21"/>
                      <w:vertAlign w:val="superscript"/>
                      <w:lang w:val="en-US" w:eastAsia="zh-CN"/>
                    </w:rPr>
                    <w:t>2</w:t>
                  </w:r>
                  <w:r>
                    <w:rPr>
                      <w:rFonts w:hint="default" w:ascii="Times New Roman" w:hAnsi="Times New Roman" w:eastAsia="宋体" w:cs="Times New Roman"/>
                      <w:b w:val="0"/>
                      <w:bCs/>
                      <w:color w:val="auto"/>
                      <w:spacing w:val="0"/>
                      <w:position w:val="0"/>
                      <w:sz w:val="21"/>
                      <w:szCs w:val="21"/>
                      <w:lang w:val="en-US" w:eastAsia="zh-CN"/>
                    </w:rPr>
                    <w:t>，暂存</w:t>
                  </w:r>
                  <w:r>
                    <w:rPr>
                      <w:rFonts w:hint="eastAsia" w:cs="Times New Roman"/>
                      <w:b w:val="0"/>
                      <w:bCs/>
                      <w:color w:val="auto"/>
                      <w:spacing w:val="0"/>
                      <w:position w:val="0"/>
                      <w:sz w:val="21"/>
                      <w:szCs w:val="21"/>
                      <w:lang w:val="en-US" w:eastAsia="zh-CN"/>
                    </w:rPr>
                    <w:t>原料</w:t>
                  </w:r>
                  <w:r>
                    <w:rPr>
                      <w:rFonts w:hint="default" w:ascii="Times New Roman" w:hAnsi="Times New Roman" w:cs="Times New Roman"/>
                      <w:color w:val="auto"/>
                      <w:spacing w:val="0"/>
                      <w:position w:val="0"/>
                      <w:sz w:val="21"/>
                      <w:szCs w:val="21"/>
                      <w:lang w:eastAsia="zh-CN"/>
                    </w:rPr>
                    <w:t>废旧光伏组件，</w:t>
                  </w:r>
                  <w:r>
                    <w:rPr>
                      <w:rFonts w:hint="default" w:ascii="Times New Roman" w:hAnsi="Times New Roman" w:eastAsia="宋体" w:cs="Times New Roman"/>
                      <w:b w:val="0"/>
                      <w:bCs/>
                      <w:color w:val="auto"/>
                      <w:spacing w:val="0"/>
                      <w:position w:val="0"/>
                      <w:sz w:val="21"/>
                      <w:szCs w:val="21"/>
                      <w:lang w:val="en-US" w:eastAsia="zh-CN"/>
                    </w:rPr>
                    <w:t>最大贮存能力</w:t>
                  </w:r>
                  <w:r>
                    <w:rPr>
                      <w:rFonts w:hint="eastAsia" w:cs="Times New Roman"/>
                      <w:b w:val="0"/>
                      <w:bCs/>
                      <w:color w:val="auto"/>
                      <w:spacing w:val="0"/>
                      <w:position w:val="0"/>
                      <w:sz w:val="21"/>
                      <w:szCs w:val="21"/>
                      <w:lang w:val="en-US" w:eastAsia="zh-CN"/>
                    </w:rPr>
                    <w:t>3</w:t>
                  </w:r>
                  <w:r>
                    <w:rPr>
                      <w:rFonts w:hint="default" w:ascii="Times New Roman" w:hAnsi="Times New Roman" w:cs="Times New Roman"/>
                      <w:b w:val="0"/>
                      <w:bCs/>
                      <w:color w:val="auto"/>
                      <w:spacing w:val="0"/>
                      <w:position w:val="0"/>
                      <w:sz w:val="21"/>
                      <w:szCs w:val="21"/>
                      <w:lang w:val="en-US" w:eastAsia="zh-CN"/>
                    </w:rPr>
                    <w:t>000</w:t>
                  </w:r>
                  <w:r>
                    <w:rPr>
                      <w:rFonts w:hint="default" w:ascii="Times New Roman" w:hAnsi="Times New Roman" w:eastAsia="宋体" w:cs="Times New Roman"/>
                      <w:b w:val="0"/>
                      <w:bCs/>
                      <w:color w:val="auto"/>
                      <w:spacing w:val="0"/>
                      <w:position w:val="0"/>
                      <w:sz w:val="21"/>
                      <w:szCs w:val="21"/>
                      <w:lang w:val="en-US" w:eastAsia="zh-CN"/>
                    </w:rPr>
                    <w:t>吨。</w:t>
                  </w:r>
                </w:p>
              </w:tc>
              <w:tc>
                <w:tcPr>
                  <w:tcW w:w="326" w:type="pct"/>
                  <w:tcBorders>
                    <w:tl2br w:val="nil"/>
                    <w:tr2bl w:val="nil"/>
                  </w:tcBorders>
                  <w:vAlign w:val="center"/>
                </w:tcPr>
                <w:p w14:paraId="1BE42F4A">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lang w:val="en-US" w:eastAsia="zh-CN"/>
                    </w:rPr>
                    <w:t>新建</w:t>
                  </w:r>
                </w:p>
              </w:tc>
            </w:tr>
            <w:tr w14:paraId="47A8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5" w:type="pct"/>
                  <w:vMerge w:val="continue"/>
                  <w:tcBorders>
                    <w:tl2br w:val="nil"/>
                    <w:tr2bl w:val="nil"/>
                  </w:tcBorders>
                  <w:vAlign w:val="center"/>
                </w:tcPr>
                <w:p w14:paraId="61060E99">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position w:val="0"/>
                      <w:sz w:val="21"/>
                      <w:szCs w:val="21"/>
                      <w:lang w:val="en-US" w:eastAsia="zh-CN"/>
                    </w:rPr>
                  </w:pPr>
                </w:p>
              </w:tc>
              <w:tc>
                <w:tcPr>
                  <w:tcW w:w="358" w:type="pct"/>
                  <w:tcBorders>
                    <w:tl2br w:val="nil"/>
                    <w:tr2bl w:val="nil"/>
                  </w:tcBorders>
                  <w:vAlign w:val="center"/>
                </w:tcPr>
                <w:p w14:paraId="5D254540">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color w:val="auto"/>
                      <w:spacing w:val="0"/>
                      <w:kern w:val="2"/>
                      <w:position w:val="0"/>
                      <w:sz w:val="21"/>
                      <w:szCs w:val="21"/>
                      <w:lang w:val="en-US" w:eastAsia="zh-CN" w:bidi="ar-SA"/>
                    </w:rPr>
                    <w:t>待加工原料区</w:t>
                  </w:r>
                </w:p>
              </w:tc>
              <w:tc>
                <w:tcPr>
                  <w:tcW w:w="3950" w:type="pct"/>
                  <w:gridSpan w:val="4"/>
                  <w:tcBorders>
                    <w:tl2br w:val="nil"/>
                    <w:tr2bl w:val="nil"/>
                  </w:tcBorders>
                  <w:vAlign w:val="center"/>
                </w:tcPr>
                <w:p w14:paraId="5B616AF8">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eastAsia="宋体" w:cs="Times New Roman"/>
                      <w:b w:val="0"/>
                      <w:bCs/>
                      <w:color w:val="auto"/>
                      <w:spacing w:val="0"/>
                      <w:position w:val="0"/>
                      <w:sz w:val="21"/>
                      <w:szCs w:val="21"/>
                      <w:lang w:val="en-US" w:eastAsia="zh-CN"/>
                    </w:rPr>
                  </w:pPr>
                  <w:r>
                    <w:rPr>
                      <w:rFonts w:hint="default" w:ascii="Times New Roman" w:hAnsi="Times New Roman" w:eastAsia="宋体" w:cs="Times New Roman"/>
                      <w:b w:val="0"/>
                      <w:bCs/>
                      <w:color w:val="auto"/>
                      <w:spacing w:val="0"/>
                      <w:position w:val="0"/>
                      <w:sz w:val="21"/>
                      <w:szCs w:val="21"/>
                      <w:lang w:val="en-US" w:eastAsia="zh-CN"/>
                    </w:rPr>
                    <w:t>位于</w:t>
                  </w:r>
                  <w:r>
                    <w:rPr>
                      <w:rFonts w:hint="eastAsia" w:cs="Times New Roman"/>
                      <w:b w:val="0"/>
                      <w:bCs/>
                      <w:color w:val="auto"/>
                      <w:spacing w:val="0"/>
                      <w:position w:val="0"/>
                      <w:sz w:val="21"/>
                      <w:szCs w:val="21"/>
                      <w:lang w:val="en-US" w:eastAsia="zh-CN"/>
                    </w:rPr>
                    <w:t>生产车间内西北侧</w:t>
                  </w:r>
                  <w:r>
                    <w:rPr>
                      <w:rFonts w:hint="default" w:ascii="Times New Roman" w:hAnsi="Times New Roman" w:eastAsia="宋体" w:cs="Times New Roman"/>
                      <w:b w:val="0"/>
                      <w:bCs/>
                      <w:color w:val="auto"/>
                      <w:spacing w:val="0"/>
                      <w:position w:val="0"/>
                      <w:sz w:val="21"/>
                      <w:szCs w:val="21"/>
                      <w:lang w:val="en-US" w:eastAsia="zh-CN"/>
                    </w:rPr>
                    <w:t>，占地面积约</w:t>
                  </w:r>
                  <w:r>
                    <w:rPr>
                      <w:rFonts w:hint="eastAsia" w:ascii="Times New Roman" w:hAnsi="Times New Roman" w:cs="Times New Roman"/>
                      <w:b w:val="0"/>
                      <w:bCs/>
                      <w:color w:val="auto"/>
                      <w:spacing w:val="0"/>
                      <w:position w:val="0"/>
                      <w:sz w:val="21"/>
                      <w:szCs w:val="21"/>
                      <w:lang w:val="en-US" w:eastAsia="zh-CN"/>
                    </w:rPr>
                    <w:t>3</w:t>
                  </w:r>
                  <w:r>
                    <w:rPr>
                      <w:rFonts w:hint="default" w:ascii="Times New Roman" w:hAnsi="Times New Roman" w:eastAsia="宋体" w:cs="Times New Roman"/>
                      <w:b w:val="0"/>
                      <w:bCs/>
                      <w:color w:val="auto"/>
                      <w:spacing w:val="0"/>
                      <w:position w:val="0"/>
                      <w:sz w:val="21"/>
                      <w:szCs w:val="21"/>
                      <w:lang w:val="en-US" w:eastAsia="zh-CN"/>
                    </w:rPr>
                    <w:t>00m</w:t>
                  </w:r>
                  <w:r>
                    <w:rPr>
                      <w:rFonts w:hint="default" w:ascii="Times New Roman" w:hAnsi="Times New Roman" w:eastAsia="宋体" w:cs="Times New Roman"/>
                      <w:b w:val="0"/>
                      <w:bCs/>
                      <w:color w:val="auto"/>
                      <w:spacing w:val="0"/>
                      <w:position w:val="0"/>
                      <w:sz w:val="21"/>
                      <w:szCs w:val="21"/>
                      <w:vertAlign w:val="superscript"/>
                      <w:lang w:val="en-US" w:eastAsia="zh-CN"/>
                    </w:rPr>
                    <w:t>2</w:t>
                  </w:r>
                  <w:r>
                    <w:rPr>
                      <w:rFonts w:hint="default" w:ascii="Times New Roman" w:hAnsi="Times New Roman" w:eastAsia="宋体" w:cs="Times New Roman"/>
                      <w:b w:val="0"/>
                      <w:bCs/>
                      <w:color w:val="auto"/>
                      <w:spacing w:val="0"/>
                      <w:position w:val="0"/>
                      <w:sz w:val="21"/>
                      <w:szCs w:val="21"/>
                      <w:lang w:val="en-US" w:eastAsia="zh-CN"/>
                    </w:rPr>
                    <w:t>，暂存</w:t>
                  </w:r>
                  <w:r>
                    <w:rPr>
                      <w:rFonts w:hint="eastAsia" w:cs="Times New Roman"/>
                      <w:color w:val="auto"/>
                      <w:spacing w:val="0"/>
                      <w:position w:val="0"/>
                      <w:sz w:val="21"/>
                      <w:szCs w:val="21"/>
                      <w:lang w:val="en-US" w:eastAsia="zh-CN"/>
                    </w:rPr>
                    <w:t>拆框后的光伏板</w:t>
                  </w:r>
                  <w:r>
                    <w:rPr>
                      <w:rFonts w:hint="default" w:ascii="Times New Roman" w:hAnsi="Times New Roman" w:cs="Times New Roman"/>
                      <w:color w:val="auto"/>
                      <w:spacing w:val="0"/>
                      <w:position w:val="0"/>
                      <w:sz w:val="21"/>
                      <w:szCs w:val="21"/>
                      <w:lang w:eastAsia="zh-CN"/>
                    </w:rPr>
                    <w:t>，</w:t>
                  </w:r>
                  <w:r>
                    <w:rPr>
                      <w:rFonts w:hint="default" w:ascii="Times New Roman" w:hAnsi="Times New Roman" w:eastAsia="宋体" w:cs="Times New Roman"/>
                      <w:b w:val="0"/>
                      <w:bCs/>
                      <w:color w:val="auto"/>
                      <w:spacing w:val="0"/>
                      <w:position w:val="0"/>
                      <w:sz w:val="21"/>
                      <w:szCs w:val="21"/>
                      <w:lang w:val="en-US" w:eastAsia="zh-CN"/>
                    </w:rPr>
                    <w:t>最大</w:t>
                  </w:r>
                  <w:r>
                    <w:rPr>
                      <w:rFonts w:hint="eastAsia" w:cs="Times New Roman"/>
                      <w:b w:val="0"/>
                      <w:bCs/>
                      <w:color w:val="auto"/>
                      <w:spacing w:val="0"/>
                      <w:position w:val="0"/>
                      <w:sz w:val="21"/>
                      <w:szCs w:val="21"/>
                      <w:lang w:val="en-US" w:eastAsia="zh-CN"/>
                    </w:rPr>
                    <w:t>暂</w:t>
                  </w:r>
                  <w:r>
                    <w:rPr>
                      <w:rFonts w:hint="default" w:ascii="Times New Roman" w:hAnsi="Times New Roman" w:eastAsia="宋体" w:cs="Times New Roman"/>
                      <w:b w:val="0"/>
                      <w:bCs/>
                      <w:color w:val="auto"/>
                      <w:spacing w:val="0"/>
                      <w:position w:val="0"/>
                      <w:sz w:val="21"/>
                      <w:szCs w:val="21"/>
                      <w:lang w:val="en-US" w:eastAsia="zh-CN"/>
                    </w:rPr>
                    <w:t>存能力</w:t>
                  </w:r>
                  <w:r>
                    <w:rPr>
                      <w:rFonts w:hint="eastAsia" w:cs="Times New Roman"/>
                      <w:b w:val="0"/>
                      <w:bCs/>
                      <w:color w:val="auto"/>
                      <w:spacing w:val="0"/>
                      <w:position w:val="0"/>
                      <w:sz w:val="21"/>
                      <w:szCs w:val="21"/>
                      <w:lang w:val="en-US" w:eastAsia="zh-CN"/>
                    </w:rPr>
                    <w:t>1</w:t>
                  </w:r>
                  <w:r>
                    <w:rPr>
                      <w:rFonts w:hint="default" w:ascii="Times New Roman" w:hAnsi="Times New Roman" w:cs="Times New Roman"/>
                      <w:b w:val="0"/>
                      <w:bCs/>
                      <w:color w:val="auto"/>
                      <w:spacing w:val="0"/>
                      <w:position w:val="0"/>
                      <w:sz w:val="21"/>
                      <w:szCs w:val="21"/>
                      <w:lang w:val="en-US" w:eastAsia="zh-CN"/>
                    </w:rPr>
                    <w:t>000</w:t>
                  </w:r>
                  <w:r>
                    <w:rPr>
                      <w:rFonts w:hint="default" w:ascii="Times New Roman" w:hAnsi="Times New Roman" w:eastAsia="宋体" w:cs="Times New Roman"/>
                      <w:b w:val="0"/>
                      <w:bCs/>
                      <w:color w:val="auto"/>
                      <w:spacing w:val="0"/>
                      <w:position w:val="0"/>
                      <w:sz w:val="21"/>
                      <w:szCs w:val="21"/>
                      <w:lang w:val="en-US" w:eastAsia="zh-CN"/>
                    </w:rPr>
                    <w:t>吨。</w:t>
                  </w:r>
                </w:p>
              </w:tc>
              <w:tc>
                <w:tcPr>
                  <w:tcW w:w="326" w:type="pct"/>
                  <w:tcBorders>
                    <w:tl2br w:val="nil"/>
                    <w:tr2bl w:val="nil"/>
                  </w:tcBorders>
                  <w:vAlign w:val="center"/>
                </w:tcPr>
                <w:p w14:paraId="26B30EA9">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24E1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62CAB09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2D9F8946">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eastAsia" w:cs="Times New Roman"/>
                      <w:b w:val="0"/>
                      <w:bCs/>
                      <w:color w:val="auto"/>
                      <w:spacing w:val="0"/>
                      <w:position w:val="0"/>
                      <w:sz w:val="21"/>
                      <w:szCs w:val="21"/>
                      <w:lang w:val="en-US" w:eastAsia="zh-CN"/>
                    </w:rPr>
                    <w:t>储油罐</w:t>
                  </w:r>
                </w:p>
              </w:tc>
              <w:tc>
                <w:tcPr>
                  <w:tcW w:w="3950" w:type="pct"/>
                  <w:gridSpan w:val="4"/>
                  <w:tcBorders>
                    <w:tl2br w:val="nil"/>
                    <w:tr2bl w:val="nil"/>
                  </w:tcBorders>
                  <w:vAlign w:val="center"/>
                </w:tcPr>
                <w:p w14:paraId="5E0D5805">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eastAsia="宋体"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卧式，Φ3m，h7.5m。位于厂房外西北角，贮存热解油</w:t>
                  </w:r>
                  <w:r>
                    <w:rPr>
                      <w:rFonts w:hint="eastAsia" w:cs="Times New Roman"/>
                      <w:b w:val="0"/>
                      <w:bCs/>
                      <w:color w:val="auto"/>
                      <w:spacing w:val="0"/>
                      <w:position w:val="0"/>
                      <w:sz w:val="21"/>
                      <w:szCs w:val="21"/>
                      <w:lang w:val="en-US" w:eastAsia="zh-CN"/>
                    </w:rPr>
                    <w:t>，</w:t>
                  </w:r>
                  <w:r>
                    <w:rPr>
                      <w:rFonts w:hint="eastAsia" w:cs="Times New Roman"/>
                      <w:color w:val="auto"/>
                      <w:spacing w:val="0"/>
                      <w:kern w:val="2"/>
                      <w:position w:val="0"/>
                      <w:sz w:val="21"/>
                      <w:szCs w:val="21"/>
                      <w:lang w:val="en-US" w:eastAsia="zh-CN" w:bidi="ar-SA"/>
                    </w:rPr>
                    <w:t>设置围堰尺</w:t>
                  </w:r>
                  <w:r>
                    <w:rPr>
                      <w:rFonts w:hint="default" w:ascii="Times New Roman" w:hAnsi="Times New Roman" w:cs="Times New Roman"/>
                      <w:color w:val="auto"/>
                      <w:spacing w:val="0"/>
                      <w:kern w:val="2"/>
                      <w:position w:val="0"/>
                      <w:sz w:val="21"/>
                      <w:szCs w:val="21"/>
                      <w:lang w:val="en-US" w:eastAsia="zh-CN" w:bidi="ar-SA"/>
                    </w:rPr>
                    <w:t>寸为</w:t>
                  </w:r>
                  <w:r>
                    <w:rPr>
                      <w:rFonts w:hint="eastAsia" w:cs="Times New Roman"/>
                      <w:color w:val="auto"/>
                      <w:spacing w:val="0"/>
                      <w:kern w:val="2"/>
                      <w:position w:val="0"/>
                      <w:sz w:val="21"/>
                      <w:szCs w:val="21"/>
                      <w:lang w:val="en-US" w:eastAsia="zh-CN" w:bidi="ar-SA"/>
                    </w:rPr>
                    <w:t>10</w:t>
                  </w:r>
                  <w:r>
                    <w:rPr>
                      <w:rFonts w:hint="default" w:ascii="Times New Roman" w:hAnsi="Times New Roman" w:cs="Times New Roman"/>
                      <w:color w:val="auto"/>
                      <w:spacing w:val="0"/>
                      <w:kern w:val="2"/>
                      <w:position w:val="0"/>
                      <w:sz w:val="21"/>
                      <w:szCs w:val="21"/>
                      <w:lang w:val="en-US" w:eastAsia="zh-CN" w:bidi="ar-SA"/>
                    </w:rPr>
                    <w:t>m×</w:t>
                  </w:r>
                  <w:r>
                    <w:rPr>
                      <w:rFonts w:hint="eastAsia" w:cs="Times New Roman"/>
                      <w:color w:val="auto"/>
                      <w:spacing w:val="0"/>
                      <w:kern w:val="2"/>
                      <w:position w:val="0"/>
                      <w:sz w:val="21"/>
                      <w:szCs w:val="21"/>
                      <w:lang w:val="en-US" w:eastAsia="zh-CN" w:bidi="ar-SA"/>
                    </w:rPr>
                    <w:t>4</w:t>
                  </w:r>
                  <w:r>
                    <w:rPr>
                      <w:rFonts w:hint="default" w:ascii="Times New Roman" w:hAnsi="Times New Roman" w:cs="Times New Roman"/>
                      <w:color w:val="auto"/>
                      <w:spacing w:val="0"/>
                      <w:kern w:val="2"/>
                      <w:position w:val="0"/>
                      <w:sz w:val="21"/>
                      <w:szCs w:val="21"/>
                      <w:lang w:val="en-US" w:eastAsia="zh-CN" w:bidi="ar-SA"/>
                    </w:rPr>
                    <w:t>m×0.3m</w:t>
                  </w:r>
                  <w:r>
                    <w:rPr>
                      <w:rFonts w:hint="eastAsia" w:ascii="Times New Roman" w:hAnsi="Times New Roman" w:cs="Times New Roman"/>
                      <w:color w:val="auto"/>
                      <w:spacing w:val="0"/>
                      <w:kern w:val="2"/>
                      <w:position w:val="0"/>
                      <w:sz w:val="21"/>
                      <w:szCs w:val="21"/>
                      <w:lang w:val="en-US" w:eastAsia="zh-CN" w:bidi="ar-SA"/>
                    </w:rPr>
                    <w:t>。</w:t>
                  </w:r>
                </w:p>
              </w:tc>
              <w:tc>
                <w:tcPr>
                  <w:tcW w:w="326" w:type="pct"/>
                  <w:tcBorders>
                    <w:tl2br w:val="nil"/>
                    <w:tr2bl w:val="nil"/>
                  </w:tcBorders>
                  <w:vAlign w:val="center"/>
                </w:tcPr>
                <w:p w14:paraId="3344F6A7">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24376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11D3DB77">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632F4381">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1#料仓</w:t>
                  </w:r>
                </w:p>
              </w:tc>
              <w:tc>
                <w:tcPr>
                  <w:tcW w:w="3950" w:type="pct"/>
                  <w:gridSpan w:val="4"/>
                  <w:tcBorders>
                    <w:tl2br w:val="nil"/>
                    <w:tr2bl w:val="nil"/>
                  </w:tcBorders>
                  <w:vAlign w:val="center"/>
                </w:tcPr>
                <w:p w14:paraId="14C17F9E">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ab/>
                  </w: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，圆仓，Φ4m，h：8m。暂存热解炉炉渣</w:t>
                  </w:r>
                  <w:r>
                    <w:rPr>
                      <w:rFonts w:hint="eastAsia" w:cs="Times New Roman"/>
                      <w:b w:val="0"/>
                      <w:bCs/>
                      <w:color w:val="auto"/>
                      <w:spacing w:val="0"/>
                      <w:position w:val="0"/>
                      <w:sz w:val="21"/>
                      <w:szCs w:val="21"/>
                      <w:lang w:val="en-US" w:eastAsia="zh-CN"/>
                    </w:rPr>
                    <w:t>（</w:t>
                  </w:r>
                  <w:r>
                    <w:rPr>
                      <w:rFonts w:hint="default" w:ascii="Times New Roman" w:hAnsi="Times New Roman" w:cs="Times New Roman"/>
                      <w:b w:val="0"/>
                      <w:bCs/>
                      <w:color w:val="auto"/>
                      <w:spacing w:val="0"/>
                      <w:position w:val="0"/>
                      <w:sz w:val="21"/>
                      <w:szCs w:val="21"/>
                      <w:lang w:val="en-US" w:eastAsia="zh-CN"/>
                    </w:rPr>
                    <w:t>硅、铜、玻璃）。</w:t>
                  </w:r>
                </w:p>
              </w:tc>
              <w:tc>
                <w:tcPr>
                  <w:tcW w:w="326" w:type="pct"/>
                  <w:tcBorders>
                    <w:tl2br w:val="nil"/>
                    <w:tr2bl w:val="nil"/>
                  </w:tcBorders>
                  <w:vAlign w:val="center"/>
                </w:tcPr>
                <w:p w14:paraId="30865076">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1FDA5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0BCE6260">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1E80210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2#料仓</w:t>
                  </w:r>
                </w:p>
              </w:tc>
              <w:tc>
                <w:tcPr>
                  <w:tcW w:w="3950" w:type="pct"/>
                  <w:gridSpan w:val="4"/>
                  <w:tcBorders>
                    <w:tl2br w:val="nil"/>
                    <w:tr2bl w:val="nil"/>
                  </w:tcBorders>
                  <w:vAlign w:val="center"/>
                </w:tcPr>
                <w:p w14:paraId="754CE21D">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，方仓，1.5m×1.5m×4m。暂存旋风分离后＜80目的硅粉。</w:t>
                  </w:r>
                </w:p>
              </w:tc>
              <w:tc>
                <w:tcPr>
                  <w:tcW w:w="326" w:type="pct"/>
                  <w:tcBorders>
                    <w:tl2br w:val="nil"/>
                    <w:tr2bl w:val="nil"/>
                  </w:tcBorders>
                  <w:vAlign w:val="center"/>
                </w:tcPr>
                <w:p w14:paraId="7FB09A7F">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7A7BD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0547A2E6">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0BFA72A8">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3#料仓</w:t>
                  </w:r>
                </w:p>
              </w:tc>
              <w:tc>
                <w:tcPr>
                  <w:tcW w:w="3950" w:type="pct"/>
                  <w:gridSpan w:val="4"/>
                  <w:tcBorders>
                    <w:tl2br w:val="nil"/>
                    <w:tr2bl w:val="nil"/>
                  </w:tcBorders>
                  <w:vAlign w:val="center"/>
                </w:tcPr>
                <w:p w14:paraId="06F9B624">
                  <w:pPr>
                    <w:keepNext w:val="0"/>
                    <w:keepLines w:val="0"/>
                    <w:pageBreakBefore w:val="0"/>
                    <w:tabs>
                      <w:tab w:val="left" w:pos="2478"/>
                    </w:tabs>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，方仓，1.5m×1.5m×4m。暂存振动筛分后＞5mm的物料</w:t>
                  </w:r>
                  <w:r>
                    <w:rPr>
                      <w:rFonts w:hint="eastAsia" w:cs="Times New Roman"/>
                      <w:b w:val="0"/>
                      <w:bCs/>
                      <w:color w:val="auto"/>
                      <w:spacing w:val="0"/>
                      <w:position w:val="0"/>
                      <w:sz w:val="21"/>
                      <w:szCs w:val="21"/>
                      <w:lang w:val="en-US" w:eastAsia="zh-CN"/>
                    </w:rPr>
                    <w:t>（</w:t>
                  </w:r>
                  <w:r>
                    <w:rPr>
                      <w:rFonts w:hint="default" w:ascii="Times New Roman" w:hAnsi="Times New Roman" w:cs="Times New Roman"/>
                      <w:b w:val="0"/>
                      <w:bCs/>
                      <w:color w:val="auto"/>
                      <w:spacing w:val="0"/>
                      <w:position w:val="0"/>
                      <w:sz w:val="21"/>
                      <w:szCs w:val="21"/>
                      <w:lang w:val="en-US" w:eastAsia="zh-CN"/>
                    </w:rPr>
                    <w:t>铜和玻璃）。</w:t>
                  </w:r>
                </w:p>
              </w:tc>
              <w:tc>
                <w:tcPr>
                  <w:tcW w:w="326" w:type="pct"/>
                  <w:tcBorders>
                    <w:tl2br w:val="nil"/>
                    <w:tr2bl w:val="nil"/>
                  </w:tcBorders>
                  <w:vAlign w:val="center"/>
                </w:tcPr>
                <w:p w14:paraId="428C0176">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6009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4A3CCCED">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343313DD">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4#料仓</w:t>
                  </w:r>
                </w:p>
              </w:tc>
              <w:tc>
                <w:tcPr>
                  <w:tcW w:w="3950" w:type="pct"/>
                  <w:gridSpan w:val="4"/>
                  <w:tcBorders>
                    <w:tl2br w:val="nil"/>
                    <w:tr2bl w:val="nil"/>
                  </w:tcBorders>
                  <w:vAlign w:val="center"/>
                </w:tcPr>
                <w:p w14:paraId="157F97CB">
                  <w:pPr>
                    <w:keepNext w:val="0"/>
                    <w:keepLines w:val="0"/>
                    <w:pageBreakBefore w:val="0"/>
                    <w:tabs>
                      <w:tab w:val="left" w:pos="2478"/>
                    </w:tabs>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，圆仓，Φ3m，h：4m。暂存振动筛分后0.8~5mm的物料</w:t>
                  </w:r>
                  <w:r>
                    <w:rPr>
                      <w:rFonts w:hint="eastAsia" w:cs="Times New Roman"/>
                      <w:b w:val="0"/>
                      <w:bCs/>
                      <w:color w:val="auto"/>
                      <w:spacing w:val="0"/>
                      <w:position w:val="0"/>
                      <w:sz w:val="21"/>
                      <w:szCs w:val="21"/>
                      <w:lang w:val="en-US" w:eastAsia="zh-CN"/>
                    </w:rPr>
                    <w:t>（</w:t>
                  </w:r>
                  <w:r>
                    <w:rPr>
                      <w:rFonts w:hint="default" w:ascii="Times New Roman" w:hAnsi="Times New Roman" w:cs="Times New Roman"/>
                      <w:b w:val="0"/>
                      <w:bCs/>
                      <w:color w:val="auto"/>
                      <w:spacing w:val="0"/>
                      <w:position w:val="0"/>
                      <w:sz w:val="21"/>
                      <w:szCs w:val="21"/>
                      <w:lang w:val="en-US" w:eastAsia="zh-CN"/>
                    </w:rPr>
                    <w:t>硅、铜、玻璃）。</w:t>
                  </w:r>
                </w:p>
              </w:tc>
              <w:tc>
                <w:tcPr>
                  <w:tcW w:w="326" w:type="pct"/>
                  <w:tcBorders>
                    <w:tl2br w:val="nil"/>
                    <w:tr2bl w:val="nil"/>
                  </w:tcBorders>
                  <w:vAlign w:val="center"/>
                </w:tcPr>
                <w:p w14:paraId="7E90CA0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7180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1BB7A27B">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4922605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5#料仓</w:t>
                  </w:r>
                </w:p>
              </w:tc>
              <w:tc>
                <w:tcPr>
                  <w:tcW w:w="3950" w:type="pct"/>
                  <w:gridSpan w:val="4"/>
                  <w:tcBorders>
                    <w:tl2br w:val="nil"/>
                    <w:tr2bl w:val="nil"/>
                  </w:tcBorders>
                  <w:vAlign w:val="center"/>
                </w:tcPr>
                <w:p w14:paraId="39DF5DA3">
                  <w:pPr>
                    <w:keepNext w:val="0"/>
                    <w:keepLines w:val="0"/>
                    <w:pageBreakBefore w:val="0"/>
                    <w:tabs>
                      <w:tab w:val="left" w:pos="2478"/>
                    </w:tabs>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，方仓，1.5m×1.5m×4m。暂存风选后＞80目的硅片。</w:t>
                  </w:r>
                </w:p>
              </w:tc>
              <w:tc>
                <w:tcPr>
                  <w:tcW w:w="326" w:type="pct"/>
                  <w:tcBorders>
                    <w:tl2br w:val="nil"/>
                    <w:tr2bl w:val="nil"/>
                  </w:tcBorders>
                  <w:vAlign w:val="center"/>
                </w:tcPr>
                <w:p w14:paraId="69D0AC9A">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1C02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54FD5A8D">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5A08FE07">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6#料仓</w:t>
                  </w:r>
                </w:p>
              </w:tc>
              <w:tc>
                <w:tcPr>
                  <w:tcW w:w="3950" w:type="pct"/>
                  <w:gridSpan w:val="4"/>
                  <w:tcBorders>
                    <w:tl2br w:val="nil"/>
                    <w:tr2bl w:val="nil"/>
                  </w:tcBorders>
                  <w:vAlign w:val="center"/>
                </w:tcPr>
                <w:p w14:paraId="49C708E6">
                  <w:pPr>
                    <w:keepNext w:val="0"/>
                    <w:keepLines w:val="0"/>
                    <w:pageBreakBefore w:val="0"/>
                    <w:tabs>
                      <w:tab w:val="left" w:pos="2478"/>
                    </w:tabs>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，方仓，1.5m×1.5m×4m。暂存风选后0.8~5mm的物料</w:t>
                  </w:r>
                  <w:r>
                    <w:rPr>
                      <w:rFonts w:hint="eastAsia" w:cs="Times New Roman"/>
                      <w:b w:val="0"/>
                      <w:bCs/>
                      <w:color w:val="auto"/>
                      <w:spacing w:val="0"/>
                      <w:position w:val="0"/>
                      <w:sz w:val="21"/>
                      <w:szCs w:val="21"/>
                      <w:lang w:val="en-US" w:eastAsia="zh-CN"/>
                    </w:rPr>
                    <w:t>（</w:t>
                  </w:r>
                  <w:r>
                    <w:rPr>
                      <w:rFonts w:hint="default" w:ascii="Times New Roman" w:hAnsi="Times New Roman" w:cs="Times New Roman"/>
                      <w:b w:val="0"/>
                      <w:bCs/>
                      <w:color w:val="auto"/>
                      <w:spacing w:val="0"/>
                      <w:position w:val="0"/>
                      <w:sz w:val="21"/>
                      <w:szCs w:val="21"/>
                      <w:lang w:val="en-US" w:eastAsia="zh-CN"/>
                    </w:rPr>
                    <w:t>铜和玻璃）。</w:t>
                  </w:r>
                </w:p>
              </w:tc>
              <w:tc>
                <w:tcPr>
                  <w:tcW w:w="326" w:type="pct"/>
                  <w:tcBorders>
                    <w:tl2br w:val="nil"/>
                    <w:tr2bl w:val="nil"/>
                  </w:tcBorders>
                  <w:vAlign w:val="center"/>
                </w:tcPr>
                <w:p w14:paraId="52BA83F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4E333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25513C73">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50D4517C">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7#料仓</w:t>
                  </w:r>
                </w:p>
              </w:tc>
              <w:tc>
                <w:tcPr>
                  <w:tcW w:w="3950" w:type="pct"/>
                  <w:gridSpan w:val="4"/>
                  <w:tcBorders>
                    <w:tl2br w:val="nil"/>
                    <w:tr2bl w:val="nil"/>
                  </w:tcBorders>
                  <w:vAlign w:val="center"/>
                </w:tcPr>
                <w:p w14:paraId="5B0ADE65">
                  <w:pPr>
                    <w:keepNext w:val="0"/>
                    <w:keepLines w:val="0"/>
                    <w:pageBreakBefore w:val="0"/>
                    <w:tabs>
                      <w:tab w:val="left" w:pos="2478"/>
                    </w:tabs>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，方仓，1.5m×1.5m×4m。暂存产品铜丝。</w:t>
                  </w:r>
                </w:p>
              </w:tc>
              <w:tc>
                <w:tcPr>
                  <w:tcW w:w="326" w:type="pct"/>
                  <w:tcBorders>
                    <w:tl2br w:val="nil"/>
                    <w:tr2bl w:val="nil"/>
                  </w:tcBorders>
                  <w:vAlign w:val="center"/>
                </w:tcPr>
                <w:p w14:paraId="1267206A">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7011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391E5D3B">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6D80564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8#料仓</w:t>
                  </w:r>
                </w:p>
              </w:tc>
              <w:tc>
                <w:tcPr>
                  <w:tcW w:w="3950" w:type="pct"/>
                  <w:gridSpan w:val="4"/>
                  <w:tcBorders>
                    <w:tl2br w:val="nil"/>
                    <w:tr2bl w:val="nil"/>
                  </w:tcBorders>
                  <w:vAlign w:val="center"/>
                </w:tcPr>
                <w:p w14:paraId="095B2F70">
                  <w:pPr>
                    <w:keepNext w:val="0"/>
                    <w:keepLines w:val="0"/>
                    <w:pageBreakBefore w:val="0"/>
                    <w:tabs>
                      <w:tab w:val="left" w:pos="2478"/>
                    </w:tabs>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，圆仓，Φ4m，h：8m。暂存筛分、风选、分选后的玻璃。</w:t>
                  </w:r>
                </w:p>
              </w:tc>
              <w:tc>
                <w:tcPr>
                  <w:tcW w:w="326" w:type="pct"/>
                  <w:tcBorders>
                    <w:tl2br w:val="nil"/>
                    <w:tr2bl w:val="nil"/>
                  </w:tcBorders>
                  <w:vAlign w:val="center"/>
                </w:tcPr>
                <w:p w14:paraId="414A9C02">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7336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5CBC9E6C">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4341C499">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9#料仓</w:t>
                  </w:r>
                </w:p>
              </w:tc>
              <w:tc>
                <w:tcPr>
                  <w:tcW w:w="3950" w:type="pct"/>
                  <w:gridSpan w:val="4"/>
                  <w:tcBorders>
                    <w:tl2br w:val="nil"/>
                    <w:tr2bl w:val="nil"/>
                  </w:tcBorders>
                  <w:vAlign w:val="center"/>
                </w:tcPr>
                <w:p w14:paraId="0190AC4E">
                  <w:pPr>
                    <w:keepNext w:val="0"/>
                    <w:keepLines w:val="0"/>
                    <w:pageBreakBefore w:val="0"/>
                    <w:tabs>
                      <w:tab w:val="left" w:pos="2478"/>
                    </w:tabs>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，圆仓，Φ3m，h：4m。暂存振动筛分后80目~0.8mm的物料</w:t>
                  </w:r>
                  <w:r>
                    <w:rPr>
                      <w:rFonts w:hint="eastAsia" w:cs="Times New Roman"/>
                      <w:b w:val="0"/>
                      <w:bCs/>
                      <w:color w:val="auto"/>
                      <w:spacing w:val="0"/>
                      <w:position w:val="0"/>
                      <w:sz w:val="21"/>
                      <w:szCs w:val="21"/>
                      <w:lang w:val="en-US" w:eastAsia="zh-CN"/>
                    </w:rPr>
                    <w:t>（</w:t>
                  </w:r>
                  <w:r>
                    <w:rPr>
                      <w:rFonts w:hint="default" w:ascii="Times New Roman" w:hAnsi="Times New Roman" w:cs="Times New Roman"/>
                      <w:b w:val="0"/>
                      <w:bCs/>
                      <w:color w:val="auto"/>
                      <w:spacing w:val="0"/>
                      <w:position w:val="0"/>
                      <w:sz w:val="21"/>
                      <w:szCs w:val="21"/>
                      <w:lang w:val="en-US" w:eastAsia="zh-CN"/>
                    </w:rPr>
                    <w:t>硅、铜）。</w:t>
                  </w:r>
                </w:p>
              </w:tc>
              <w:tc>
                <w:tcPr>
                  <w:tcW w:w="326" w:type="pct"/>
                  <w:tcBorders>
                    <w:tl2br w:val="nil"/>
                    <w:tr2bl w:val="nil"/>
                  </w:tcBorders>
                  <w:vAlign w:val="center"/>
                </w:tcPr>
                <w:p w14:paraId="2A6258F3">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57FE4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5A5D58B0">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564E4CD1">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10#料仓</w:t>
                  </w:r>
                </w:p>
              </w:tc>
              <w:tc>
                <w:tcPr>
                  <w:tcW w:w="3950" w:type="pct"/>
                  <w:gridSpan w:val="4"/>
                  <w:tcBorders>
                    <w:tl2br w:val="nil"/>
                    <w:tr2bl w:val="nil"/>
                  </w:tcBorders>
                  <w:vAlign w:val="center"/>
                </w:tcPr>
                <w:p w14:paraId="58701841">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，圆仓，Φ3m，h：4m。暂存碱洗、洗砂、烘干后的玻璃。</w:t>
                  </w:r>
                </w:p>
              </w:tc>
              <w:tc>
                <w:tcPr>
                  <w:tcW w:w="326" w:type="pct"/>
                  <w:tcBorders>
                    <w:tl2br w:val="nil"/>
                    <w:tr2bl w:val="nil"/>
                  </w:tcBorders>
                  <w:vAlign w:val="center"/>
                </w:tcPr>
                <w:p w14:paraId="0432186F">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6678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33493CD1">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21469BDA">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11#料仓</w:t>
                  </w:r>
                </w:p>
              </w:tc>
              <w:tc>
                <w:tcPr>
                  <w:tcW w:w="3950" w:type="pct"/>
                  <w:gridSpan w:val="4"/>
                  <w:tcBorders>
                    <w:tl2br w:val="nil"/>
                    <w:tr2bl w:val="nil"/>
                  </w:tcBorders>
                  <w:vAlign w:val="center"/>
                </w:tcPr>
                <w:p w14:paraId="06C59217">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，方仓，1.5m×1.5m×4m。暂存玻璃进一步色选后的杂质</w:t>
                  </w:r>
                  <w:r>
                    <w:rPr>
                      <w:rFonts w:hint="eastAsia" w:cs="Times New Roman"/>
                      <w:b w:val="0"/>
                      <w:bCs/>
                      <w:color w:val="auto"/>
                      <w:spacing w:val="0"/>
                      <w:position w:val="0"/>
                      <w:sz w:val="21"/>
                      <w:szCs w:val="21"/>
                      <w:lang w:val="en-US" w:eastAsia="zh-CN"/>
                    </w:rPr>
                    <w:t>（</w:t>
                  </w:r>
                  <w:r>
                    <w:rPr>
                      <w:rFonts w:hint="default" w:ascii="Times New Roman" w:hAnsi="Times New Roman" w:cs="Times New Roman"/>
                      <w:b w:val="0"/>
                      <w:bCs/>
                      <w:color w:val="auto"/>
                      <w:spacing w:val="0"/>
                      <w:position w:val="0"/>
                      <w:sz w:val="21"/>
                      <w:szCs w:val="21"/>
                      <w:lang w:val="en-US" w:eastAsia="zh-CN"/>
                    </w:rPr>
                    <w:t>铜、硅、难溶物等）。</w:t>
                  </w:r>
                </w:p>
              </w:tc>
              <w:tc>
                <w:tcPr>
                  <w:tcW w:w="326" w:type="pct"/>
                  <w:tcBorders>
                    <w:tl2br w:val="nil"/>
                    <w:tr2bl w:val="nil"/>
                  </w:tcBorders>
                  <w:vAlign w:val="center"/>
                </w:tcPr>
                <w:p w14:paraId="62B2D3C7">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1155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571B5544">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00DCA0C4">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12#料仓</w:t>
                  </w:r>
                </w:p>
              </w:tc>
              <w:tc>
                <w:tcPr>
                  <w:tcW w:w="3950" w:type="pct"/>
                  <w:gridSpan w:val="4"/>
                  <w:tcBorders>
                    <w:tl2br w:val="nil"/>
                    <w:tr2bl w:val="nil"/>
                  </w:tcBorders>
                  <w:vAlign w:val="center"/>
                </w:tcPr>
                <w:p w14:paraId="75FB3F2C">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，圆仓，Φ3m，h：11m。贮存去杂后＞0.8mm的产品玻璃。</w:t>
                  </w:r>
                </w:p>
              </w:tc>
              <w:tc>
                <w:tcPr>
                  <w:tcW w:w="326" w:type="pct"/>
                  <w:tcBorders>
                    <w:tl2br w:val="nil"/>
                    <w:tr2bl w:val="nil"/>
                  </w:tcBorders>
                  <w:vAlign w:val="center"/>
                </w:tcPr>
                <w:p w14:paraId="0BB4CE73">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122A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005A28C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16DF2C33">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13#料仓</w:t>
                  </w:r>
                </w:p>
              </w:tc>
              <w:tc>
                <w:tcPr>
                  <w:tcW w:w="3950" w:type="pct"/>
                  <w:gridSpan w:val="4"/>
                  <w:tcBorders>
                    <w:tl2br w:val="nil"/>
                    <w:tr2bl w:val="nil"/>
                  </w:tcBorders>
                  <w:vAlign w:val="center"/>
                </w:tcPr>
                <w:p w14:paraId="4E023B38">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2个，1#、2#热解分选生产区各一个</w:t>
                  </w:r>
                  <w:r>
                    <w:rPr>
                      <w:rFonts w:hint="default" w:ascii="Times New Roman" w:hAnsi="Times New Roman" w:cs="Times New Roman"/>
                      <w:b w:val="0"/>
                      <w:bCs/>
                      <w:color w:val="auto"/>
                      <w:spacing w:val="0"/>
                      <w:position w:val="0"/>
                      <w:sz w:val="21"/>
                      <w:szCs w:val="21"/>
                      <w:lang w:val="en-US" w:eastAsia="zh-CN"/>
                    </w:rPr>
                    <w:t>，圆仓，Φ3m，h：11m。贮存去杂后＞0.8mm的产品玻璃。</w:t>
                  </w:r>
                </w:p>
              </w:tc>
              <w:tc>
                <w:tcPr>
                  <w:tcW w:w="326" w:type="pct"/>
                  <w:tcBorders>
                    <w:tl2br w:val="nil"/>
                    <w:tr2bl w:val="nil"/>
                  </w:tcBorders>
                  <w:vAlign w:val="center"/>
                </w:tcPr>
                <w:p w14:paraId="2B96701C">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3620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5" w:type="pct"/>
                  <w:vMerge w:val="continue"/>
                  <w:tcBorders>
                    <w:tl2br w:val="nil"/>
                    <w:tr2bl w:val="nil"/>
                  </w:tcBorders>
                  <w:vAlign w:val="center"/>
                </w:tcPr>
                <w:p w14:paraId="07D752E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512A7046">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备用仓库</w:t>
                  </w:r>
                </w:p>
              </w:tc>
              <w:tc>
                <w:tcPr>
                  <w:tcW w:w="3950" w:type="pct"/>
                  <w:gridSpan w:val="4"/>
                  <w:tcBorders>
                    <w:tl2br w:val="nil"/>
                    <w:tr2bl w:val="nil"/>
                  </w:tcBorders>
                  <w:vAlign w:val="center"/>
                </w:tcPr>
                <w:p w14:paraId="212CC839">
                  <w:pPr>
                    <w:keepNext w:val="0"/>
                    <w:keepLines w:val="0"/>
                    <w:pageBreakBefore w:val="0"/>
                    <w:kinsoku/>
                    <w:wordWrap/>
                    <w:overflowPunct/>
                    <w:topLinePunct w:val="0"/>
                    <w:autoSpaceDE/>
                    <w:autoSpaceDN/>
                    <w:bidi w:val="0"/>
                    <w:adjustRightInd/>
                    <w:snapToGrid/>
                    <w:ind w:firstLine="0" w:firstLineChars="0"/>
                    <w:jc w:val="left"/>
                    <w:rPr>
                      <w:rFonts w:hint="default" w:ascii="Times New Roman" w:hAnsi="Times New Roman" w:cs="Times New Roman"/>
                      <w:b w:val="0"/>
                      <w:bCs/>
                      <w:color w:val="auto"/>
                      <w:spacing w:val="0"/>
                      <w:position w:val="0"/>
                      <w:sz w:val="21"/>
                      <w:szCs w:val="21"/>
                      <w:lang w:val="en-US" w:eastAsia="zh-CN"/>
                    </w:rPr>
                  </w:pPr>
                  <w:r>
                    <w:rPr>
                      <w:rFonts w:hint="eastAsia" w:ascii="Times New Roman" w:hAnsi="Times New Roman" w:cs="Times New Roman"/>
                      <w:b w:val="0"/>
                      <w:bCs/>
                      <w:color w:val="auto"/>
                      <w:spacing w:val="0"/>
                      <w:position w:val="0"/>
                      <w:sz w:val="21"/>
                      <w:szCs w:val="21"/>
                      <w:lang w:val="en-US" w:eastAsia="zh-CN"/>
                    </w:rPr>
                    <w:t>位于8#料仓右侧，占地面积18m</w:t>
                  </w:r>
                  <w:r>
                    <w:rPr>
                      <w:rFonts w:hint="eastAsia" w:ascii="Times New Roman" w:hAnsi="Times New Roman" w:cs="Times New Roman"/>
                      <w:b w:val="0"/>
                      <w:bCs/>
                      <w:color w:val="auto"/>
                      <w:spacing w:val="0"/>
                      <w:position w:val="0"/>
                      <w:sz w:val="21"/>
                      <w:szCs w:val="21"/>
                      <w:vertAlign w:val="superscript"/>
                      <w:lang w:val="en-US" w:eastAsia="zh-CN"/>
                    </w:rPr>
                    <w:t>2</w:t>
                  </w:r>
                  <w:r>
                    <w:rPr>
                      <w:rFonts w:hint="eastAsia" w:ascii="Times New Roman" w:hAnsi="Times New Roman" w:cs="Times New Roman"/>
                      <w:b w:val="0"/>
                      <w:bCs/>
                      <w:color w:val="auto"/>
                      <w:spacing w:val="0"/>
                      <w:position w:val="0"/>
                      <w:sz w:val="21"/>
                      <w:szCs w:val="21"/>
                      <w:lang w:val="en-US" w:eastAsia="zh-CN"/>
                    </w:rPr>
                    <w:t>，存放生产工具、用品等。</w:t>
                  </w:r>
                </w:p>
              </w:tc>
              <w:tc>
                <w:tcPr>
                  <w:tcW w:w="326" w:type="pct"/>
                  <w:tcBorders>
                    <w:tl2br w:val="nil"/>
                    <w:tr2bl w:val="nil"/>
                  </w:tcBorders>
                  <w:vAlign w:val="center"/>
                </w:tcPr>
                <w:p w14:paraId="19E49618">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0CC5B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5" w:type="pct"/>
                  <w:vMerge w:val="continue"/>
                  <w:tcBorders>
                    <w:tl2br w:val="nil"/>
                    <w:tr2bl w:val="nil"/>
                  </w:tcBorders>
                  <w:vAlign w:val="center"/>
                </w:tcPr>
                <w:p w14:paraId="2FD4D5A4">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vAlign w:val="center"/>
                </w:tcPr>
                <w:p w14:paraId="0A763438">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铜丝仓库</w:t>
                  </w:r>
                </w:p>
              </w:tc>
              <w:tc>
                <w:tcPr>
                  <w:tcW w:w="3950" w:type="pct"/>
                  <w:gridSpan w:val="4"/>
                  <w:tcBorders>
                    <w:tl2br w:val="nil"/>
                    <w:tr2bl w:val="nil"/>
                  </w:tcBorders>
                  <w:vAlign w:val="center"/>
                </w:tcPr>
                <w:p w14:paraId="678A8585">
                  <w:pPr>
                    <w:keepNext w:val="0"/>
                    <w:keepLines w:val="0"/>
                    <w:pageBreakBefore w:val="0"/>
                    <w:numPr>
                      <w:ilvl w:val="0"/>
                      <w:numId w:val="0"/>
                    </w:numPr>
                    <w:kinsoku/>
                    <w:wordWrap/>
                    <w:overflowPunct/>
                    <w:topLinePunct w:val="0"/>
                    <w:autoSpaceDE/>
                    <w:autoSpaceDN/>
                    <w:bidi w:val="0"/>
                    <w:adjustRightInd/>
                    <w:snapToGrid/>
                    <w:ind w:firstLine="0" w:firstLineChars="0"/>
                    <w:jc w:val="left"/>
                    <w:rPr>
                      <w:rFonts w:hint="default" w:ascii="Times New Roman" w:hAnsi="Times New Roman" w:cs="Times New Roman"/>
                      <w:color w:val="auto"/>
                      <w:spacing w:val="0"/>
                      <w:kern w:val="2"/>
                      <w:position w:val="0"/>
                      <w:sz w:val="21"/>
                      <w:szCs w:val="21"/>
                      <w:lang w:val="en-US" w:eastAsia="zh-CN" w:bidi="ar-SA"/>
                    </w:rPr>
                  </w:pPr>
                  <w:r>
                    <w:rPr>
                      <w:rFonts w:hint="default" w:ascii="Times New Roman" w:hAnsi="Times New Roman" w:cs="Times New Roman"/>
                      <w:color w:val="auto"/>
                      <w:spacing w:val="0"/>
                      <w:kern w:val="2"/>
                      <w:position w:val="0"/>
                      <w:sz w:val="21"/>
                      <w:szCs w:val="21"/>
                      <w:lang w:val="en-US" w:eastAsia="zh-CN" w:bidi="ar-SA"/>
                    </w:rPr>
                    <w:t>位于待加工原料区南侧，占地面积60m</w:t>
                  </w:r>
                  <w:r>
                    <w:rPr>
                      <w:rFonts w:hint="default" w:ascii="Times New Roman" w:hAnsi="Times New Roman" w:cs="Times New Roman"/>
                      <w:color w:val="auto"/>
                      <w:spacing w:val="0"/>
                      <w:kern w:val="2"/>
                      <w:position w:val="0"/>
                      <w:sz w:val="21"/>
                      <w:szCs w:val="21"/>
                      <w:vertAlign w:val="superscript"/>
                      <w:lang w:val="en-US" w:eastAsia="zh-CN" w:bidi="ar-SA"/>
                    </w:rPr>
                    <w:t>2</w:t>
                  </w:r>
                  <w:r>
                    <w:rPr>
                      <w:rFonts w:hint="default" w:ascii="Times New Roman" w:hAnsi="Times New Roman" w:cs="Times New Roman"/>
                      <w:color w:val="auto"/>
                      <w:spacing w:val="0"/>
                      <w:kern w:val="2"/>
                      <w:position w:val="0"/>
                      <w:sz w:val="21"/>
                      <w:szCs w:val="21"/>
                      <w:lang w:val="en-US" w:eastAsia="zh-CN" w:bidi="ar-SA"/>
                    </w:rPr>
                    <w:t>，贮存产品铜丝。</w:t>
                  </w:r>
                </w:p>
              </w:tc>
              <w:tc>
                <w:tcPr>
                  <w:tcW w:w="326" w:type="pct"/>
                  <w:tcBorders>
                    <w:tl2br w:val="nil"/>
                    <w:tr2bl w:val="nil"/>
                  </w:tcBorders>
                  <w:vAlign w:val="center"/>
                </w:tcPr>
                <w:p w14:paraId="482FD1C6">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536C2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365" w:type="pct"/>
                  <w:vMerge w:val="continue"/>
                  <w:tcBorders>
                    <w:tl2br w:val="nil"/>
                    <w:tr2bl w:val="nil"/>
                  </w:tcBorders>
                  <w:vAlign w:val="center"/>
                </w:tcPr>
                <w:p w14:paraId="58ED51CB">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shd w:val="clear" w:color="auto" w:fill="auto"/>
                  <w:vAlign w:val="center"/>
                </w:tcPr>
                <w:p w14:paraId="2A5E7DC3">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kern w:val="2"/>
                      <w:position w:val="0"/>
                      <w:sz w:val="21"/>
                      <w:szCs w:val="21"/>
                      <w:lang w:val="en-US" w:eastAsia="zh-CN" w:bidi="ar-SA"/>
                    </w:rPr>
                  </w:pPr>
                  <w:r>
                    <w:rPr>
                      <w:rFonts w:hint="default" w:ascii="Times New Roman" w:hAnsi="Times New Roman" w:cs="Times New Roman"/>
                      <w:b w:val="0"/>
                      <w:bCs/>
                      <w:color w:val="auto"/>
                      <w:spacing w:val="0"/>
                      <w:kern w:val="2"/>
                      <w:position w:val="0"/>
                      <w:sz w:val="21"/>
                      <w:szCs w:val="21"/>
                      <w:lang w:val="en-US" w:eastAsia="zh-CN" w:bidi="ar-SA"/>
                    </w:rPr>
                    <w:t>硅片仓库</w:t>
                  </w:r>
                </w:p>
              </w:tc>
              <w:tc>
                <w:tcPr>
                  <w:tcW w:w="3950" w:type="pct"/>
                  <w:gridSpan w:val="4"/>
                  <w:tcBorders>
                    <w:tl2br w:val="nil"/>
                    <w:tr2bl w:val="nil"/>
                  </w:tcBorders>
                  <w:shd w:val="clear" w:color="auto" w:fill="auto"/>
                  <w:vAlign w:val="center"/>
                </w:tcPr>
                <w:p w14:paraId="2BE898E7">
                  <w:pPr>
                    <w:keepNext w:val="0"/>
                    <w:keepLines w:val="0"/>
                    <w:pageBreakBefore w:val="0"/>
                    <w:numPr>
                      <w:ilvl w:val="0"/>
                      <w:numId w:val="0"/>
                    </w:numPr>
                    <w:kinsoku/>
                    <w:wordWrap/>
                    <w:overflowPunct/>
                    <w:topLinePunct w:val="0"/>
                    <w:autoSpaceDE/>
                    <w:autoSpaceDN/>
                    <w:bidi w:val="0"/>
                    <w:adjustRightInd/>
                    <w:snapToGrid/>
                    <w:ind w:left="0" w:leftChars="0" w:firstLine="0" w:firstLineChars="0"/>
                    <w:jc w:val="left"/>
                    <w:rPr>
                      <w:rFonts w:hint="default" w:ascii="Times New Roman" w:hAnsi="Times New Roman" w:eastAsia="宋体" w:cs="Times New Roman"/>
                      <w:color w:val="auto"/>
                      <w:spacing w:val="0"/>
                      <w:kern w:val="2"/>
                      <w:position w:val="0"/>
                      <w:sz w:val="21"/>
                      <w:szCs w:val="21"/>
                      <w:lang w:val="en-US" w:eastAsia="zh-CN" w:bidi="ar-SA"/>
                    </w:rPr>
                  </w:pPr>
                  <w:r>
                    <w:rPr>
                      <w:rFonts w:hint="default" w:ascii="Times New Roman" w:hAnsi="Times New Roman" w:cs="Times New Roman"/>
                      <w:color w:val="auto"/>
                      <w:spacing w:val="0"/>
                      <w:kern w:val="2"/>
                      <w:position w:val="0"/>
                      <w:sz w:val="21"/>
                      <w:szCs w:val="21"/>
                      <w:lang w:val="en-US" w:eastAsia="zh-CN" w:bidi="ar-SA"/>
                    </w:rPr>
                    <w:t>位于铜丝仓库南侧，占地面积</w:t>
                  </w:r>
                  <w:r>
                    <w:rPr>
                      <w:rFonts w:hint="eastAsia" w:cs="Times New Roman"/>
                      <w:color w:val="auto"/>
                      <w:spacing w:val="0"/>
                      <w:kern w:val="2"/>
                      <w:position w:val="0"/>
                      <w:sz w:val="21"/>
                      <w:szCs w:val="21"/>
                      <w:lang w:val="en-US" w:eastAsia="zh-CN" w:bidi="ar-SA"/>
                    </w:rPr>
                    <w:t>36</w:t>
                  </w:r>
                  <w:r>
                    <w:rPr>
                      <w:rFonts w:hint="default" w:ascii="Times New Roman" w:hAnsi="Times New Roman" w:cs="Times New Roman"/>
                      <w:color w:val="auto"/>
                      <w:spacing w:val="0"/>
                      <w:kern w:val="2"/>
                      <w:position w:val="0"/>
                      <w:sz w:val="21"/>
                      <w:szCs w:val="21"/>
                      <w:lang w:val="en-US" w:eastAsia="zh-CN" w:bidi="ar-SA"/>
                    </w:rPr>
                    <w:t>m</w:t>
                  </w:r>
                  <w:r>
                    <w:rPr>
                      <w:rFonts w:hint="default" w:ascii="Times New Roman" w:hAnsi="Times New Roman" w:cs="Times New Roman"/>
                      <w:color w:val="auto"/>
                      <w:spacing w:val="0"/>
                      <w:kern w:val="2"/>
                      <w:position w:val="0"/>
                      <w:sz w:val="21"/>
                      <w:szCs w:val="21"/>
                      <w:vertAlign w:val="superscript"/>
                      <w:lang w:val="en-US" w:eastAsia="zh-CN" w:bidi="ar-SA"/>
                    </w:rPr>
                    <w:t>2</w:t>
                  </w:r>
                  <w:r>
                    <w:rPr>
                      <w:rFonts w:hint="default" w:ascii="Times New Roman" w:hAnsi="Times New Roman" w:cs="Times New Roman"/>
                      <w:color w:val="auto"/>
                      <w:spacing w:val="0"/>
                      <w:kern w:val="2"/>
                      <w:position w:val="0"/>
                      <w:sz w:val="21"/>
                      <w:szCs w:val="21"/>
                      <w:lang w:val="en-US" w:eastAsia="zh-CN" w:bidi="ar-SA"/>
                    </w:rPr>
                    <w:t>，贮存去铝、去银后的产品纯硅</w:t>
                  </w:r>
                  <w:r>
                    <w:rPr>
                      <w:rFonts w:hint="eastAsia" w:ascii="Times New Roman" w:hAnsi="Times New Roman" w:cs="Times New Roman"/>
                      <w:color w:val="auto"/>
                      <w:spacing w:val="0"/>
                      <w:kern w:val="2"/>
                      <w:position w:val="0"/>
                      <w:sz w:val="21"/>
                      <w:szCs w:val="21"/>
                      <w:lang w:val="en-US" w:eastAsia="zh-CN" w:bidi="ar-SA"/>
                    </w:rPr>
                    <w:t>片</w:t>
                  </w:r>
                  <w:r>
                    <w:rPr>
                      <w:rFonts w:hint="default" w:ascii="Times New Roman" w:hAnsi="Times New Roman" w:cs="Times New Roman"/>
                      <w:color w:val="auto"/>
                      <w:spacing w:val="0"/>
                      <w:kern w:val="2"/>
                      <w:position w:val="0"/>
                      <w:sz w:val="21"/>
                      <w:szCs w:val="21"/>
                      <w:lang w:val="en-US" w:eastAsia="zh-CN" w:bidi="ar-SA"/>
                    </w:rPr>
                    <w:t>。</w:t>
                  </w:r>
                </w:p>
              </w:tc>
              <w:tc>
                <w:tcPr>
                  <w:tcW w:w="326" w:type="pct"/>
                  <w:tcBorders>
                    <w:tl2br w:val="nil"/>
                    <w:tr2bl w:val="nil"/>
                  </w:tcBorders>
                  <w:vAlign w:val="center"/>
                </w:tcPr>
                <w:p w14:paraId="1C5526FA">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2AAD8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01224BD1">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shd w:val="clear" w:color="auto" w:fill="auto"/>
                  <w:vAlign w:val="center"/>
                </w:tcPr>
                <w:p w14:paraId="6206FF87">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val="0"/>
                      <w:bCs/>
                      <w:color w:val="auto"/>
                      <w:spacing w:val="0"/>
                      <w:kern w:val="2"/>
                      <w:position w:val="0"/>
                      <w:sz w:val="21"/>
                      <w:szCs w:val="21"/>
                      <w:lang w:val="en-US" w:eastAsia="zh-CN" w:bidi="ar-SA"/>
                    </w:rPr>
                  </w:pPr>
                  <w:r>
                    <w:rPr>
                      <w:rFonts w:hint="eastAsia" w:ascii="Times New Roman" w:hAnsi="Times New Roman" w:cs="Times New Roman"/>
                      <w:b w:val="0"/>
                      <w:bCs/>
                      <w:color w:val="auto"/>
                      <w:spacing w:val="0"/>
                      <w:kern w:val="2"/>
                      <w:position w:val="0"/>
                      <w:sz w:val="21"/>
                      <w:szCs w:val="21"/>
                      <w:lang w:val="en-US" w:eastAsia="zh-CN" w:bidi="ar-SA"/>
                    </w:rPr>
                    <w:t>1#仓库</w:t>
                  </w:r>
                </w:p>
              </w:tc>
              <w:tc>
                <w:tcPr>
                  <w:tcW w:w="3950" w:type="pct"/>
                  <w:gridSpan w:val="4"/>
                  <w:tcBorders>
                    <w:tl2br w:val="nil"/>
                    <w:tr2bl w:val="nil"/>
                  </w:tcBorders>
                  <w:shd w:val="clear" w:color="auto" w:fill="auto"/>
                  <w:vAlign w:val="center"/>
                </w:tcPr>
                <w:p w14:paraId="7E34D5FA">
                  <w:pPr>
                    <w:keepNext w:val="0"/>
                    <w:keepLines w:val="0"/>
                    <w:pageBreakBefore w:val="0"/>
                    <w:numPr>
                      <w:ilvl w:val="0"/>
                      <w:numId w:val="0"/>
                    </w:numPr>
                    <w:kinsoku/>
                    <w:wordWrap/>
                    <w:overflowPunct/>
                    <w:topLinePunct w:val="0"/>
                    <w:autoSpaceDE/>
                    <w:autoSpaceDN/>
                    <w:bidi w:val="0"/>
                    <w:adjustRightInd/>
                    <w:snapToGrid/>
                    <w:ind w:left="0" w:leftChars="0" w:firstLine="0" w:firstLineChars="0"/>
                    <w:jc w:val="left"/>
                    <w:rPr>
                      <w:rFonts w:hint="default" w:ascii="Times New Roman" w:hAnsi="Times New Roman" w:eastAsia="宋体" w:cs="Times New Roman"/>
                      <w:color w:val="auto"/>
                      <w:spacing w:val="0"/>
                      <w:kern w:val="2"/>
                      <w:position w:val="0"/>
                      <w:sz w:val="21"/>
                      <w:szCs w:val="21"/>
                      <w:lang w:val="en-US" w:eastAsia="zh-CN" w:bidi="ar-SA"/>
                    </w:rPr>
                  </w:pPr>
                  <w:r>
                    <w:rPr>
                      <w:rFonts w:hint="default" w:ascii="Times New Roman" w:hAnsi="Times New Roman" w:cs="Times New Roman"/>
                      <w:color w:val="auto"/>
                      <w:spacing w:val="0"/>
                      <w:kern w:val="2"/>
                      <w:position w:val="0"/>
                      <w:sz w:val="21"/>
                      <w:szCs w:val="21"/>
                      <w:lang w:val="en-US" w:eastAsia="zh-CN" w:bidi="ar-SA"/>
                    </w:rPr>
                    <w:t>位于</w:t>
                  </w:r>
                  <w:r>
                    <w:rPr>
                      <w:rFonts w:hint="eastAsia" w:ascii="Times New Roman" w:hAnsi="Times New Roman" w:cs="Times New Roman"/>
                      <w:color w:val="auto"/>
                      <w:spacing w:val="0"/>
                      <w:kern w:val="2"/>
                      <w:position w:val="0"/>
                      <w:sz w:val="21"/>
                      <w:szCs w:val="21"/>
                      <w:lang w:val="en-US" w:eastAsia="zh-CN" w:bidi="ar-SA"/>
                    </w:rPr>
                    <w:t>生产车间外西南角</w:t>
                  </w:r>
                  <w:r>
                    <w:rPr>
                      <w:rFonts w:hint="default" w:ascii="Times New Roman" w:hAnsi="Times New Roman" w:cs="Times New Roman"/>
                      <w:color w:val="auto"/>
                      <w:spacing w:val="0"/>
                      <w:kern w:val="2"/>
                      <w:position w:val="0"/>
                      <w:sz w:val="21"/>
                      <w:szCs w:val="21"/>
                      <w:lang w:val="en-US" w:eastAsia="zh-CN" w:bidi="ar-SA"/>
                    </w:rPr>
                    <w:t>，占地面积</w:t>
                  </w:r>
                  <w:r>
                    <w:rPr>
                      <w:rFonts w:hint="eastAsia" w:ascii="Times New Roman" w:hAnsi="Times New Roman" w:cs="Times New Roman"/>
                      <w:color w:val="auto"/>
                      <w:spacing w:val="0"/>
                      <w:kern w:val="2"/>
                      <w:position w:val="0"/>
                      <w:sz w:val="21"/>
                      <w:szCs w:val="21"/>
                      <w:lang w:val="en-US" w:eastAsia="zh-CN" w:bidi="ar-SA"/>
                    </w:rPr>
                    <w:t>7</w:t>
                  </w:r>
                  <w:r>
                    <w:rPr>
                      <w:rFonts w:hint="default" w:ascii="Times New Roman" w:hAnsi="Times New Roman" w:cs="Times New Roman"/>
                      <w:color w:val="auto"/>
                      <w:spacing w:val="0"/>
                      <w:kern w:val="2"/>
                      <w:position w:val="0"/>
                      <w:sz w:val="21"/>
                      <w:szCs w:val="21"/>
                      <w:lang w:val="en-US" w:eastAsia="zh-CN" w:bidi="ar-SA"/>
                    </w:rPr>
                    <w:t>0m</w:t>
                  </w:r>
                  <w:r>
                    <w:rPr>
                      <w:rFonts w:hint="default" w:ascii="Times New Roman" w:hAnsi="Times New Roman" w:cs="Times New Roman"/>
                      <w:color w:val="auto"/>
                      <w:spacing w:val="0"/>
                      <w:kern w:val="2"/>
                      <w:position w:val="0"/>
                      <w:sz w:val="21"/>
                      <w:szCs w:val="21"/>
                      <w:vertAlign w:val="superscript"/>
                      <w:lang w:val="en-US" w:eastAsia="zh-CN" w:bidi="ar-SA"/>
                    </w:rPr>
                    <w:t>2</w:t>
                  </w:r>
                  <w:r>
                    <w:rPr>
                      <w:rFonts w:hint="default" w:ascii="Times New Roman" w:hAnsi="Times New Roman" w:cs="Times New Roman"/>
                      <w:color w:val="auto"/>
                      <w:spacing w:val="0"/>
                      <w:kern w:val="2"/>
                      <w:position w:val="0"/>
                      <w:sz w:val="21"/>
                      <w:szCs w:val="21"/>
                      <w:lang w:val="en-US" w:eastAsia="zh-CN" w:bidi="ar-SA"/>
                    </w:rPr>
                    <w:t>，贮存铝合金边框和塑料。</w:t>
                  </w:r>
                </w:p>
              </w:tc>
              <w:tc>
                <w:tcPr>
                  <w:tcW w:w="326" w:type="pct"/>
                  <w:tcBorders>
                    <w:tl2br w:val="nil"/>
                    <w:tr2bl w:val="nil"/>
                  </w:tcBorders>
                  <w:vAlign w:val="center"/>
                </w:tcPr>
                <w:p w14:paraId="0F5AFD6B">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3B3B1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220DFB57">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shd w:val="clear" w:color="auto" w:fill="auto"/>
                  <w:vAlign w:val="center"/>
                </w:tcPr>
                <w:p w14:paraId="55FCAA29">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kern w:val="2"/>
                      <w:position w:val="0"/>
                      <w:sz w:val="21"/>
                      <w:szCs w:val="21"/>
                      <w:lang w:val="en-US" w:eastAsia="zh-CN" w:bidi="ar-SA"/>
                    </w:rPr>
                  </w:pPr>
                  <w:r>
                    <w:rPr>
                      <w:rFonts w:hint="eastAsia" w:ascii="Times New Roman" w:hAnsi="Times New Roman" w:cs="Times New Roman"/>
                      <w:b w:val="0"/>
                      <w:bCs/>
                      <w:color w:val="auto"/>
                      <w:spacing w:val="0"/>
                      <w:kern w:val="2"/>
                      <w:position w:val="0"/>
                      <w:sz w:val="21"/>
                      <w:szCs w:val="21"/>
                      <w:lang w:val="en-US" w:eastAsia="zh-CN" w:bidi="ar-SA"/>
                    </w:rPr>
                    <w:t>2#仓库</w:t>
                  </w:r>
                </w:p>
              </w:tc>
              <w:tc>
                <w:tcPr>
                  <w:tcW w:w="3950" w:type="pct"/>
                  <w:gridSpan w:val="4"/>
                  <w:tcBorders>
                    <w:tl2br w:val="nil"/>
                    <w:tr2bl w:val="nil"/>
                  </w:tcBorders>
                  <w:shd w:val="clear" w:color="auto" w:fill="auto"/>
                  <w:vAlign w:val="center"/>
                </w:tcPr>
                <w:p w14:paraId="4B5EDFD6">
                  <w:pPr>
                    <w:keepNext w:val="0"/>
                    <w:keepLines w:val="0"/>
                    <w:pageBreakBefore w:val="0"/>
                    <w:numPr>
                      <w:ilvl w:val="0"/>
                      <w:numId w:val="0"/>
                    </w:numPr>
                    <w:kinsoku/>
                    <w:wordWrap/>
                    <w:overflowPunct/>
                    <w:topLinePunct w:val="0"/>
                    <w:autoSpaceDE/>
                    <w:autoSpaceDN/>
                    <w:bidi w:val="0"/>
                    <w:adjustRightInd/>
                    <w:snapToGrid/>
                    <w:ind w:left="0" w:leftChars="0" w:firstLine="0" w:firstLineChars="0"/>
                    <w:jc w:val="left"/>
                    <w:rPr>
                      <w:rFonts w:hint="default" w:ascii="Times New Roman" w:hAnsi="Times New Roman" w:cs="Times New Roman"/>
                      <w:color w:val="auto"/>
                      <w:spacing w:val="0"/>
                      <w:kern w:val="2"/>
                      <w:position w:val="0"/>
                      <w:sz w:val="21"/>
                      <w:szCs w:val="21"/>
                      <w:lang w:val="en-US" w:eastAsia="zh-CN" w:bidi="ar-SA"/>
                    </w:rPr>
                  </w:pPr>
                  <w:r>
                    <w:rPr>
                      <w:rFonts w:hint="eastAsia" w:ascii="Times New Roman" w:hAnsi="Times New Roman" w:cs="Times New Roman"/>
                      <w:color w:val="auto"/>
                      <w:spacing w:val="0"/>
                      <w:kern w:val="2"/>
                      <w:position w:val="0"/>
                      <w:sz w:val="21"/>
                      <w:szCs w:val="21"/>
                      <w:lang w:val="en-US" w:eastAsia="zh-CN" w:bidi="ar-SA"/>
                    </w:rPr>
                    <w:t>位于</w:t>
                  </w:r>
                  <w:r>
                    <w:rPr>
                      <w:rFonts w:hint="eastAsia" w:ascii="Times New Roman" w:hAnsi="Times New Roman" w:cs="Times New Roman"/>
                      <w:b w:val="0"/>
                      <w:bCs/>
                      <w:color w:val="auto"/>
                      <w:spacing w:val="0"/>
                      <w:kern w:val="2"/>
                      <w:position w:val="0"/>
                      <w:sz w:val="21"/>
                      <w:szCs w:val="21"/>
                      <w:lang w:val="en-US" w:eastAsia="zh-CN" w:bidi="ar-SA"/>
                    </w:rPr>
                    <w:t>1#仓库南侧，</w:t>
                  </w:r>
                  <w:r>
                    <w:rPr>
                      <w:rFonts w:hint="default" w:ascii="Times New Roman" w:hAnsi="Times New Roman" w:cs="Times New Roman"/>
                      <w:color w:val="auto"/>
                      <w:spacing w:val="0"/>
                      <w:kern w:val="2"/>
                      <w:position w:val="0"/>
                      <w:sz w:val="21"/>
                      <w:szCs w:val="21"/>
                      <w:lang w:val="en-US" w:eastAsia="zh-CN" w:bidi="ar-SA"/>
                    </w:rPr>
                    <w:t>占地面积</w:t>
                  </w:r>
                  <w:r>
                    <w:rPr>
                      <w:rFonts w:hint="eastAsia" w:ascii="Times New Roman" w:hAnsi="Times New Roman" w:cs="Times New Roman"/>
                      <w:color w:val="auto"/>
                      <w:spacing w:val="0"/>
                      <w:kern w:val="2"/>
                      <w:position w:val="0"/>
                      <w:sz w:val="21"/>
                      <w:szCs w:val="21"/>
                      <w:lang w:val="en-US" w:eastAsia="zh-CN" w:bidi="ar-SA"/>
                    </w:rPr>
                    <w:t>7</w:t>
                  </w:r>
                  <w:r>
                    <w:rPr>
                      <w:rFonts w:hint="default" w:ascii="Times New Roman" w:hAnsi="Times New Roman" w:cs="Times New Roman"/>
                      <w:color w:val="auto"/>
                      <w:spacing w:val="0"/>
                      <w:kern w:val="2"/>
                      <w:position w:val="0"/>
                      <w:sz w:val="21"/>
                      <w:szCs w:val="21"/>
                      <w:lang w:val="en-US" w:eastAsia="zh-CN" w:bidi="ar-SA"/>
                    </w:rPr>
                    <w:t>0m</w:t>
                  </w:r>
                  <w:r>
                    <w:rPr>
                      <w:rFonts w:hint="default" w:ascii="Times New Roman" w:hAnsi="Times New Roman" w:cs="Times New Roman"/>
                      <w:color w:val="auto"/>
                      <w:spacing w:val="0"/>
                      <w:kern w:val="2"/>
                      <w:position w:val="0"/>
                      <w:sz w:val="21"/>
                      <w:szCs w:val="21"/>
                      <w:vertAlign w:val="superscript"/>
                      <w:lang w:val="en-US" w:eastAsia="zh-CN" w:bidi="ar-SA"/>
                    </w:rPr>
                    <w:t>2</w:t>
                  </w:r>
                  <w:r>
                    <w:rPr>
                      <w:rFonts w:hint="default" w:ascii="Times New Roman" w:hAnsi="Times New Roman" w:cs="Times New Roman"/>
                      <w:color w:val="auto"/>
                      <w:spacing w:val="0"/>
                      <w:kern w:val="2"/>
                      <w:position w:val="0"/>
                      <w:sz w:val="21"/>
                      <w:szCs w:val="21"/>
                      <w:lang w:val="en-US" w:eastAsia="zh-CN" w:bidi="ar-SA"/>
                    </w:rPr>
                    <w:t>，</w:t>
                  </w:r>
                  <w:r>
                    <w:rPr>
                      <w:rFonts w:hint="eastAsia" w:ascii="Times New Roman" w:hAnsi="Times New Roman" w:cs="Times New Roman"/>
                      <w:color w:val="auto"/>
                      <w:spacing w:val="0"/>
                      <w:kern w:val="2"/>
                      <w:position w:val="0"/>
                      <w:sz w:val="21"/>
                      <w:szCs w:val="21"/>
                      <w:lang w:val="en-US" w:eastAsia="zh-CN" w:bidi="ar-SA"/>
                    </w:rPr>
                    <w:t>作为物料中转库。</w:t>
                  </w:r>
                </w:p>
              </w:tc>
              <w:tc>
                <w:tcPr>
                  <w:tcW w:w="326" w:type="pct"/>
                  <w:tcBorders>
                    <w:tl2br w:val="nil"/>
                    <w:tr2bl w:val="nil"/>
                  </w:tcBorders>
                  <w:vAlign w:val="center"/>
                </w:tcPr>
                <w:p w14:paraId="7FB6D9BA">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79701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365" w:type="pct"/>
                  <w:vMerge w:val="continue"/>
                  <w:tcBorders>
                    <w:tl2br w:val="nil"/>
                    <w:tr2bl w:val="nil"/>
                  </w:tcBorders>
                  <w:vAlign w:val="center"/>
                </w:tcPr>
                <w:p w14:paraId="54ED501A">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bCs w:val="0"/>
                      <w:color w:val="auto"/>
                      <w:spacing w:val="0"/>
                      <w:position w:val="0"/>
                      <w:sz w:val="21"/>
                      <w:szCs w:val="21"/>
                      <w:lang w:val="en-US" w:eastAsia="zh-CN"/>
                    </w:rPr>
                  </w:pPr>
                </w:p>
              </w:tc>
              <w:tc>
                <w:tcPr>
                  <w:tcW w:w="358" w:type="pct"/>
                  <w:tcBorders>
                    <w:tl2br w:val="nil"/>
                    <w:tr2bl w:val="nil"/>
                  </w:tcBorders>
                  <w:shd w:val="clear" w:color="auto" w:fill="auto"/>
                  <w:vAlign w:val="center"/>
                </w:tcPr>
                <w:p w14:paraId="4B0A286D">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kern w:val="2"/>
                      <w:position w:val="0"/>
                      <w:sz w:val="21"/>
                      <w:szCs w:val="21"/>
                      <w:lang w:val="en-US" w:eastAsia="zh-CN" w:bidi="ar-SA"/>
                    </w:rPr>
                  </w:pPr>
                  <w:r>
                    <w:rPr>
                      <w:rFonts w:hint="eastAsia" w:cs="Times New Roman"/>
                      <w:b w:val="0"/>
                      <w:bCs/>
                      <w:color w:val="auto"/>
                      <w:spacing w:val="0"/>
                      <w:kern w:val="2"/>
                      <w:position w:val="0"/>
                      <w:sz w:val="21"/>
                      <w:szCs w:val="21"/>
                      <w:lang w:val="en-US" w:eastAsia="zh-CN" w:bidi="ar-SA"/>
                    </w:rPr>
                    <w:t>片碱</w:t>
                  </w:r>
                  <w:r>
                    <w:rPr>
                      <w:rFonts w:hint="default" w:ascii="Times New Roman" w:hAnsi="Times New Roman" w:cs="Times New Roman"/>
                      <w:b w:val="0"/>
                      <w:bCs/>
                      <w:color w:val="auto"/>
                      <w:spacing w:val="0"/>
                      <w:kern w:val="2"/>
                      <w:position w:val="0"/>
                      <w:sz w:val="21"/>
                      <w:szCs w:val="21"/>
                      <w:lang w:val="en-US" w:eastAsia="zh-CN" w:bidi="ar-SA"/>
                    </w:rPr>
                    <w:t>库</w:t>
                  </w:r>
                </w:p>
              </w:tc>
              <w:tc>
                <w:tcPr>
                  <w:tcW w:w="3950" w:type="pct"/>
                  <w:gridSpan w:val="4"/>
                  <w:tcBorders>
                    <w:tl2br w:val="nil"/>
                    <w:tr2bl w:val="nil"/>
                  </w:tcBorders>
                  <w:shd w:val="clear" w:color="auto" w:fill="auto"/>
                  <w:vAlign w:val="center"/>
                </w:tcPr>
                <w:p w14:paraId="65DF0BE6">
                  <w:pPr>
                    <w:keepNext w:val="0"/>
                    <w:keepLines w:val="0"/>
                    <w:pageBreakBefore w:val="0"/>
                    <w:numPr>
                      <w:ilvl w:val="0"/>
                      <w:numId w:val="0"/>
                    </w:numPr>
                    <w:kinsoku/>
                    <w:wordWrap/>
                    <w:overflowPunct/>
                    <w:topLinePunct w:val="0"/>
                    <w:autoSpaceDE/>
                    <w:autoSpaceDN/>
                    <w:bidi w:val="0"/>
                    <w:adjustRightInd/>
                    <w:snapToGrid/>
                    <w:ind w:left="0" w:leftChars="0" w:firstLine="0" w:firstLineChars="0"/>
                    <w:jc w:val="left"/>
                    <w:rPr>
                      <w:rFonts w:hint="default" w:ascii="Times New Roman" w:hAnsi="Times New Roman" w:cs="Times New Roman"/>
                      <w:color w:val="auto"/>
                      <w:spacing w:val="0"/>
                      <w:kern w:val="2"/>
                      <w:position w:val="0"/>
                      <w:sz w:val="21"/>
                      <w:szCs w:val="21"/>
                      <w:lang w:val="en-US" w:eastAsia="zh-CN" w:bidi="ar-SA"/>
                    </w:rPr>
                  </w:pPr>
                  <w:r>
                    <w:rPr>
                      <w:rFonts w:hint="default" w:ascii="Times New Roman" w:hAnsi="Times New Roman" w:cs="Times New Roman"/>
                      <w:color w:val="auto"/>
                      <w:spacing w:val="0"/>
                      <w:kern w:val="2"/>
                      <w:position w:val="0"/>
                      <w:sz w:val="21"/>
                      <w:szCs w:val="21"/>
                      <w:lang w:val="en-US" w:eastAsia="zh-CN" w:bidi="ar-SA"/>
                    </w:rPr>
                    <w:t>位于</w:t>
                  </w:r>
                  <w:r>
                    <w:rPr>
                      <w:rFonts w:hint="eastAsia" w:cs="Times New Roman"/>
                      <w:b w:val="0"/>
                      <w:bCs/>
                      <w:color w:val="auto"/>
                      <w:spacing w:val="0"/>
                      <w:kern w:val="2"/>
                      <w:position w:val="0"/>
                      <w:sz w:val="21"/>
                      <w:szCs w:val="21"/>
                      <w:lang w:val="en-US" w:eastAsia="zh-CN" w:bidi="ar-SA"/>
                    </w:rPr>
                    <w:t>仓储区西北角</w:t>
                  </w:r>
                  <w:r>
                    <w:rPr>
                      <w:rFonts w:hint="default" w:ascii="Times New Roman" w:hAnsi="Times New Roman" w:cs="Times New Roman"/>
                      <w:color w:val="auto"/>
                      <w:spacing w:val="0"/>
                      <w:kern w:val="2"/>
                      <w:position w:val="0"/>
                      <w:sz w:val="21"/>
                      <w:szCs w:val="21"/>
                      <w:lang w:val="en-US" w:eastAsia="zh-CN" w:bidi="ar-SA"/>
                    </w:rPr>
                    <w:t>，</w:t>
                  </w:r>
                  <w:r>
                    <w:rPr>
                      <w:rFonts w:hint="default" w:ascii="Times New Roman" w:hAnsi="Times New Roman" w:cs="Times New Roman"/>
                      <w:b w:val="0"/>
                      <w:bCs/>
                      <w:color w:val="auto"/>
                      <w:spacing w:val="0"/>
                      <w:position w:val="0"/>
                      <w:sz w:val="21"/>
                      <w:szCs w:val="21"/>
                      <w:lang w:val="en-US" w:eastAsia="zh-CN"/>
                    </w:rPr>
                    <w:t>占地面积</w:t>
                  </w:r>
                  <w:r>
                    <w:rPr>
                      <w:rFonts w:hint="eastAsia" w:cs="Times New Roman"/>
                      <w:b w:val="0"/>
                      <w:bCs/>
                      <w:color w:val="auto"/>
                      <w:spacing w:val="0"/>
                      <w:position w:val="0"/>
                      <w:sz w:val="21"/>
                      <w:szCs w:val="21"/>
                      <w:lang w:val="en-US" w:eastAsia="zh-CN"/>
                    </w:rPr>
                    <w:t>20</w:t>
                  </w:r>
                  <w:r>
                    <w:rPr>
                      <w:rFonts w:hint="default" w:ascii="Times New Roman" w:hAnsi="Times New Roman" w:cs="Times New Roman"/>
                      <w:b w:val="0"/>
                      <w:bCs/>
                      <w:color w:val="auto"/>
                      <w:spacing w:val="0"/>
                      <w:position w:val="0"/>
                      <w:sz w:val="21"/>
                      <w:szCs w:val="21"/>
                      <w:lang w:val="en-US" w:eastAsia="zh-CN"/>
                    </w:rPr>
                    <w:t>m</w:t>
                  </w:r>
                  <w:r>
                    <w:rPr>
                      <w:rFonts w:hint="default" w:ascii="Times New Roman" w:hAnsi="Times New Roman" w:cs="Times New Roman"/>
                      <w:b w:val="0"/>
                      <w:bCs/>
                      <w:color w:val="auto"/>
                      <w:spacing w:val="0"/>
                      <w:position w:val="0"/>
                      <w:sz w:val="21"/>
                      <w:szCs w:val="21"/>
                      <w:vertAlign w:val="superscript"/>
                      <w:lang w:val="en-US" w:eastAsia="zh-CN"/>
                    </w:rPr>
                    <w:t>2</w:t>
                  </w:r>
                  <w:r>
                    <w:rPr>
                      <w:rFonts w:hint="default" w:ascii="Times New Roman" w:hAnsi="Times New Roman" w:cs="Times New Roman"/>
                      <w:b w:val="0"/>
                      <w:bCs/>
                      <w:color w:val="auto"/>
                      <w:spacing w:val="0"/>
                      <w:position w:val="0"/>
                      <w:sz w:val="21"/>
                      <w:szCs w:val="21"/>
                      <w:lang w:val="en-US" w:eastAsia="zh-CN"/>
                    </w:rPr>
                    <w:t>，用于贮存片碱。</w:t>
                  </w:r>
                </w:p>
              </w:tc>
              <w:tc>
                <w:tcPr>
                  <w:tcW w:w="326" w:type="pct"/>
                  <w:tcBorders>
                    <w:tl2br w:val="nil"/>
                    <w:tr2bl w:val="nil"/>
                  </w:tcBorders>
                  <w:vAlign w:val="center"/>
                </w:tcPr>
                <w:p w14:paraId="1B30CBC7">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b w:val="0"/>
                      <w:bCs/>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4CF87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365" w:type="pct"/>
                  <w:vMerge w:val="restart"/>
                  <w:tcBorders>
                    <w:tl2br w:val="nil"/>
                    <w:tr2bl w:val="nil"/>
                  </w:tcBorders>
                  <w:vAlign w:val="center"/>
                </w:tcPr>
                <w:p w14:paraId="5CF8EF60">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r>
                    <w:rPr>
                      <w:rFonts w:hint="default" w:ascii="Times New Roman" w:hAnsi="Times New Roman" w:eastAsia="宋体" w:cs="Times New Roman"/>
                      <w:b/>
                      <w:color w:val="auto"/>
                      <w:spacing w:val="0"/>
                      <w:position w:val="0"/>
                      <w:sz w:val="21"/>
                      <w:szCs w:val="21"/>
                    </w:rPr>
                    <w:t>辅助工程</w:t>
                  </w:r>
                </w:p>
              </w:tc>
              <w:tc>
                <w:tcPr>
                  <w:tcW w:w="358" w:type="pct"/>
                  <w:tcBorders>
                    <w:tl2br w:val="nil"/>
                    <w:tr2bl w:val="nil"/>
                  </w:tcBorders>
                  <w:vAlign w:val="center"/>
                </w:tcPr>
                <w:p w14:paraId="69E12671">
                  <w:pPr>
                    <w:keepNext w:val="0"/>
                    <w:keepLines w:val="0"/>
                    <w:pageBreakBefore w:val="0"/>
                    <w:widowControl/>
                    <w:kinsoku/>
                    <w:wordWrap/>
                    <w:overflowPunct/>
                    <w:topLinePunct w:val="0"/>
                    <w:autoSpaceDE/>
                    <w:autoSpaceDN/>
                    <w:bidi w:val="0"/>
                    <w:adjustRightInd/>
                    <w:snapToGrid/>
                    <w:ind w:firstLine="0" w:firstLineChars="0"/>
                    <w:jc w:val="center"/>
                    <w:rPr>
                      <w:rFonts w:hint="default" w:ascii="Times New Roman" w:hAnsi="Times New Roman" w:eastAsia="宋体" w:cs="Times New Roman"/>
                      <w:color w:val="auto"/>
                      <w:spacing w:val="0"/>
                      <w:kern w:val="0"/>
                      <w:position w:val="0"/>
                      <w:sz w:val="21"/>
                      <w:szCs w:val="21"/>
                      <w:lang w:val="en-US" w:eastAsia="zh-CN"/>
                    </w:rPr>
                  </w:pPr>
                  <w:r>
                    <w:rPr>
                      <w:rFonts w:hint="default" w:ascii="Times New Roman" w:hAnsi="Times New Roman" w:cs="Times New Roman"/>
                      <w:color w:val="auto"/>
                      <w:spacing w:val="0"/>
                      <w:kern w:val="0"/>
                      <w:position w:val="0"/>
                      <w:sz w:val="21"/>
                      <w:szCs w:val="21"/>
                      <w:lang w:val="en-US" w:eastAsia="zh-CN"/>
                    </w:rPr>
                    <w:t>办公</w:t>
                  </w:r>
                  <w:r>
                    <w:rPr>
                      <w:rFonts w:hint="eastAsia" w:cs="Times New Roman"/>
                      <w:color w:val="auto"/>
                      <w:spacing w:val="0"/>
                      <w:kern w:val="0"/>
                      <w:position w:val="0"/>
                      <w:sz w:val="21"/>
                      <w:szCs w:val="21"/>
                      <w:lang w:val="en-US" w:eastAsia="zh-CN"/>
                    </w:rPr>
                    <w:t>休息</w:t>
                  </w:r>
                  <w:r>
                    <w:rPr>
                      <w:rFonts w:hint="default" w:ascii="Times New Roman" w:hAnsi="Times New Roman" w:cs="Times New Roman"/>
                      <w:color w:val="auto"/>
                      <w:spacing w:val="0"/>
                      <w:kern w:val="0"/>
                      <w:position w:val="0"/>
                      <w:sz w:val="21"/>
                      <w:szCs w:val="21"/>
                      <w:lang w:val="en-US" w:eastAsia="zh-CN"/>
                    </w:rPr>
                    <w:t>区</w:t>
                  </w:r>
                </w:p>
              </w:tc>
              <w:tc>
                <w:tcPr>
                  <w:tcW w:w="3950" w:type="pct"/>
                  <w:gridSpan w:val="4"/>
                  <w:tcBorders>
                    <w:tl2br w:val="nil"/>
                    <w:tr2bl w:val="nil"/>
                  </w:tcBorders>
                  <w:vAlign w:val="center"/>
                </w:tcPr>
                <w:p w14:paraId="03704DDF">
                  <w:pPr>
                    <w:keepNext w:val="0"/>
                    <w:keepLines w:val="0"/>
                    <w:pageBreakBefore w:val="0"/>
                    <w:widowControl/>
                    <w:kinsoku/>
                    <w:wordWrap/>
                    <w:overflowPunct/>
                    <w:topLinePunct w:val="0"/>
                    <w:autoSpaceDE/>
                    <w:autoSpaceDN/>
                    <w:bidi w:val="0"/>
                    <w:adjustRightInd/>
                    <w:snapToGrid/>
                    <w:ind w:firstLine="0" w:firstLineChars="0"/>
                    <w:jc w:val="left"/>
                    <w:rPr>
                      <w:rFonts w:hint="default" w:ascii="Times New Roman" w:hAnsi="Times New Roman" w:eastAsia="宋体" w:cs="Times New Roman"/>
                      <w:color w:val="auto"/>
                      <w:spacing w:val="0"/>
                      <w:kern w:val="0"/>
                      <w:position w:val="0"/>
                      <w:sz w:val="21"/>
                      <w:szCs w:val="21"/>
                    </w:rPr>
                  </w:pPr>
                  <w:r>
                    <w:rPr>
                      <w:rFonts w:hint="eastAsia" w:cs="Times New Roman"/>
                      <w:color w:val="auto"/>
                      <w:spacing w:val="0"/>
                      <w:kern w:val="0"/>
                      <w:position w:val="0"/>
                      <w:sz w:val="21"/>
                      <w:szCs w:val="21"/>
                      <w:lang w:val="en-US" w:eastAsia="zh-CN"/>
                    </w:rPr>
                    <w:t>位于生产车间内东南</w:t>
                  </w:r>
                  <w:r>
                    <w:rPr>
                      <w:rFonts w:hint="default" w:ascii="Times New Roman" w:hAnsi="Times New Roman" w:cs="Times New Roman"/>
                      <w:color w:val="auto"/>
                      <w:spacing w:val="0"/>
                      <w:kern w:val="2"/>
                      <w:position w:val="0"/>
                      <w:sz w:val="21"/>
                      <w:szCs w:val="21"/>
                      <w:lang w:val="en-US" w:eastAsia="zh-CN" w:bidi="ar-SA"/>
                    </w:rPr>
                    <w:t>角</w:t>
                  </w:r>
                  <w:r>
                    <w:rPr>
                      <w:rFonts w:hint="default" w:ascii="Times New Roman" w:hAnsi="Times New Roman" w:eastAsia="宋体" w:cs="Times New Roman"/>
                      <w:color w:val="auto"/>
                      <w:spacing w:val="0"/>
                      <w:kern w:val="0"/>
                      <w:position w:val="0"/>
                      <w:sz w:val="21"/>
                      <w:szCs w:val="21"/>
                      <w:lang w:val="en-US" w:eastAsia="zh-CN" w:bidi="ar-SA"/>
                    </w:rPr>
                    <w:t>，</w:t>
                  </w:r>
                  <w:r>
                    <w:rPr>
                      <w:rFonts w:hint="eastAsia" w:cs="Times New Roman"/>
                      <w:color w:val="auto"/>
                      <w:spacing w:val="0"/>
                      <w:kern w:val="0"/>
                      <w:position w:val="0"/>
                      <w:sz w:val="21"/>
                      <w:szCs w:val="21"/>
                      <w:lang w:val="en-US" w:eastAsia="zh-CN" w:bidi="ar-SA"/>
                    </w:rPr>
                    <w:t>包括办公室、财务室、休息室、会议室等。占地</w:t>
                  </w:r>
                  <w:r>
                    <w:rPr>
                      <w:rFonts w:hint="default" w:ascii="Times New Roman" w:hAnsi="Times New Roman" w:eastAsia="宋体" w:cs="Times New Roman"/>
                      <w:color w:val="auto"/>
                      <w:spacing w:val="0"/>
                      <w:kern w:val="0"/>
                      <w:position w:val="0"/>
                      <w:sz w:val="21"/>
                      <w:szCs w:val="21"/>
                    </w:rPr>
                    <w:t>面积</w:t>
                  </w:r>
                  <w:r>
                    <w:rPr>
                      <w:rFonts w:hint="default" w:ascii="Times New Roman" w:hAnsi="Times New Roman" w:cs="Times New Roman"/>
                      <w:color w:val="auto"/>
                      <w:spacing w:val="0"/>
                      <w:kern w:val="0"/>
                      <w:position w:val="0"/>
                      <w:sz w:val="21"/>
                      <w:szCs w:val="21"/>
                      <w:lang w:val="en-US" w:eastAsia="zh-CN"/>
                    </w:rPr>
                    <w:t>约</w:t>
                  </w:r>
                  <w:r>
                    <w:rPr>
                      <w:rFonts w:hint="eastAsia" w:cs="Times New Roman"/>
                      <w:color w:val="auto"/>
                      <w:spacing w:val="0"/>
                      <w:kern w:val="0"/>
                      <w:position w:val="0"/>
                      <w:sz w:val="21"/>
                      <w:szCs w:val="21"/>
                      <w:lang w:val="en-US" w:eastAsia="zh-CN"/>
                    </w:rPr>
                    <w:t>5</w:t>
                  </w:r>
                  <w:r>
                    <w:rPr>
                      <w:rFonts w:hint="default" w:ascii="Times New Roman" w:hAnsi="Times New Roman" w:cs="Times New Roman"/>
                      <w:color w:val="auto"/>
                      <w:spacing w:val="0"/>
                      <w:kern w:val="0"/>
                      <w:position w:val="0"/>
                      <w:sz w:val="21"/>
                      <w:szCs w:val="21"/>
                      <w:lang w:val="en-US" w:eastAsia="zh-CN"/>
                    </w:rPr>
                    <w:t>00</w:t>
                  </w:r>
                  <w:r>
                    <w:rPr>
                      <w:rFonts w:hint="default" w:ascii="Times New Roman" w:hAnsi="Times New Roman" w:eastAsia="宋体" w:cs="Times New Roman"/>
                      <w:color w:val="auto"/>
                      <w:spacing w:val="0"/>
                      <w:kern w:val="0"/>
                      <w:position w:val="0"/>
                      <w:sz w:val="21"/>
                      <w:szCs w:val="21"/>
                    </w:rPr>
                    <w:t>m</w:t>
                  </w:r>
                  <w:r>
                    <w:rPr>
                      <w:rFonts w:hint="default" w:ascii="Times New Roman" w:hAnsi="Times New Roman" w:eastAsia="宋体" w:cs="Times New Roman"/>
                      <w:color w:val="auto"/>
                      <w:spacing w:val="0"/>
                      <w:kern w:val="0"/>
                      <w:position w:val="0"/>
                      <w:sz w:val="21"/>
                      <w:szCs w:val="21"/>
                      <w:vertAlign w:val="superscript"/>
                    </w:rPr>
                    <w:t>2</w:t>
                  </w:r>
                  <w:r>
                    <w:rPr>
                      <w:rFonts w:hint="default" w:ascii="Times New Roman" w:hAnsi="Times New Roman" w:eastAsia="宋体" w:cs="Times New Roman"/>
                      <w:color w:val="auto"/>
                      <w:spacing w:val="0"/>
                      <w:kern w:val="0"/>
                      <w:position w:val="0"/>
                      <w:sz w:val="21"/>
                      <w:szCs w:val="21"/>
                    </w:rPr>
                    <w:t>，主要用于</w:t>
                  </w:r>
                  <w:r>
                    <w:rPr>
                      <w:rFonts w:hint="default" w:ascii="Times New Roman" w:hAnsi="Times New Roman" w:eastAsia="宋体" w:cs="Times New Roman"/>
                      <w:color w:val="auto"/>
                      <w:spacing w:val="0"/>
                      <w:kern w:val="0"/>
                      <w:position w:val="0"/>
                      <w:sz w:val="21"/>
                      <w:szCs w:val="21"/>
                      <w:lang w:val="en-US" w:eastAsia="zh-CN"/>
                    </w:rPr>
                    <w:t>人员办公</w:t>
                  </w:r>
                  <w:r>
                    <w:rPr>
                      <w:rFonts w:hint="default" w:ascii="Times New Roman" w:hAnsi="Times New Roman" w:cs="Times New Roman"/>
                      <w:color w:val="auto"/>
                      <w:spacing w:val="0"/>
                      <w:kern w:val="0"/>
                      <w:position w:val="0"/>
                      <w:sz w:val="21"/>
                      <w:szCs w:val="21"/>
                      <w:lang w:val="en-US" w:eastAsia="zh-CN"/>
                    </w:rPr>
                    <w:t>、休息</w:t>
                  </w:r>
                  <w:r>
                    <w:rPr>
                      <w:rFonts w:hint="eastAsia" w:cs="Times New Roman"/>
                      <w:color w:val="auto"/>
                      <w:spacing w:val="0"/>
                      <w:kern w:val="0"/>
                      <w:position w:val="0"/>
                      <w:sz w:val="21"/>
                      <w:szCs w:val="21"/>
                      <w:lang w:val="en-US" w:eastAsia="zh-CN"/>
                    </w:rPr>
                    <w:t>、商务</w:t>
                  </w:r>
                  <w:r>
                    <w:rPr>
                      <w:rFonts w:hint="default" w:ascii="Times New Roman" w:hAnsi="Times New Roman" w:eastAsia="宋体" w:cs="Times New Roman"/>
                      <w:color w:val="auto"/>
                      <w:spacing w:val="0"/>
                      <w:kern w:val="0"/>
                      <w:position w:val="0"/>
                      <w:sz w:val="21"/>
                      <w:szCs w:val="21"/>
                    </w:rPr>
                    <w:t>。</w:t>
                  </w:r>
                </w:p>
              </w:tc>
              <w:tc>
                <w:tcPr>
                  <w:tcW w:w="326" w:type="pct"/>
                  <w:tcBorders>
                    <w:tl2br w:val="nil"/>
                    <w:tr2bl w:val="nil"/>
                  </w:tcBorders>
                  <w:vAlign w:val="center"/>
                </w:tcPr>
                <w:p w14:paraId="248FC092">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bCs/>
                      <w:color w:val="auto"/>
                      <w:spacing w:val="0"/>
                      <w:position w:val="0"/>
                      <w:sz w:val="21"/>
                      <w:szCs w:val="21"/>
                    </w:rPr>
                    <w:t>新建</w:t>
                  </w:r>
                </w:p>
              </w:tc>
            </w:tr>
            <w:tr w14:paraId="2E10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5" w:type="pct"/>
                  <w:vMerge w:val="restart"/>
                  <w:tcBorders>
                    <w:tl2br w:val="nil"/>
                    <w:tr2bl w:val="nil"/>
                  </w:tcBorders>
                  <w:vAlign w:val="center"/>
                </w:tcPr>
                <w:p w14:paraId="60D2CCA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r>
                    <w:rPr>
                      <w:rFonts w:hint="default" w:ascii="Times New Roman" w:hAnsi="Times New Roman" w:eastAsia="宋体" w:cs="Times New Roman"/>
                      <w:b/>
                      <w:color w:val="auto"/>
                      <w:spacing w:val="0"/>
                      <w:position w:val="0"/>
                      <w:sz w:val="21"/>
                      <w:szCs w:val="21"/>
                    </w:rPr>
                    <w:t>公用工程</w:t>
                  </w:r>
                </w:p>
              </w:tc>
              <w:tc>
                <w:tcPr>
                  <w:tcW w:w="358" w:type="pct"/>
                  <w:tcBorders>
                    <w:tl2br w:val="nil"/>
                    <w:tr2bl w:val="nil"/>
                  </w:tcBorders>
                  <w:vAlign w:val="center"/>
                </w:tcPr>
                <w:p w14:paraId="132BFE7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pacing w:val="0"/>
                      <w:kern w:val="0"/>
                      <w:position w:val="0"/>
                      <w:sz w:val="21"/>
                      <w:szCs w:val="21"/>
                    </w:rPr>
                  </w:pPr>
                  <w:r>
                    <w:rPr>
                      <w:rFonts w:hint="default" w:ascii="Times New Roman" w:hAnsi="Times New Roman" w:cs="Times New Roman"/>
                      <w:caps w:val="0"/>
                      <w:smallCaps w:val="0"/>
                      <w:color w:val="auto"/>
                      <w:spacing w:val="0"/>
                      <w:w w:val="100"/>
                      <w:kern w:val="0"/>
                      <w:position w:val="0"/>
                      <w:sz w:val="21"/>
                      <w:szCs w:val="21"/>
                    </w:rPr>
                    <w:t>给水系统</w:t>
                  </w:r>
                </w:p>
              </w:tc>
              <w:tc>
                <w:tcPr>
                  <w:tcW w:w="3950" w:type="pct"/>
                  <w:gridSpan w:val="4"/>
                  <w:tcBorders>
                    <w:tl2br w:val="nil"/>
                    <w:tr2bl w:val="nil"/>
                  </w:tcBorders>
                  <w:vAlign w:val="center"/>
                </w:tcPr>
                <w:p w14:paraId="5F71B1D3">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pacing w:val="0"/>
                      <w:kern w:val="0"/>
                      <w:position w:val="0"/>
                      <w:sz w:val="21"/>
                      <w:szCs w:val="21"/>
                      <w:lang w:val="en-US" w:eastAsia="zh-CN"/>
                    </w:rPr>
                  </w:pPr>
                  <w:r>
                    <w:rPr>
                      <w:rFonts w:hint="default" w:ascii="Times New Roman" w:hAnsi="Times New Roman" w:cs="Times New Roman"/>
                      <w:caps w:val="0"/>
                      <w:smallCaps w:val="0"/>
                      <w:color w:val="auto"/>
                      <w:spacing w:val="0"/>
                      <w:w w:val="100"/>
                      <w:position w:val="0"/>
                      <w:sz w:val="21"/>
                      <w:szCs w:val="21"/>
                      <w:lang w:val="en-US" w:eastAsia="zh-CN"/>
                    </w:rPr>
                    <w:t>项目用水</w:t>
                  </w:r>
                  <w:r>
                    <w:rPr>
                      <w:rFonts w:hint="default" w:ascii="Times New Roman" w:hAnsi="Times New Roman" w:cs="Times New Roman"/>
                      <w:caps w:val="0"/>
                      <w:smallCaps w:val="0"/>
                      <w:color w:val="auto"/>
                      <w:spacing w:val="0"/>
                      <w:w w:val="100"/>
                      <w:position w:val="0"/>
                      <w:sz w:val="21"/>
                      <w:szCs w:val="21"/>
                    </w:rPr>
                    <w:t>由</w:t>
                  </w:r>
                  <w:r>
                    <w:rPr>
                      <w:rFonts w:hint="default" w:ascii="Times New Roman" w:hAnsi="Times New Roman" w:cs="Times New Roman"/>
                      <w:caps w:val="0"/>
                      <w:smallCaps w:val="0"/>
                      <w:color w:val="auto"/>
                      <w:spacing w:val="0"/>
                      <w:w w:val="100"/>
                      <w:position w:val="0"/>
                      <w:sz w:val="21"/>
                      <w:szCs w:val="21"/>
                      <w:lang w:val="en-US" w:eastAsia="zh-CN"/>
                    </w:rPr>
                    <w:t>集中</w:t>
                  </w:r>
                  <w:r>
                    <w:rPr>
                      <w:rFonts w:hint="default" w:ascii="Times New Roman" w:hAnsi="Times New Roman" w:cs="Times New Roman"/>
                      <w:caps w:val="0"/>
                      <w:smallCaps w:val="0"/>
                      <w:color w:val="auto"/>
                      <w:spacing w:val="0"/>
                      <w:w w:val="100"/>
                      <w:position w:val="0"/>
                      <w:sz w:val="21"/>
                      <w:szCs w:val="21"/>
                    </w:rPr>
                    <w:t>区</w:t>
                  </w:r>
                  <w:r>
                    <w:rPr>
                      <w:rFonts w:hint="default" w:ascii="Times New Roman" w:hAnsi="Times New Roman" w:cs="Times New Roman"/>
                      <w:caps w:val="0"/>
                      <w:smallCaps w:val="0"/>
                      <w:color w:val="auto"/>
                      <w:spacing w:val="0"/>
                      <w:w w:val="100"/>
                      <w:position w:val="0"/>
                      <w:sz w:val="21"/>
                      <w:szCs w:val="21"/>
                      <w:lang w:val="en-US" w:eastAsia="zh-CN"/>
                    </w:rPr>
                    <w:t>供水管网提供，用水量约</w:t>
                  </w:r>
                  <w:r>
                    <w:rPr>
                      <w:rFonts w:hint="eastAsia" w:ascii="Times New Roman" w:hAnsi="Times New Roman" w:cs="Times New Roman"/>
                      <w:caps w:val="0"/>
                      <w:smallCaps w:val="0"/>
                      <w:color w:val="auto"/>
                      <w:spacing w:val="0"/>
                      <w:w w:val="100"/>
                      <w:position w:val="0"/>
                      <w:sz w:val="21"/>
                      <w:szCs w:val="21"/>
                      <w:lang w:val="en-US" w:eastAsia="zh-CN"/>
                    </w:rPr>
                    <w:t>9222.3</w:t>
                  </w:r>
                  <w:r>
                    <w:rPr>
                      <w:rFonts w:hint="default" w:ascii="Times New Roman" w:hAnsi="Times New Roman" w:cs="Times New Roman"/>
                      <w:caps w:val="0"/>
                      <w:smallCaps w:val="0"/>
                      <w:color w:val="auto"/>
                      <w:spacing w:val="0"/>
                      <w:w w:val="100"/>
                      <w:position w:val="0"/>
                      <w:sz w:val="21"/>
                      <w:szCs w:val="21"/>
                      <w:lang w:val="en-US" w:eastAsia="zh-CN"/>
                    </w:rPr>
                    <w:t>t</w:t>
                  </w:r>
                  <w:r>
                    <w:rPr>
                      <w:rFonts w:hint="default" w:ascii="Times New Roman" w:hAnsi="Times New Roman" w:cs="Times New Roman"/>
                      <w:caps w:val="0"/>
                      <w:smallCaps w:val="0"/>
                      <w:color w:val="auto"/>
                      <w:spacing w:val="0"/>
                      <w:w w:val="100"/>
                      <w:position w:val="0"/>
                      <w:sz w:val="21"/>
                      <w:szCs w:val="21"/>
                    </w:rPr>
                    <w:t>/a</w:t>
                  </w:r>
                  <w:r>
                    <w:rPr>
                      <w:rFonts w:hint="default" w:ascii="Times New Roman" w:hAnsi="Times New Roman" w:cs="Times New Roman"/>
                      <w:caps w:val="0"/>
                      <w:smallCaps w:val="0"/>
                      <w:color w:val="auto"/>
                      <w:spacing w:val="0"/>
                      <w:w w:val="100"/>
                      <w:position w:val="0"/>
                      <w:sz w:val="21"/>
                      <w:szCs w:val="21"/>
                      <w:lang w:eastAsia="zh-CN"/>
                    </w:rPr>
                    <w:t>。</w:t>
                  </w:r>
                </w:p>
              </w:tc>
              <w:tc>
                <w:tcPr>
                  <w:tcW w:w="326" w:type="pct"/>
                  <w:tcBorders>
                    <w:tl2br w:val="nil"/>
                    <w:tr2bl w:val="nil"/>
                  </w:tcBorders>
                  <w:vAlign w:val="center"/>
                </w:tcPr>
                <w:p w14:paraId="57DDD59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依托</w:t>
                  </w:r>
                </w:p>
              </w:tc>
            </w:tr>
            <w:tr w14:paraId="67D0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5" w:type="pct"/>
                  <w:vMerge w:val="continue"/>
                  <w:tcBorders>
                    <w:tl2br w:val="nil"/>
                    <w:tr2bl w:val="nil"/>
                  </w:tcBorders>
                  <w:vAlign w:val="center"/>
                </w:tcPr>
                <w:p w14:paraId="50AF3784">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tcBorders>
                    <w:tl2br w:val="nil"/>
                    <w:tr2bl w:val="nil"/>
                  </w:tcBorders>
                  <w:vAlign w:val="center"/>
                </w:tcPr>
                <w:p w14:paraId="1C0F839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pacing w:val="0"/>
                      <w:kern w:val="0"/>
                      <w:position w:val="0"/>
                      <w:sz w:val="21"/>
                      <w:szCs w:val="21"/>
                    </w:rPr>
                  </w:pPr>
                  <w:r>
                    <w:rPr>
                      <w:rFonts w:hint="default" w:ascii="Times New Roman" w:hAnsi="Times New Roman" w:cs="Times New Roman"/>
                      <w:caps w:val="0"/>
                      <w:smallCaps w:val="0"/>
                      <w:color w:val="auto"/>
                      <w:spacing w:val="0"/>
                      <w:w w:val="100"/>
                      <w:kern w:val="0"/>
                      <w:position w:val="0"/>
                      <w:sz w:val="21"/>
                      <w:szCs w:val="21"/>
                    </w:rPr>
                    <w:t>排水系统</w:t>
                  </w:r>
                </w:p>
              </w:tc>
              <w:tc>
                <w:tcPr>
                  <w:tcW w:w="3950" w:type="pct"/>
                  <w:gridSpan w:val="4"/>
                  <w:tcBorders>
                    <w:tl2br w:val="nil"/>
                    <w:tr2bl w:val="nil"/>
                  </w:tcBorders>
                  <w:vAlign w:val="center"/>
                </w:tcPr>
                <w:p w14:paraId="1F1B513F">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pacing w:val="0"/>
                      <w:kern w:val="0"/>
                      <w:position w:val="0"/>
                      <w:sz w:val="21"/>
                      <w:szCs w:val="21"/>
                      <w:lang w:val="en-US" w:eastAsia="zh-CN"/>
                    </w:rPr>
                  </w:pPr>
                  <w:r>
                    <w:rPr>
                      <w:rFonts w:hint="default" w:ascii="Times New Roman" w:hAnsi="Times New Roman" w:eastAsia="宋体" w:cs="Times New Roman"/>
                      <w:caps w:val="0"/>
                      <w:smallCaps w:val="0"/>
                      <w:color w:val="auto"/>
                      <w:spacing w:val="0"/>
                      <w:w w:val="100"/>
                      <w:position w:val="0"/>
                      <w:sz w:val="21"/>
                      <w:szCs w:val="21"/>
                      <w:lang w:val="en-US" w:eastAsia="zh-CN"/>
                    </w:rPr>
                    <w:t>雨污分流制，</w:t>
                  </w:r>
                  <w:r>
                    <w:rPr>
                      <w:rFonts w:hint="eastAsia" w:ascii="Times New Roman" w:hAnsi="Times New Roman" w:eastAsia="宋体" w:cs="Times New Roman"/>
                      <w:caps w:val="0"/>
                      <w:smallCaps w:val="0"/>
                      <w:color w:val="auto"/>
                      <w:spacing w:val="0"/>
                      <w:w w:val="100"/>
                      <w:position w:val="0"/>
                      <w:sz w:val="21"/>
                      <w:szCs w:val="21"/>
                      <w:lang w:val="en-US" w:eastAsia="zh-CN"/>
                    </w:rPr>
                    <w:t>雨水经雨水沟渠汇入园区雨水管网。项目碱洗废水、洗砂废水经车间沉淀池沉淀后回用，不外排；</w:t>
                  </w:r>
                  <w:r>
                    <w:rPr>
                      <w:rFonts w:hint="eastAsia" w:cs="Times New Roman"/>
                      <w:caps w:val="0"/>
                      <w:smallCaps w:val="0"/>
                      <w:color w:val="auto"/>
                      <w:spacing w:val="0"/>
                      <w:w w:val="100"/>
                      <w:position w:val="0"/>
                      <w:sz w:val="21"/>
                      <w:szCs w:val="21"/>
                      <w:lang w:val="en-US" w:eastAsia="zh-CN"/>
                    </w:rPr>
                    <w:t>地面冲洗废水、喷淋塔定期排水经沉淀池处理后与化粪池收集的生活污水一同纳管排放</w:t>
                  </w:r>
                  <w:r>
                    <w:rPr>
                      <w:rFonts w:hint="eastAsia" w:ascii="Times New Roman" w:hAnsi="Times New Roman" w:eastAsia="宋体" w:cs="Times New Roman"/>
                      <w:caps w:val="0"/>
                      <w:smallCaps w:val="0"/>
                      <w:color w:val="auto"/>
                      <w:spacing w:val="0"/>
                      <w:w w:val="100"/>
                      <w:position w:val="0"/>
                      <w:sz w:val="21"/>
                      <w:szCs w:val="21"/>
                      <w:lang w:val="en-US" w:eastAsia="zh-CN"/>
                    </w:rPr>
                    <w:t>。</w:t>
                  </w:r>
                </w:p>
              </w:tc>
              <w:tc>
                <w:tcPr>
                  <w:tcW w:w="326" w:type="pct"/>
                  <w:tcBorders>
                    <w:tl2br w:val="nil"/>
                    <w:tr2bl w:val="nil"/>
                  </w:tcBorders>
                  <w:vAlign w:val="center"/>
                </w:tcPr>
                <w:p w14:paraId="371468CD">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rPr>
                    <w:t>依托</w:t>
                  </w:r>
                  <w:r>
                    <w:rPr>
                      <w:rFonts w:hint="eastAsia" w:ascii="Times New Roman" w:hAnsi="Times New Roman" w:eastAsia="宋体" w:cs="Times New Roman"/>
                      <w:color w:val="auto"/>
                      <w:spacing w:val="0"/>
                      <w:position w:val="0"/>
                      <w:sz w:val="21"/>
                      <w:szCs w:val="21"/>
                      <w:lang w:val="en-US" w:eastAsia="zh-CN"/>
                    </w:rPr>
                    <w:t>+新建</w:t>
                  </w:r>
                </w:p>
              </w:tc>
            </w:tr>
            <w:tr w14:paraId="18D59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5" w:type="pct"/>
                  <w:vMerge w:val="continue"/>
                  <w:tcBorders>
                    <w:tl2br w:val="nil"/>
                    <w:tr2bl w:val="nil"/>
                  </w:tcBorders>
                  <w:vAlign w:val="center"/>
                </w:tcPr>
                <w:p w14:paraId="25D2D3F9">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tcBorders>
                    <w:tl2br w:val="nil"/>
                    <w:tr2bl w:val="nil"/>
                  </w:tcBorders>
                  <w:vAlign w:val="center"/>
                </w:tcPr>
                <w:p w14:paraId="6E95AEA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pacing w:val="0"/>
                      <w:kern w:val="0"/>
                      <w:position w:val="0"/>
                      <w:sz w:val="21"/>
                      <w:szCs w:val="21"/>
                    </w:rPr>
                  </w:pPr>
                  <w:r>
                    <w:rPr>
                      <w:rFonts w:hint="default" w:ascii="Times New Roman" w:hAnsi="Times New Roman" w:cs="Times New Roman"/>
                      <w:caps w:val="0"/>
                      <w:smallCaps w:val="0"/>
                      <w:color w:val="auto"/>
                      <w:spacing w:val="0"/>
                      <w:w w:val="100"/>
                      <w:kern w:val="0"/>
                      <w:position w:val="0"/>
                      <w:sz w:val="21"/>
                      <w:szCs w:val="21"/>
                    </w:rPr>
                    <w:t>供电系统</w:t>
                  </w:r>
                </w:p>
              </w:tc>
              <w:tc>
                <w:tcPr>
                  <w:tcW w:w="3950" w:type="pct"/>
                  <w:gridSpan w:val="4"/>
                  <w:tcBorders>
                    <w:tl2br w:val="nil"/>
                    <w:tr2bl w:val="nil"/>
                  </w:tcBorders>
                  <w:vAlign w:val="center"/>
                </w:tcPr>
                <w:p w14:paraId="3A5D9EA1">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aps w:val="0"/>
                      <w:smallCaps w:val="0"/>
                      <w:color w:val="auto"/>
                      <w:spacing w:val="0"/>
                      <w:w w:val="100"/>
                      <w:position w:val="0"/>
                      <w:sz w:val="21"/>
                      <w:szCs w:val="21"/>
                      <w:lang w:val="en-US" w:eastAsia="zh-CN"/>
                    </w:rPr>
                    <w:t>用电由园区供电网接入厂区，年用电量约</w:t>
                  </w:r>
                  <w:r>
                    <w:rPr>
                      <w:rFonts w:hint="eastAsia" w:ascii="Times New Roman" w:hAnsi="Times New Roman" w:cs="Times New Roman"/>
                      <w:caps w:val="0"/>
                      <w:smallCaps w:val="0"/>
                      <w:color w:val="auto"/>
                      <w:spacing w:val="0"/>
                      <w:w w:val="100"/>
                      <w:position w:val="0"/>
                      <w:sz w:val="21"/>
                      <w:szCs w:val="21"/>
                      <w:lang w:val="en-US" w:eastAsia="zh-CN"/>
                    </w:rPr>
                    <w:t>140</w:t>
                  </w:r>
                  <w:r>
                    <w:rPr>
                      <w:rFonts w:hint="default" w:ascii="Times New Roman" w:hAnsi="Times New Roman" w:eastAsia="宋体" w:cs="Times New Roman"/>
                      <w:caps w:val="0"/>
                      <w:smallCaps w:val="0"/>
                      <w:color w:val="auto"/>
                      <w:spacing w:val="0"/>
                      <w:w w:val="100"/>
                      <w:position w:val="0"/>
                      <w:sz w:val="21"/>
                      <w:szCs w:val="21"/>
                      <w:lang w:val="en-US" w:eastAsia="zh-CN"/>
                    </w:rPr>
                    <w:t>万kwh/a。</w:t>
                  </w:r>
                </w:p>
              </w:tc>
              <w:tc>
                <w:tcPr>
                  <w:tcW w:w="326" w:type="pct"/>
                  <w:tcBorders>
                    <w:tl2br w:val="nil"/>
                    <w:tr2bl w:val="nil"/>
                  </w:tcBorders>
                  <w:vAlign w:val="center"/>
                </w:tcPr>
                <w:p w14:paraId="3887EE51">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依托</w:t>
                  </w:r>
                </w:p>
              </w:tc>
            </w:tr>
            <w:tr w14:paraId="6785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65" w:type="pct"/>
                  <w:vMerge w:val="continue"/>
                  <w:tcBorders>
                    <w:tl2br w:val="nil"/>
                    <w:tr2bl w:val="nil"/>
                  </w:tcBorders>
                  <w:vAlign w:val="center"/>
                </w:tcPr>
                <w:p w14:paraId="7B1D0974">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tcBorders>
                    <w:tl2br w:val="nil"/>
                    <w:tr2bl w:val="nil"/>
                  </w:tcBorders>
                  <w:vAlign w:val="center"/>
                </w:tcPr>
                <w:p w14:paraId="663FC97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pacing w:val="0"/>
                      <w:kern w:val="0"/>
                      <w:position w:val="0"/>
                      <w:sz w:val="21"/>
                      <w:szCs w:val="21"/>
                    </w:rPr>
                  </w:pPr>
                  <w:r>
                    <w:rPr>
                      <w:rFonts w:hint="default" w:ascii="Times New Roman" w:hAnsi="Times New Roman" w:cs="Times New Roman"/>
                      <w:caps w:val="0"/>
                      <w:smallCaps w:val="0"/>
                      <w:color w:val="auto"/>
                      <w:spacing w:val="0"/>
                      <w:w w:val="100"/>
                      <w:kern w:val="0"/>
                      <w:position w:val="0"/>
                      <w:sz w:val="21"/>
                      <w:szCs w:val="21"/>
                    </w:rPr>
                    <w:t>消防</w:t>
                  </w:r>
                </w:p>
              </w:tc>
              <w:tc>
                <w:tcPr>
                  <w:tcW w:w="3950" w:type="pct"/>
                  <w:gridSpan w:val="4"/>
                  <w:tcBorders>
                    <w:tl2br w:val="nil"/>
                    <w:tr2bl w:val="nil"/>
                  </w:tcBorders>
                  <w:vAlign w:val="center"/>
                </w:tcPr>
                <w:p w14:paraId="78BE2C5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pacing w:val="0"/>
                      <w:kern w:val="0"/>
                      <w:position w:val="0"/>
                      <w:sz w:val="21"/>
                      <w:szCs w:val="21"/>
                      <w:lang w:val="en-US" w:eastAsia="zh-CN"/>
                    </w:rPr>
                  </w:pPr>
                  <w:r>
                    <w:rPr>
                      <w:rFonts w:hint="default" w:ascii="Times New Roman" w:hAnsi="Times New Roman" w:eastAsia="宋体" w:cs="Times New Roman"/>
                      <w:caps w:val="0"/>
                      <w:smallCaps w:val="0"/>
                      <w:color w:val="auto"/>
                      <w:spacing w:val="0"/>
                      <w:w w:val="100"/>
                      <w:position w:val="0"/>
                      <w:sz w:val="21"/>
                      <w:szCs w:val="21"/>
                      <w:lang w:val="en-US" w:eastAsia="zh-CN"/>
                    </w:rPr>
                    <w:t>灭火器，室外、室内消火栓。</w:t>
                  </w:r>
                </w:p>
              </w:tc>
              <w:tc>
                <w:tcPr>
                  <w:tcW w:w="326" w:type="pct"/>
                  <w:tcBorders>
                    <w:tl2br w:val="nil"/>
                    <w:tr2bl w:val="nil"/>
                  </w:tcBorders>
                  <w:vAlign w:val="center"/>
                </w:tcPr>
                <w:p w14:paraId="20521E50">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cs="Times New Roman"/>
                      <w:color w:val="auto"/>
                      <w:spacing w:val="0"/>
                      <w:position w:val="0"/>
                      <w:sz w:val="21"/>
                      <w:szCs w:val="21"/>
                      <w:lang w:val="en-US" w:eastAsia="zh-CN"/>
                    </w:rPr>
                    <w:t>新建</w:t>
                  </w:r>
                </w:p>
              </w:tc>
            </w:tr>
            <w:tr w14:paraId="0F852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365" w:type="pct"/>
                  <w:vMerge w:val="restart"/>
                  <w:tcBorders>
                    <w:tl2br w:val="nil"/>
                    <w:tr2bl w:val="nil"/>
                  </w:tcBorders>
                  <w:vAlign w:val="center"/>
                </w:tcPr>
                <w:p w14:paraId="4A1D22B9">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lang w:val="en-US" w:eastAsia="zh-CN"/>
                    </w:rPr>
                  </w:pPr>
                  <w:r>
                    <w:rPr>
                      <w:rFonts w:hint="eastAsia" w:cs="Times New Roman"/>
                      <w:b/>
                      <w:color w:val="auto"/>
                      <w:spacing w:val="0"/>
                      <w:position w:val="0"/>
                      <w:sz w:val="21"/>
                      <w:szCs w:val="21"/>
                      <w:lang w:val="en-US" w:eastAsia="zh-CN"/>
                    </w:rPr>
                    <w:t>环保工程</w:t>
                  </w:r>
                </w:p>
              </w:tc>
              <w:tc>
                <w:tcPr>
                  <w:tcW w:w="358" w:type="pct"/>
                  <w:vMerge w:val="restart"/>
                  <w:tcBorders>
                    <w:tl2br w:val="nil"/>
                    <w:tr2bl w:val="nil"/>
                  </w:tcBorders>
                  <w:vAlign w:val="center"/>
                </w:tcPr>
                <w:p w14:paraId="36B3AF6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aps w:val="0"/>
                      <w:smallCaps w:val="0"/>
                      <w:color w:val="auto"/>
                      <w:spacing w:val="0"/>
                      <w:w w:val="100"/>
                      <w:kern w:val="0"/>
                      <w:position w:val="0"/>
                      <w:sz w:val="21"/>
                      <w:szCs w:val="21"/>
                      <w:lang w:val="en-US" w:eastAsia="zh-CN"/>
                    </w:rPr>
                  </w:pPr>
                  <w:r>
                    <w:rPr>
                      <w:rFonts w:hint="eastAsia" w:cs="Times New Roman"/>
                      <w:caps w:val="0"/>
                      <w:smallCaps w:val="0"/>
                      <w:color w:val="auto"/>
                      <w:spacing w:val="0"/>
                      <w:w w:val="100"/>
                      <w:kern w:val="0"/>
                      <w:position w:val="0"/>
                      <w:sz w:val="21"/>
                      <w:szCs w:val="21"/>
                      <w:lang w:val="en-US" w:eastAsia="zh-CN"/>
                    </w:rPr>
                    <w:t>废气</w:t>
                  </w:r>
                </w:p>
              </w:tc>
              <w:tc>
                <w:tcPr>
                  <w:tcW w:w="248" w:type="pct"/>
                  <w:vMerge w:val="restart"/>
                  <w:tcBorders>
                    <w:tl2br w:val="nil"/>
                    <w:tr2bl w:val="nil"/>
                  </w:tcBorders>
                  <w:vAlign w:val="center"/>
                </w:tcPr>
                <w:p w14:paraId="7B58135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eastAsia" w:cs="Times New Roman"/>
                      <w:caps w:val="0"/>
                      <w:smallCaps w:val="0"/>
                      <w:color w:val="auto"/>
                      <w:spacing w:val="0"/>
                      <w:w w:val="100"/>
                      <w:position w:val="0"/>
                      <w:sz w:val="21"/>
                      <w:szCs w:val="21"/>
                      <w:lang w:val="en-US" w:eastAsia="zh-CN"/>
                    </w:rPr>
                    <w:t>1#热解分选生产区</w:t>
                  </w:r>
                </w:p>
              </w:tc>
              <w:tc>
                <w:tcPr>
                  <w:tcW w:w="1121" w:type="pct"/>
                  <w:tcBorders>
                    <w:tl2br w:val="nil"/>
                    <w:tr2bl w:val="nil"/>
                  </w:tcBorders>
                  <w:vAlign w:val="center"/>
                </w:tcPr>
                <w:p w14:paraId="2ADE01B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default" w:ascii="Times New Roman" w:hAnsi="Times New Roman" w:eastAsia="宋体" w:cs="Times New Roman"/>
                      <w:caps w:val="0"/>
                      <w:smallCaps w:val="0"/>
                      <w:color w:val="auto"/>
                      <w:spacing w:val="0"/>
                      <w:w w:val="100"/>
                      <w:position w:val="0"/>
                      <w:sz w:val="21"/>
                      <w:szCs w:val="21"/>
                      <w:lang w:val="en-US" w:eastAsia="zh-CN"/>
                    </w:rPr>
                    <w:t>热解炉尾气、燃烧室不凝气燃烧废气、清洗炉燃烧烟气、烘干炉燃烧烟气</w:t>
                  </w:r>
                  <w:r>
                    <w:rPr>
                      <w:rFonts w:hint="eastAsia" w:cs="Times New Roman"/>
                      <w:caps w:val="0"/>
                      <w:smallCaps w:val="0"/>
                      <w:color w:val="auto"/>
                      <w:spacing w:val="0"/>
                      <w:w w:val="100"/>
                      <w:position w:val="0"/>
                      <w:sz w:val="21"/>
                      <w:szCs w:val="21"/>
                      <w:lang w:val="en-US" w:eastAsia="zh-CN"/>
                    </w:rPr>
                    <w:t>、</w:t>
                  </w:r>
                  <w:r>
                    <w:rPr>
                      <w:rFonts w:hint="eastAsia" w:ascii="宋体" w:hAnsi="宋体" w:cs="宋体"/>
                      <w:i w:val="0"/>
                      <w:iCs w:val="0"/>
                      <w:color w:val="000000"/>
                      <w:kern w:val="0"/>
                      <w:sz w:val="21"/>
                      <w:szCs w:val="21"/>
                      <w:u w:val="none"/>
                      <w:lang w:val="en-US" w:eastAsia="zh-CN" w:bidi="ar"/>
                    </w:rPr>
                    <w:t>油罐呼吸气</w:t>
                  </w:r>
                </w:p>
              </w:tc>
              <w:tc>
                <w:tcPr>
                  <w:tcW w:w="2579" w:type="pct"/>
                  <w:gridSpan w:val="2"/>
                  <w:tcBorders>
                    <w:tl2br w:val="nil"/>
                    <w:tr2bl w:val="nil"/>
                  </w:tcBorders>
                  <w:vAlign w:val="center"/>
                </w:tcPr>
                <w:p w14:paraId="5A9B3E3C">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eastAsia" w:cs="Times New Roman"/>
                      <w:b w:val="0"/>
                      <w:bCs w:val="0"/>
                      <w:color w:val="auto"/>
                      <w:spacing w:val="0"/>
                      <w:kern w:val="10"/>
                      <w:position w:val="0"/>
                      <w:sz w:val="21"/>
                      <w:szCs w:val="21"/>
                      <w:lang w:val="en-US" w:eastAsia="zh-CN"/>
                    </w:rPr>
                    <w:t>热解炉、燃气室、清洗炉和烘干炉均设置密闭管道，热解炉炉体出料口上方设置集气罩，油罐呼吸阀接密闭管道。</w:t>
                  </w:r>
                  <w:r>
                    <w:rPr>
                      <w:rFonts w:hint="eastAsia" w:ascii="Times New Roman" w:hAnsi="Times New Roman" w:eastAsia="宋体" w:cs="Times New Roman"/>
                      <w:b w:val="0"/>
                      <w:bCs w:val="0"/>
                      <w:color w:val="auto"/>
                      <w:spacing w:val="0"/>
                      <w:kern w:val="10"/>
                      <w:position w:val="0"/>
                      <w:sz w:val="21"/>
                      <w:szCs w:val="21"/>
                      <w:lang w:val="en-US" w:eastAsia="zh-CN"/>
                    </w:rPr>
                    <w:t>热解炉尾气、燃烧室不凝气燃烧废气、清洗炉燃烧烟气、烘干炉燃烧烟气</w:t>
                  </w:r>
                  <w:r>
                    <w:rPr>
                      <w:rFonts w:hint="eastAsia" w:cs="Times New Roman"/>
                      <w:b w:val="0"/>
                      <w:bCs w:val="0"/>
                      <w:color w:val="auto"/>
                      <w:spacing w:val="0"/>
                      <w:kern w:val="10"/>
                      <w:position w:val="0"/>
                      <w:sz w:val="21"/>
                      <w:szCs w:val="21"/>
                      <w:lang w:val="en-US" w:eastAsia="zh-CN"/>
                    </w:rPr>
                    <w:t>、油罐呼吸气</w:t>
                  </w:r>
                  <w:r>
                    <w:rPr>
                      <w:rFonts w:hint="eastAsia" w:ascii="Times New Roman" w:hAnsi="Times New Roman" w:eastAsia="宋体" w:cs="Times New Roman"/>
                      <w:b w:val="0"/>
                      <w:bCs w:val="0"/>
                      <w:color w:val="auto"/>
                      <w:spacing w:val="0"/>
                      <w:kern w:val="10"/>
                      <w:position w:val="0"/>
                      <w:sz w:val="21"/>
                      <w:szCs w:val="21"/>
                      <w:lang w:val="en-US" w:eastAsia="zh-CN"/>
                    </w:rPr>
                    <w:t>经</w:t>
                  </w:r>
                  <w:r>
                    <w:rPr>
                      <w:rFonts w:hint="eastAsia" w:cs="Times New Roman"/>
                      <w:b w:val="0"/>
                      <w:bCs w:val="0"/>
                      <w:color w:val="auto"/>
                      <w:spacing w:val="0"/>
                      <w:kern w:val="10"/>
                      <w:position w:val="0"/>
                      <w:sz w:val="21"/>
                      <w:szCs w:val="21"/>
                      <w:lang w:val="en-US" w:eastAsia="zh-CN"/>
                    </w:rPr>
                    <w:t>负压</w:t>
                  </w:r>
                  <w:r>
                    <w:rPr>
                      <w:rFonts w:hint="eastAsia" w:ascii="Times New Roman" w:hAnsi="Times New Roman" w:eastAsia="宋体" w:cs="Times New Roman"/>
                      <w:b w:val="0"/>
                      <w:bCs w:val="0"/>
                      <w:color w:val="auto"/>
                      <w:spacing w:val="0"/>
                      <w:kern w:val="10"/>
                      <w:position w:val="0"/>
                      <w:sz w:val="21"/>
                      <w:szCs w:val="21"/>
                      <w:lang w:val="en-US" w:eastAsia="zh-CN"/>
                    </w:rPr>
                    <w:t>收集进入“</w:t>
                  </w:r>
                  <w:r>
                    <w:rPr>
                      <w:rFonts w:hint="eastAsia" w:cs="Times New Roman"/>
                      <w:b w:val="0"/>
                      <w:bCs w:val="0"/>
                      <w:color w:val="auto"/>
                      <w:spacing w:val="0"/>
                      <w:kern w:val="10"/>
                      <w:position w:val="0"/>
                      <w:sz w:val="21"/>
                      <w:szCs w:val="21"/>
                      <w:lang w:val="en-US" w:eastAsia="zh-CN"/>
                    </w:rPr>
                    <w:t>碱喷淋塔+干式过滤器+覆膜布袋除尘器+二级活性炭吸附装置</w:t>
                  </w:r>
                  <w:r>
                    <w:rPr>
                      <w:rFonts w:hint="eastAsia" w:ascii="Times New Roman" w:hAnsi="Times New Roman" w:eastAsia="宋体" w:cs="Times New Roman"/>
                      <w:b w:val="0"/>
                      <w:bCs w:val="0"/>
                      <w:color w:val="auto"/>
                      <w:spacing w:val="0"/>
                      <w:kern w:val="10"/>
                      <w:position w:val="0"/>
                      <w:sz w:val="21"/>
                      <w:szCs w:val="21"/>
                      <w:lang w:val="en-US" w:eastAsia="zh-CN"/>
                    </w:rPr>
                    <w:t>”处理后通过一根15m高排气筒</w:t>
                  </w:r>
                  <w:r>
                    <w:rPr>
                      <w:rFonts w:hint="eastAsia" w:cs="Times New Roman"/>
                      <w:caps w:val="0"/>
                      <w:smallCaps w:val="0"/>
                      <w:color w:val="auto"/>
                      <w:spacing w:val="0"/>
                      <w:w w:val="100"/>
                      <w:position w:val="0"/>
                      <w:sz w:val="21"/>
                      <w:szCs w:val="21"/>
                      <w:lang w:val="en-US" w:eastAsia="zh-CN"/>
                    </w:rPr>
                    <w:t>DA001排放。</w:t>
                  </w:r>
                </w:p>
              </w:tc>
              <w:tc>
                <w:tcPr>
                  <w:tcW w:w="326" w:type="pct"/>
                  <w:tcBorders>
                    <w:tl2br w:val="nil"/>
                    <w:tr2bl w:val="nil"/>
                  </w:tcBorders>
                  <w:vAlign w:val="center"/>
                </w:tcPr>
                <w:p w14:paraId="4DF6B8D5">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color w:val="auto"/>
                      <w:spacing w:val="0"/>
                      <w:position w:val="0"/>
                      <w:sz w:val="21"/>
                      <w:szCs w:val="21"/>
                    </w:rPr>
                  </w:pPr>
                  <w:r>
                    <w:rPr>
                      <w:rFonts w:hint="eastAsia" w:cs="Times New Roman"/>
                      <w:color w:val="auto"/>
                      <w:spacing w:val="0"/>
                      <w:position w:val="0"/>
                      <w:sz w:val="21"/>
                      <w:szCs w:val="21"/>
                      <w:lang w:val="en-US" w:eastAsia="zh-CN"/>
                    </w:rPr>
                    <w:t>新建</w:t>
                  </w:r>
                </w:p>
              </w:tc>
            </w:tr>
            <w:tr w14:paraId="1C7CD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365" w:type="pct"/>
                  <w:vMerge w:val="continue"/>
                  <w:tcBorders>
                    <w:tl2br w:val="nil"/>
                    <w:tr2bl w:val="nil"/>
                  </w:tcBorders>
                  <w:vAlign w:val="center"/>
                </w:tcPr>
                <w:p w14:paraId="3BF2BCE7">
                  <w:pPr>
                    <w:keepNext w:val="0"/>
                    <w:keepLines w:val="0"/>
                    <w:pageBreakBefore w:val="0"/>
                    <w:kinsoku/>
                    <w:wordWrap/>
                    <w:overflowPunct/>
                    <w:topLinePunct w:val="0"/>
                    <w:autoSpaceDE/>
                    <w:autoSpaceDN/>
                    <w:bidi w:val="0"/>
                    <w:adjustRightInd/>
                    <w:snapToGrid/>
                    <w:ind w:firstLine="0" w:firstLineChars="0"/>
                    <w:jc w:val="center"/>
                    <w:rPr>
                      <w:rFonts w:hint="eastAsia" w:cs="Times New Roman"/>
                      <w:b/>
                      <w:color w:val="auto"/>
                      <w:spacing w:val="0"/>
                      <w:position w:val="0"/>
                      <w:sz w:val="21"/>
                      <w:szCs w:val="21"/>
                      <w:lang w:val="en-US" w:eastAsia="zh-CN"/>
                    </w:rPr>
                  </w:pPr>
                </w:p>
              </w:tc>
              <w:tc>
                <w:tcPr>
                  <w:tcW w:w="358" w:type="pct"/>
                  <w:vMerge w:val="continue"/>
                  <w:tcBorders>
                    <w:tl2br w:val="nil"/>
                    <w:tr2bl w:val="nil"/>
                  </w:tcBorders>
                  <w:vAlign w:val="center"/>
                </w:tcPr>
                <w:p w14:paraId="2EA1E58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caps w:val="0"/>
                      <w:smallCaps w:val="0"/>
                      <w:color w:val="auto"/>
                      <w:spacing w:val="0"/>
                      <w:w w:val="100"/>
                      <w:kern w:val="0"/>
                      <w:position w:val="0"/>
                      <w:sz w:val="21"/>
                      <w:szCs w:val="21"/>
                      <w:lang w:val="en-US" w:eastAsia="zh-CN"/>
                    </w:rPr>
                  </w:pPr>
                </w:p>
              </w:tc>
              <w:tc>
                <w:tcPr>
                  <w:tcW w:w="248" w:type="pct"/>
                  <w:vMerge w:val="continue"/>
                  <w:tcBorders>
                    <w:tl2br w:val="nil"/>
                    <w:tr2bl w:val="nil"/>
                  </w:tcBorders>
                  <w:vAlign w:val="center"/>
                </w:tcPr>
                <w:p w14:paraId="442813B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p>
              </w:tc>
              <w:tc>
                <w:tcPr>
                  <w:tcW w:w="1121" w:type="pct"/>
                  <w:tcBorders>
                    <w:tl2br w:val="nil"/>
                    <w:tr2bl w:val="nil"/>
                  </w:tcBorders>
                  <w:vAlign w:val="center"/>
                </w:tcPr>
                <w:p w14:paraId="2E63459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cs="Times New Roman"/>
                      <w:caps w:val="0"/>
                      <w:smallCaps w:val="0"/>
                      <w:color w:val="auto"/>
                      <w:spacing w:val="0"/>
                      <w:w w:val="100"/>
                      <w:position w:val="0"/>
                      <w:sz w:val="21"/>
                      <w:szCs w:val="21"/>
                      <w:lang w:val="en-US" w:eastAsia="zh-CN"/>
                    </w:rPr>
                  </w:pPr>
                  <w:r>
                    <w:rPr>
                      <w:rFonts w:hint="eastAsia" w:cs="Times New Roman"/>
                      <w:caps w:val="0"/>
                      <w:smallCaps w:val="0"/>
                      <w:color w:val="auto"/>
                      <w:spacing w:val="0"/>
                      <w:w w:val="100"/>
                      <w:position w:val="0"/>
                      <w:sz w:val="21"/>
                      <w:szCs w:val="21"/>
                      <w:lang w:val="en-US" w:eastAsia="zh-CN"/>
                    </w:rPr>
                    <w:t>进仓（1、3、4、5、7、9）粉尘、炉渣筛分粉尘、旋风分离粉尘、硅粉包装粉尘、风选粉尘</w:t>
                  </w:r>
                </w:p>
              </w:tc>
              <w:tc>
                <w:tcPr>
                  <w:tcW w:w="2579" w:type="pct"/>
                  <w:gridSpan w:val="2"/>
                  <w:tcBorders>
                    <w:tl2br w:val="nil"/>
                    <w:tr2bl w:val="nil"/>
                  </w:tcBorders>
                  <w:vAlign w:val="center"/>
                </w:tcPr>
                <w:p w14:paraId="6C8865A5">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cs="Times New Roman"/>
                      <w:caps w:val="0"/>
                      <w:smallCaps w:val="0"/>
                      <w:color w:val="auto"/>
                      <w:spacing w:val="0"/>
                      <w:w w:val="100"/>
                      <w:position w:val="0"/>
                      <w:sz w:val="21"/>
                      <w:szCs w:val="21"/>
                      <w:lang w:val="en-US" w:eastAsia="zh-CN"/>
                    </w:rPr>
                  </w:pPr>
                  <w:r>
                    <w:rPr>
                      <w:rFonts w:hint="eastAsia" w:cs="Times New Roman"/>
                      <w:caps w:val="0"/>
                      <w:smallCaps w:val="0"/>
                      <w:color w:val="auto"/>
                      <w:spacing w:val="0"/>
                      <w:w w:val="100"/>
                      <w:position w:val="0"/>
                      <w:sz w:val="21"/>
                      <w:szCs w:val="21"/>
                      <w:lang w:val="en-US" w:eastAsia="zh-CN"/>
                    </w:rPr>
                    <w:t>筛分机、风选机、旋风分离器接密闭管道，储料仓进料口和传送带出料口上方、硅粉包装工位上方设置集气罩。粉尘经负压收集进入1套“布袋除尘器+水喷淋塔”处理后通过一根15m高排气筒DA002排放。</w:t>
                  </w:r>
                </w:p>
              </w:tc>
              <w:tc>
                <w:tcPr>
                  <w:tcW w:w="326" w:type="pct"/>
                  <w:tcBorders>
                    <w:tl2br w:val="nil"/>
                    <w:tr2bl w:val="nil"/>
                  </w:tcBorders>
                  <w:vAlign w:val="center"/>
                </w:tcPr>
                <w:p w14:paraId="25DF6EAF">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eastAsia" w:cs="Times New Roman"/>
                      <w:color w:val="auto"/>
                      <w:spacing w:val="0"/>
                      <w:position w:val="0"/>
                      <w:sz w:val="21"/>
                      <w:szCs w:val="21"/>
                      <w:lang w:val="en-US" w:eastAsia="zh-CN"/>
                    </w:rPr>
                  </w:pPr>
                  <w:r>
                    <w:rPr>
                      <w:rFonts w:hint="default" w:ascii="Times New Roman" w:hAnsi="Times New Roman" w:cs="Times New Roman"/>
                      <w:b w:val="0"/>
                      <w:bCs/>
                      <w:color w:val="auto"/>
                      <w:spacing w:val="0"/>
                      <w:position w:val="0"/>
                      <w:sz w:val="21"/>
                      <w:szCs w:val="21"/>
                      <w:lang w:val="en-US" w:eastAsia="zh-CN"/>
                    </w:rPr>
                    <w:t>新建</w:t>
                  </w:r>
                </w:p>
              </w:tc>
            </w:tr>
            <w:tr w14:paraId="7ECFE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365" w:type="pct"/>
                  <w:vMerge w:val="continue"/>
                  <w:tcBorders>
                    <w:tl2br w:val="nil"/>
                    <w:tr2bl w:val="nil"/>
                  </w:tcBorders>
                  <w:vAlign w:val="center"/>
                </w:tcPr>
                <w:p w14:paraId="0094152C">
                  <w:pPr>
                    <w:keepNext w:val="0"/>
                    <w:keepLines w:val="0"/>
                    <w:pageBreakBefore w:val="0"/>
                    <w:kinsoku/>
                    <w:wordWrap/>
                    <w:overflowPunct/>
                    <w:topLinePunct w:val="0"/>
                    <w:autoSpaceDE/>
                    <w:autoSpaceDN/>
                    <w:bidi w:val="0"/>
                    <w:adjustRightInd/>
                    <w:snapToGrid/>
                    <w:ind w:firstLine="0" w:firstLineChars="0"/>
                    <w:jc w:val="center"/>
                    <w:rPr>
                      <w:rFonts w:hint="eastAsia" w:cs="Times New Roman"/>
                      <w:b/>
                      <w:color w:val="auto"/>
                      <w:spacing w:val="0"/>
                      <w:position w:val="0"/>
                      <w:sz w:val="21"/>
                      <w:szCs w:val="21"/>
                      <w:lang w:val="en-US" w:eastAsia="zh-CN"/>
                    </w:rPr>
                  </w:pPr>
                </w:p>
              </w:tc>
              <w:tc>
                <w:tcPr>
                  <w:tcW w:w="358" w:type="pct"/>
                  <w:vMerge w:val="continue"/>
                  <w:tcBorders>
                    <w:tl2br w:val="nil"/>
                    <w:tr2bl w:val="nil"/>
                  </w:tcBorders>
                  <w:vAlign w:val="center"/>
                </w:tcPr>
                <w:p w14:paraId="33EEE47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caps w:val="0"/>
                      <w:smallCaps w:val="0"/>
                      <w:color w:val="auto"/>
                      <w:spacing w:val="0"/>
                      <w:w w:val="100"/>
                      <w:kern w:val="0"/>
                      <w:position w:val="0"/>
                      <w:sz w:val="21"/>
                      <w:szCs w:val="21"/>
                      <w:lang w:val="en-US" w:eastAsia="zh-CN"/>
                    </w:rPr>
                  </w:pPr>
                </w:p>
              </w:tc>
              <w:tc>
                <w:tcPr>
                  <w:tcW w:w="248" w:type="pct"/>
                  <w:vMerge w:val="continue"/>
                  <w:tcBorders>
                    <w:tl2br w:val="nil"/>
                    <w:tr2bl w:val="nil"/>
                  </w:tcBorders>
                  <w:vAlign w:val="center"/>
                </w:tcPr>
                <w:p w14:paraId="5F3D66D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p>
              </w:tc>
              <w:tc>
                <w:tcPr>
                  <w:tcW w:w="1121" w:type="pct"/>
                  <w:tcBorders>
                    <w:tl2br w:val="nil"/>
                    <w:tr2bl w:val="nil"/>
                  </w:tcBorders>
                  <w:vAlign w:val="center"/>
                </w:tcPr>
                <w:p w14:paraId="1DE1684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aps w:val="0"/>
                      <w:smallCaps w:val="0"/>
                      <w:color w:val="auto"/>
                      <w:spacing w:val="0"/>
                      <w:w w:val="100"/>
                      <w:position w:val="0"/>
                      <w:sz w:val="21"/>
                      <w:szCs w:val="21"/>
                      <w:lang w:val="en-US" w:eastAsia="zh-CN"/>
                    </w:rPr>
                  </w:pPr>
                  <w:r>
                    <w:rPr>
                      <w:rFonts w:hint="eastAsia" w:cs="Times New Roman"/>
                      <w:caps w:val="0"/>
                      <w:smallCaps w:val="0"/>
                      <w:color w:val="auto"/>
                      <w:spacing w:val="0"/>
                      <w:w w:val="100"/>
                      <w:position w:val="0"/>
                      <w:sz w:val="21"/>
                      <w:szCs w:val="21"/>
                      <w:lang w:val="en-US" w:eastAsia="zh-CN"/>
                    </w:rPr>
                    <w:t>进仓（6、8、10、12、13）粉尘、玻璃筛分粉尘、玻璃粉包装粉尘</w:t>
                  </w:r>
                </w:p>
              </w:tc>
              <w:tc>
                <w:tcPr>
                  <w:tcW w:w="2579" w:type="pct"/>
                  <w:gridSpan w:val="2"/>
                  <w:tcBorders>
                    <w:tl2br w:val="nil"/>
                    <w:tr2bl w:val="nil"/>
                  </w:tcBorders>
                  <w:vAlign w:val="center"/>
                </w:tcPr>
                <w:p w14:paraId="3CE1F290">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cs="Times New Roman"/>
                      <w:caps w:val="0"/>
                      <w:smallCaps w:val="0"/>
                      <w:color w:val="auto"/>
                      <w:spacing w:val="0"/>
                      <w:w w:val="100"/>
                      <w:position w:val="0"/>
                      <w:sz w:val="21"/>
                      <w:szCs w:val="21"/>
                      <w:lang w:val="en-US" w:eastAsia="zh-CN"/>
                    </w:rPr>
                  </w:pPr>
                  <w:r>
                    <w:rPr>
                      <w:rFonts w:hint="eastAsia" w:cs="Times New Roman"/>
                      <w:caps w:val="0"/>
                      <w:smallCaps w:val="0"/>
                      <w:color w:val="auto"/>
                      <w:spacing w:val="0"/>
                      <w:w w:val="100"/>
                      <w:position w:val="0"/>
                      <w:sz w:val="21"/>
                      <w:szCs w:val="21"/>
                      <w:lang w:val="en-US" w:eastAsia="zh-CN"/>
                    </w:rPr>
                    <w:t>筛分机接密闭管道，储料仓进料口和传送带出料口上方、玻璃粉包装工位上方设置集气罩。粉尘经负压收集进入1套“布袋除尘器+水喷淋塔”处理后并入15m高排气筒DA002排放。</w:t>
                  </w:r>
                </w:p>
              </w:tc>
              <w:tc>
                <w:tcPr>
                  <w:tcW w:w="326" w:type="pct"/>
                  <w:tcBorders>
                    <w:tl2br w:val="nil"/>
                    <w:tr2bl w:val="nil"/>
                  </w:tcBorders>
                  <w:vAlign w:val="center"/>
                </w:tcPr>
                <w:p w14:paraId="1D896259">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eastAsia" w:cs="Times New Roman"/>
                      <w:color w:val="auto"/>
                      <w:spacing w:val="0"/>
                      <w:position w:val="0"/>
                      <w:sz w:val="21"/>
                      <w:szCs w:val="21"/>
                      <w:lang w:val="en-US" w:eastAsia="zh-CN"/>
                    </w:rPr>
                  </w:pPr>
                  <w:r>
                    <w:rPr>
                      <w:rFonts w:hint="eastAsia" w:cs="Times New Roman"/>
                      <w:color w:val="auto"/>
                      <w:spacing w:val="0"/>
                      <w:position w:val="0"/>
                      <w:sz w:val="21"/>
                      <w:szCs w:val="21"/>
                      <w:lang w:val="en-US" w:eastAsia="zh-CN"/>
                    </w:rPr>
                    <w:t>新建</w:t>
                  </w:r>
                </w:p>
              </w:tc>
            </w:tr>
            <w:tr w14:paraId="1C690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365" w:type="pct"/>
                  <w:vMerge w:val="continue"/>
                  <w:tcBorders>
                    <w:tl2br w:val="nil"/>
                    <w:tr2bl w:val="nil"/>
                  </w:tcBorders>
                  <w:vAlign w:val="center"/>
                </w:tcPr>
                <w:p w14:paraId="03068D5B">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vMerge w:val="continue"/>
                  <w:tcBorders>
                    <w:tl2br w:val="nil"/>
                    <w:tr2bl w:val="nil"/>
                  </w:tcBorders>
                  <w:vAlign w:val="center"/>
                </w:tcPr>
                <w:p w14:paraId="33883C2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caps w:val="0"/>
                      <w:smallCaps w:val="0"/>
                      <w:color w:val="auto"/>
                      <w:spacing w:val="0"/>
                      <w:w w:val="100"/>
                      <w:kern w:val="0"/>
                      <w:position w:val="0"/>
                      <w:sz w:val="21"/>
                      <w:szCs w:val="21"/>
                      <w:lang w:val="en-US" w:eastAsia="zh-CN"/>
                    </w:rPr>
                  </w:pPr>
                </w:p>
              </w:tc>
              <w:tc>
                <w:tcPr>
                  <w:tcW w:w="248" w:type="pct"/>
                  <w:vMerge w:val="restart"/>
                  <w:tcBorders>
                    <w:tl2br w:val="nil"/>
                    <w:tr2bl w:val="nil"/>
                  </w:tcBorders>
                  <w:shd w:val="clear" w:color="auto" w:fill="auto"/>
                  <w:vAlign w:val="center"/>
                </w:tcPr>
                <w:p w14:paraId="15D9552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caps w:val="0"/>
                      <w:smallCaps w:val="0"/>
                      <w:color w:val="auto"/>
                      <w:spacing w:val="0"/>
                      <w:w w:val="100"/>
                      <w:position w:val="0"/>
                      <w:sz w:val="21"/>
                      <w:szCs w:val="21"/>
                      <w:lang w:val="en-US" w:eastAsia="zh-CN"/>
                    </w:rPr>
                    <w:t>2#热解分选生产区</w:t>
                  </w:r>
                </w:p>
              </w:tc>
              <w:tc>
                <w:tcPr>
                  <w:tcW w:w="1121" w:type="pct"/>
                  <w:tcBorders>
                    <w:tl2br w:val="nil"/>
                    <w:tr2bl w:val="nil"/>
                  </w:tcBorders>
                  <w:shd w:val="clear" w:color="auto" w:fill="auto"/>
                  <w:vAlign w:val="center"/>
                </w:tcPr>
                <w:p w14:paraId="0AEB153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lang w:val="en-US" w:eastAsia="zh-CN"/>
                    </w:rPr>
                    <w:t>热解炉尾气、燃烧室不凝气燃烧废气、清洗炉燃烧烟气、烘干炉燃烧烟气</w:t>
                  </w:r>
                  <w:r>
                    <w:rPr>
                      <w:rFonts w:hint="eastAsia" w:cs="Times New Roman"/>
                      <w:caps w:val="0"/>
                      <w:smallCaps w:val="0"/>
                      <w:color w:val="auto"/>
                      <w:spacing w:val="0"/>
                      <w:w w:val="100"/>
                      <w:position w:val="0"/>
                      <w:sz w:val="21"/>
                      <w:szCs w:val="21"/>
                      <w:lang w:val="en-US" w:eastAsia="zh-CN"/>
                    </w:rPr>
                    <w:t>、</w:t>
                  </w:r>
                  <w:r>
                    <w:rPr>
                      <w:rFonts w:hint="eastAsia" w:ascii="宋体" w:hAnsi="宋体" w:cs="宋体"/>
                      <w:i w:val="0"/>
                      <w:iCs w:val="0"/>
                      <w:color w:val="000000"/>
                      <w:kern w:val="0"/>
                      <w:sz w:val="21"/>
                      <w:szCs w:val="21"/>
                      <w:u w:val="none"/>
                      <w:lang w:val="en-US" w:eastAsia="zh-CN" w:bidi="ar"/>
                    </w:rPr>
                    <w:t>油罐呼吸气</w:t>
                  </w:r>
                </w:p>
              </w:tc>
              <w:tc>
                <w:tcPr>
                  <w:tcW w:w="2579" w:type="pct"/>
                  <w:gridSpan w:val="2"/>
                  <w:tcBorders>
                    <w:tl2br w:val="nil"/>
                    <w:tr2bl w:val="nil"/>
                  </w:tcBorders>
                  <w:shd w:val="clear" w:color="auto" w:fill="auto"/>
                  <w:vAlign w:val="center"/>
                </w:tcPr>
                <w:p w14:paraId="6A882714">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b w:val="0"/>
                      <w:bCs w:val="0"/>
                      <w:color w:val="auto"/>
                      <w:spacing w:val="0"/>
                      <w:kern w:val="10"/>
                      <w:position w:val="0"/>
                      <w:sz w:val="21"/>
                      <w:szCs w:val="21"/>
                      <w:lang w:val="en-US" w:eastAsia="zh-CN"/>
                    </w:rPr>
                    <w:t>热解炉、燃气室、清洗炉和烘干炉均设置密闭管道，热解炉炉体出料口上方设置集气罩，油罐呼吸阀接密闭管道。</w:t>
                  </w:r>
                  <w:r>
                    <w:rPr>
                      <w:rFonts w:hint="eastAsia" w:ascii="Times New Roman" w:hAnsi="Times New Roman" w:eastAsia="宋体" w:cs="Times New Roman"/>
                      <w:b w:val="0"/>
                      <w:bCs w:val="0"/>
                      <w:color w:val="auto"/>
                      <w:spacing w:val="0"/>
                      <w:kern w:val="10"/>
                      <w:position w:val="0"/>
                      <w:sz w:val="21"/>
                      <w:szCs w:val="21"/>
                      <w:lang w:val="en-US" w:eastAsia="zh-CN"/>
                    </w:rPr>
                    <w:t>热解炉尾气、燃烧室不凝气燃烧废气、清洗炉燃烧烟气、烘干炉燃烧烟气</w:t>
                  </w:r>
                  <w:r>
                    <w:rPr>
                      <w:rFonts w:hint="eastAsia" w:cs="Times New Roman"/>
                      <w:b w:val="0"/>
                      <w:bCs w:val="0"/>
                      <w:color w:val="auto"/>
                      <w:spacing w:val="0"/>
                      <w:kern w:val="10"/>
                      <w:position w:val="0"/>
                      <w:sz w:val="21"/>
                      <w:szCs w:val="21"/>
                      <w:lang w:val="en-US" w:eastAsia="zh-CN"/>
                    </w:rPr>
                    <w:t>、油罐呼吸气</w:t>
                  </w:r>
                  <w:r>
                    <w:rPr>
                      <w:rFonts w:hint="eastAsia" w:ascii="Times New Roman" w:hAnsi="Times New Roman" w:eastAsia="宋体" w:cs="Times New Roman"/>
                      <w:b w:val="0"/>
                      <w:bCs w:val="0"/>
                      <w:color w:val="auto"/>
                      <w:spacing w:val="0"/>
                      <w:kern w:val="10"/>
                      <w:position w:val="0"/>
                      <w:sz w:val="21"/>
                      <w:szCs w:val="21"/>
                      <w:lang w:val="en-US" w:eastAsia="zh-CN"/>
                    </w:rPr>
                    <w:t>经</w:t>
                  </w:r>
                  <w:r>
                    <w:rPr>
                      <w:rFonts w:hint="eastAsia" w:cs="Times New Roman"/>
                      <w:b w:val="0"/>
                      <w:bCs w:val="0"/>
                      <w:color w:val="auto"/>
                      <w:spacing w:val="0"/>
                      <w:kern w:val="10"/>
                      <w:position w:val="0"/>
                      <w:sz w:val="21"/>
                      <w:szCs w:val="21"/>
                      <w:lang w:val="en-US" w:eastAsia="zh-CN"/>
                    </w:rPr>
                    <w:t>负压</w:t>
                  </w:r>
                  <w:r>
                    <w:rPr>
                      <w:rFonts w:hint="eastAsia" w:ascii="Times New Roman" w:hAnsi="Times New Roman" w:eastAsia="宋体" w:cs="Times New Roman"/>
                      <w:b w:val="0"/>
                      <w:bCs w:val="0"/>
                      <w:color w:val="auto"/>
                      <w:spacing w:val="0"/>
                      <w:kern w:val="10"/>
                      <w:position w:val="0"/>
                      <w:sz w:val="21"/>
                      <w:szCs w:val="21"/>
                      <w:lang w:val="en-US" w:eastAsia="zh-CN"/>
                    </w:rPr>
                    <w:t>收集进入“</w:t>
                  </w:r>
                  <w:r>
                    <w:rPr>
                      <w:rFonts w:hint="eastAsia" w:cs="Times New Roman"/>
                      <w:b w:val="0"/>
                      <w:bCs w:val="0"/>
                      <w:color w:val="auto"/>
                      <w:spacing w:val="0"/>
                      <w:kern w:val="10"/>
                      <w:position w:val="0"/>
                      <w:sz w:val="21"/>
                      <w:szCs w:val="21"/>
                      <w:lang w:val="en-US" w:eastAsia="zh-CN"/>
                    </w:rPr>
                    <w:t>碱喷淋塔+干式过滤器+覆膜布袋除尘器+二级活性炭吸附装置</w:t>
                  </w:r>
                  <w:r>
                    <w:rPr>
                      <w:rFonts w:hint="eastAsia" w:ascii="Times New Roman" w:hAnsi="Times New Roman" w:eastAsia="宋体" w:cs="Times New Roman"/>
                      <w:b w:val="0"/>
                      <w:bCs w:val="0"/>
                      <w:color w:val="auto"/>
                      <w:spacing w:val="0"/>
                      <w:kern w:val="10"/>
                      <w:position w:val="0"/>
                      <w:sz w:val="21"/>
                      <w:szCs w:val="21"/>
                      <w:lang w:val="en-US" w:eastAsia="zh-CN"/>
                    </w:rPr>
                    <w:t>”处理后通过一根15m高排气筒</w:t>
                  </w:r>
                  <w:r>
                    <w:rPr>
                      <w:rFonts w:hint="eastAsia" w:cs="Times New Roman"/>
                      <w:caps w:val="0"/>
                      <w:smallCaps w:val="0"/>
                      <w:color w:val="auto"/>
                      <w:spacing w:val="0"/>
                      <w:w w:val="100"/>
                      <w:position w:val="0"/>
                      <w:sz w:val="21"/>
                      <w:szCs w:val="21"/>
                      <w:lang w:val="en-US" w:eastAsia="zh-CN"/>
                    </w:rPr>
                    <w:t>DA003排放。</w:t>
                  </w:r>
                </w:p>
              </w:tc>
              <w:tc>
                <w:tcPr>
                  <w:tcW w:w="326" w:type="pct"/>
                  <w:tcBorders>
                    <w:tl2br w:val="nil"/>
                    <w:tr2bl w:val="nil"/>
                  </w:tcBorders>
                  <w:vAlign w:val="center"/>
                </w:tcPr>
                <w:p w14:paraId="51DDCC6D">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eastAsia" w:ascii="Times New Roman" w:hAnsi="Times New Roman" w:eastAsia="宋体" w:cs="Times New Roman"/>
                      <w:color w:val="auto"/>
                      <w:spacing w:val="0"/>
                      <w:position w:val="0"/>
                      <w:sz w:val="21"/>
                      <w:szCs w:val="21"/>
                      <w:lang w:val="en-US" w:eastAsia="zh-CN"/>
                    </w:rPr>
                  </w:pPr>
                  <w:r>
                    <w:rPr>
                      <w:rFonts w:hint="eastAsia" w:cs="Times New Roman"/>
                      <w:color w:val="auto"/>
                      <w:spacing w:val="0"/>
                      <w:position w:val="0"/>
                      <w:sz w:val="21"/>
                      <w:szCs w:val="21"/>
                      <w:lang w:val="en-US" w:eastAsia="zh-CN"/>
                    </w:rPr>
                    <w:t>新建</w:t>
                  </w:r>
                </w:p>
              </w:tc>
            </w:tr>
            <w:tr w14:paraId="1C86D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365" w:type="pct"/>
                  <w:vMerge w:val="continue"/>
                  <w:tcBorders>
                    <w:tl2br w:val="nil"/>
                    <w:tr2bl w:val="nil"/>
                  </w:tcBorders>
                  <w:vAlign w:val="center"/>
                </w:tcPr>
                <w:p w14:paraId="1D9F8B77">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vMerge w:val="continue"/>
                  <w:tcBorders>
                    <w:tl2br w:val="nil"/>
                    <w:tr2bl w:val="nil"/>
                  </w:tcBorders>
                  <w:vAlign w:val="center"/>
                </w:tcPr>
                <w:p w14:paraId="1BEF111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caps w:val="0"/>
                      <w:smallCaps w:val="0"/>
                      <w:color w:val="auto"/>
                      <w:spacing w:val="0"/>
                      <w:w w:val="100"/>
                      <w:kern w:val="0"/>
                      <w:position w:val="0"/>
                      <w:sz w:val="21"/>
                      <w:szCs w:val="21"/>
                      <w:lang w:val="en-US" w:eastAsia="zh-CN"/>
                    </w:rPr>
                  </w:pPr>
                </w:p>
              </w:tc>
              <w:tc>
                <w:tcPr>
                  <w:tcW w:w="248" w:type="pct"/>
                  <w:vMerge w:val="continue"/>
                  <w:tcBorders>
                    <w:tl2br w:val="nil"/>
                    <w:tr2bl w:val="nil"/>
                  </w:tcBorders>
                  <w:vAlign w:val="center"/>
                </w:tcPr>
                <w:p w14:paraId="4731019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cs="Times New Roman"/>
                      <w:caps w:val="0"/>
                      <w:smallCaps w:val="0"/>
                      <w:color w:val="auto"/>
                      <w:spacing w:val="0"/>
                      <w:w w:val="100"/>
                      <w:position w:val="0"/>
                      <w:sz w:val="21"/>
                      <w:szCs w:val="21"/>
                      <w:lang w:val="en-US" w:eastAsia="zh-CN"/>
                    </w:rPr>
                  </w:pPr>
                </w:p>
              </w:tc>
              <w:tc>
                <w:tcPr>
                  <w:tcW w:w="1121" w:type="pct"/>
                  <w:tcBorders>
                    <w:tl2br w:val="nil"/>
                    <w:tr2bl w:val="nil"/>
                  </w:tcBorders>
                  <w:shd w:val="clear" w:color="auto" w:fill="auto"/>
                  <w:vAlign w:val="center"/>
                </w:tcPr>
                <w:p w14:paraId="584C8C7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caps w:val="0"/>
                      <w:smallCaps w:val="0"/>
                      <w:color w:val="auto"/>
                      <w:spacing w:val="0"/>
                      <w:w w:val="100"/>
                      <w:position w:val="0"/>
                      <w:sz w:val="21"/>
                      <w:szCs w:val="21"/>
                      <w:lang w:val="en-US" w:eastAsia="zh-CN"/>
                    </w:rPr>
                    <w:t>进仓（1、3、4、5、7、9）粉尘、炉渣筛分粉尘、旋风分离粉尘、硅粉包装粉尘、风选粉尘</w:t>
                  </w:r>
                </w:p>
              </w:tc>
              <w:tc>
                <w:tcPr>
                  <w:tcW w:w="2579" w:type="pct"/>
                  <w:gridSpan w:val="2"/>
                  <w:tcBorders>
                    <w:tl2br w:val="nil"/>
                    <w:tr2bl w:val="nil"/>
                  </w:tcBorders>
                  <w:shd w:val="clear" w:color="auto" w:fill="auto"/>
                  <w:vAlign w:val="center"/>
                </w:tcPr>
                <w:p w14:paraId="7C50853F">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caps w:val="0"/>
                      <w:smallCaps w:val="0"/>
                      <w:color w:val="auto"/>
                      <w:spacing w:val="0"/>
                      <w:w w:val="100"/>
                      <w:position w:val="0"/>
                      <w:sz w:val="21"/>
                      <w:szCs w:val="21"/>
                      <w:lang w:val="en-US" w:eastAsia="zh-CN"/>
                    </w:rPr>
                    <w:t>筛分机、风选机、旋风分离器接密闭管道，储料仓进料口和传送带出料口上方、硅粉包装工位上方设置集气罩。粉尘经负压收集进入1套“布袋除尘器+水喷淋塔”处理后通过一根15m高排气筒DA004排放。</w:t>
                  </w:r>
                </w:p>
              </w:tc>
              <w:tc>
                <w:tcPr>
                  <w:tcW w:w="326" w:type="pct"/>
                  <w:tcBorders>
                    <w:tl2br w:val="nil"/>
                    <w:tr2bl w:val="nil"/>
                  </w:tcBorders>
                  <w:vAlign w:val="center"/>
                </w:tcPr>
                <w:p w14:paraId="30B342B8">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eastAsia" w:cs="Times New Roman"/>
                      <w:color w:val="auto"/>
                      <w:spacing w:val="0"/>
                      <w:position w:val="0"/>
                      <w:sz w:val="21"/>
                      <w:szCs w:val="21"/>
                      <w:lang w:val="en-US" w:eastAsia="zh-CN"/>
                    </w:rPr>
                  </w:pPr>
                  <w:r>
                    <w:rPr>
                      <w:rFonts w:hint="eastAsia" w:cs="Times New Roman"/>
                      <w:color w:val="auto"/>
                      <w:spacing w:val="0"/>
                      <w:position w:val="0"/>
                      <w:sz w:val="21"/>
                      <w:szCs w:val="21"/>
                      <w:lang w:val="en-US" w:eastAsia="zh-CN"/>
                    </w:rPr>
                    <w:t>新建</w:t>
                  </w:r>
                </w:p>
              </w:tc>
            </w:tr>
            <w:tr w14:paraId="194A6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365" w:type="pct"/>
                  <w:vMerge w:val="continue"/>
                  <w:tcBorders>
                    <w:tl2br w:val="nil"/>
                    <w:tr2bl w:val="nil"/>
                  </w:tcBorders>
                  <w:vAlign w:val="center"/>
                </w:tcPr>
                <w:p w14:paraId="7549945B">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vMerge w:val="continue"/>
                  <w:tcBorders>
                    <w:tl2br w:val="nil"/>
                    <w:tr2bl w:val="nil"/>
                  </w:tcBorders>
                  <w:vAlign w:val="center"/>
                </w:tcPr>
                <w:p w14:paraId="0DC137E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caps w:val="0"/>
                      <w:smallCaps w:val="0"/>
                      <w:color w:val="auto"/>
                      <w:spacing w:val="0"/>
                      <w:w w:val="100"/>
                      <w:kern w:val="0"/>
                      <w:position w:val="0"/>
                      <w:sz w:val="21"/>
                      <w:szCs w:val="21"/>
                      <w:lang w:val="en-US" w:eastAsia="zh-CN"/>
                    </w:rPr>
                  </w:pPr>
                </w:p>
              </w:tc>
              <w:tc>
                <w:tcPr>
                  <w:tcW w:w="248" w:type="pct"/>
                  <w:vMerge w:val="continue"/>
                  <w:tcBorders>
                    <w:tl2br w:val="nil"/>
                    <w:tr2bl w:val="nil"/>
                  </w:tcBorders>
                  <w:vAlign w:val="center"/>
                </w:tcPr>
                <w:p w14:paraId="23B1243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cs="Times New Roman"/>
                      <w:caps w:val="0"/>
                      <w:smallCaps w:val="0"/>
                      <w:color w:val="auto"/>
                      <w:spacing w:val="0"/>
                      <w:w w:val="100"/>
                      <w:position w:val="0"/>
                      <w:sz w:val="21"/>
                      <w:szCs w:val="21"/>
                      <w:lang w:val="en-US" w:eastAsia="zh-CN"/>
                    </w:rPr>
                  </w:pPr>
                </w:p>
              </w:tc>
              <w:tc>
                <w:tcPr>
                  <w:tcW w:w="1121" w:type="pct"/>
                  <w:tcBorders>
                    <w:tl2br w:val="nil"/>
                    <w:tr2bl w:val="nil"/>
                  </w:tcBorders>
                  <w:shd w:val="clear" w:color="auto" w:fill="auto"/>
                  <w:vAlign w:val="center"/>
                </w:tcPr>
                <w:p w14:paraId="3ED5F64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caps w:val="0"/>
                      <w:smallCaps w:val="0"/>
                      <w:color w:val="auto"/>
                      <w:spacing w:val="0"/>
                      <w:w w:val="100"/>
                      <w:position w:val="0"/>
                      <w:sz w:val="21"/>
                      <w:szCs w:val="21"/>
                      <w:lang w:val="en-US" w:eastAsia="zh-CN"/>
                    </w:rPr>
                    <w:t>进仓（6、8、10、12、13）粉尘、玻璃筛分粉尘、玻璃粉包装粉尘</w:t>
                  </w:r>
                </w:p>
              </w:tc>
              <w:tc>
                <w:tcPr>
                  <w:tcW w:w="2579" w:type="pct"/>
                  <w:gridSpan w:val="2"/>
                  <w:tcBorders>
                    <w:tl2br w:val="nil"/>
                    <w:tr2bl w:val="nil"/>
                  </w:tcBorders>
                  <w:shd w:val="clear" w:color="auto" w:fill="auto"/>
                  <w:vAlign w:val="center"/>
                </w:tcPr>
                <w:p w14:paraId="71CBC705">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caps w:val="0"/>
                      <w:smallCaps w:val="0"/>
                      <w:color w:val="auto"/>
                      <w:spacing w:val="0"/>
                      <w:w w:val="100"/>
                      <w:position w:val="0"/>
                      <w:sz w:val="21"/>
                      <w:szCs w:val="21"/>
                      <w:lang w:val="en-US" w:eastAsia="zh-CN"/>
                    </w:rPr>
                    <w:t>筛分机接密闭管道，储料仓进料口和传送带出料口上方、玻璃粉包装工位上方设置集气罩。粉尘经负压收集进入1套“布袋除尘器+水喷淋塔”处理后并入15m高排气筒DA004排放。</w:t>
                  </w:r>
                </w:p>
              </w:tc>
              <w:tc>
                <w:tcPr>
                  <w:tcW w:w="326" w:type="pct"/>
                  <w:tcBorders>
                    <w:tl2br w:val="nil"/>
                    <w:tr2bl w:val="nil"/>
                  </w:tcBorders>
                  <w:vAlign w:val="center"/>
                </w:tcPr>
                <w:p w14:paraId="517ED257">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eastAsia" w:cs="Times New Roman"/>
                      <w:color w:val="auto"/>
                      <w:spacing w:val="0"/>
                      <w:position w:val="0"/>
                      <w:sz w:val="21"/>
                      <w:szCs w:val="21"/>
                      <w:lang w:val="en-US" w:eastAsia="zh-CN"/>
                    </w:rPr>
                  </w:pPr>
                  <w:r>
                    <w:rPr>
                      <w:rFonts w:hint="eastAsia" w:cs="Times New Roman"/>
                      <w:color w:val="auto"/>
                      <w:spacing w:val="0"/>
                      <w:position w:val="0"/>
                      <w:sz w:val="21"/>
                      <w:szCs w:val="21"/>
                      <w:lang w:val="en-US" w:eastAsia="zh-CN"/>
                    </w:rPr>
                    <w:t>新建</w:t>
                  </w:r>
                </w:p>
              </w:tc>
            </w:tr>
            <w:tr w14:paraId="141D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365" w:type="pct"/>
                  <w:vMerge w:val="continue"/>
                  <w:tcBorders>
                    <w:tl2br w:val="nil"/>
                    <w:tr2bl w:val="nil"/>
                  </w:tcBorders>
                  <w:vAlign w:val="center"/>
                </w:tcPr>
                <w:p w14:paraId="517C3FA8">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tcBorders>
                    <w:tl2br w:val="nil"/>
                    <w:tr2bl w:val="nil"/>
                  </w:tcBorders>
                  <w:vAlign w:val="center"/>
                </w:tcPr>
                <w:p w14:paraId="3C45FE6E">
                  <w:pPr>
                    <w:keepNext w:val="0"/>
                    <w:keepLines w:val="0"/>
                    <w:pageBreakBefore w:val="0"/>
                    <w:widowControl/>
                    <w:kinsoku/>
                    <w:wordWrap/>
                    <w:overflowPunct/>
                    <w:topLinePunct w:val="0"/>
                    <w:autoSpaceDE/>
                    <w:autoSpaceDN/>
                    <w:bidi w:val="0"/>
                    <w:adjustRightInd/>
                    <w:snapToGrid/>
                    <w:ind w:firstLine="0" w:firstLineChars="0"/>
                    <w:jc w:val="center"/>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cs="Times New Roman"/>
                      <w:color w:val="auto"/>
                      <w:spacing w:val="0"/>
                      <w:position w:val="0"/>
                      <w:sz w:val="21"/>
                      <w:szCs w:val="21"/>
                      <w:lang w:val="en-US" w:eastAsia="zh-CN"/>
                    </w:rPr>
                    <w:t>废水</w:t>
                  </w:r>
                </w:p>
              </w:tc>
              <w:tc>
                <w:tcPr>
                  <w:tcW w:w="3950" w:type="pct"/>
                  <w:gridSpan w:val="4"/>
                  <w:tcBorders>
                    <w:tl2br w:val="nil"/>
                    <w:tr2bl w:val="nil"/>
                  </w:tcBorders>
                  <w:vAlign w:val="center"/>
                </w:tcPr>
                <w:p w14:paraId="3A20C837">
                  <w:pPr>
                    <w:keepNext w:val="0"/>
                    <w:keepLines w:val="0"/>
                    <w:pageBreakBefore w:val="0"/>
                    <w:widowControl/>
                    <w:numPr>
                      <w:ilvl w:val="0"/>
                      <w:numId w:val="0"/>
                    </w:numPr>
                    <w:kinsoku/>
                    <w:wordWrap/>
                    <w:overflowPunct/>
                    <w:topLinePunct w:val="0"/>
                    <w:autoSpaceDE/>
                    <w:autoSpaceDN/>
                    <w:bidi w:val="0"/>
                    <w:adjustRightInd/>
                    <w:snapToGrid/>
                    <w:jc w:val="left"/>
                    <w:textAlignment w:val="center"/>
                    <w:rPr>
                      <w:rFonts w:hint="eastAsia" w:ascii="Times New Roman" w:hAnsi="Times New Roman" w:eastAsia="宋体" w:cs="Times New Roman"/>
                      <w:caps w:val="0"/>
                      <w:smallCaps w:val="0"/>
                      <w:color w:val="auto"/>
                      <w:spacing w:val="0"/>
                      <w:w w:val="100"/>
                      <w:position w:val="0"/>
                      <w:sz w:val="21"/>
                      <w:szCs w:val="21"/>
                      <w:lang w:val="en-US" w:eastAsia="zh-CN"/>
                    </w:rPr>
                  </w:pPr>
                  <w:r>
                    <w:rPr>
                      <w:rFonts w:hint="eastAsia" w:cs="Times New Roman"/>
                      <w:caps w:val="0"/>
                      <w:smallCaps w:val="0"/>
                      <w:color w:val="auto"/>
                      <w:spacing w:val="0"/>
                      <w:w w:val="100"/>
                      <w:position w:val="0"/>
                      <w:sz w:val="21"/>
                      <w:szCs w:val="21"/>
                      <w:lang w:val="en-US" w:eastAsia="zh-CN"/>
                    </w:rPr>
                    <w:t>1）</w:t>
                  </w:r>
                  <w:r>
                    <w:rPr>
                      <w:rFonts w:hint="eastAsia" w:ascii="Times New Roman" w:hAnsi="Times New Roman" w:eastAsia="宋体" w:cs="Times New Roman"/>
                      <w:caps w:val="0"/>
                      <w:smallCaps w:val="0"/>
                      <w:color w:val="auto"/>
                      <w:spacing w:val="0"/>
                      <w:w w:val="100"/>
                      <w:position w:val="0"/>
                      <w:sz w:val="21"/>
                      <w:szCs w:val="21"/>
                      <w:lang w:val="en-US" w:eastAsia="zh-CN"/>
                    </w:rPr>
                    <w:t>项目碱洗废水、洗砂废水经车间沉淀池沉淀后回用，不外排；</w:t>
                  </w:r>
                </w:p>
                <w:p w14:paraId="51A900E4">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center"/>
                    <w:rPr>
                      <w:rFonts w:hint="eastAsia" w:ascii="Times New Roman" w:hAnsi="Times New Roman" w:eastAsia="宋体" w:cs="Times New Roman"/>
                      <w:color w:val="auto"/>
                      <w:sz w:val="21"/>
                      <w:szCs w:val="21"/>
                      <w:lang w:val="en-US" w:eastAsia="zh-CN"/>
                    </w:rPr>
                  </w:pPr>
                  <w:r>
                    <w:rPr>
                      <w:rFonts w:hint="eastAsia" w:cs="Times New Roman"/>
                      <w:caps w:val="0"/>
                      <w:smallCaps w:val="0"/>
                      <w:color w:val="auto"/>
                      <w:spacing w:val="0"/>
                      <w:w w:val="100"/>
                      <w:position w:val="0"/>
                      <w:sz w:val="21"/>
                      <w:szCs w:val="21"/>
                      <w:lang w:val="en-US" w:eastAsia="zh-CN"/>
                    </w:rPr>
                    <w:t>2）地面冲洗废水、喷淋塔定期排水经沉淀池处理后与化粪池收集的生活污水一同纳管排放</w:t>
                  </w:r>
                  <w:r>
                    <w:rPr>
                      <w:rFonts w:hint="eastAsia" w:ascii="Times New Roman" w:hAnsi="Times New Roman" w:eastAsia="宋体" w:cs="Times New Roman"/>
                      <w:caps w:val="0"/>
                      <w:smallCaps w:val="0"/>
                      <w:color w:val="auto"/>
                      <w:spacing w:val="0"/>
                      <w:w w:val="100"/>
                      <w:position w:val="0"/>
                      <w:sz w:val="21"/>
                      <w:szCs w:val="21"/>
                      <w:lang w:val="en-US" w:eastAsia="zh-CN"/>
                    </w:rPr>
                    <w:t>。纳管废水污染物排放浓度满足</w:t>
                  </w:r>
                  <w:r>
                    <w:rPr>
                      <w:rFonts w:hint="default" w:ascii="Times New Roman" w:hAnsi="Times New Roman" w:eastAsia="宋体" w:cs="Times New Roman"/>
                      <w:caps w:val="0"/>
                      <w:smallCaps w:val="0"/>
                      <w:color w:val="auto"/>
                      <w:spacing w:val="0"/>
                      <w:w w:val="100"/>
                      <w:position w:val="0"/>
                      <w:sz w:val="21"/>
                      <w:szCs w:val="21"/>
                      <w:lang w:val="en-US" w:eastAsia="zh-CN"/>
                    </w:rPr>
                    <w:t>皖江江南新兴产业集中区第一污水处理厂</w:t>
                  </w:r>
                  <w:r>
                    <w:rPr>
                      <w:rFonts w:hint="eastAsia" w:cs="Times New Roman"/>
                      <w:caps w:val="0"/>
                      <w:smallCaps w:val="0"/>
                      <w:color w:val="auto"/>
                      <w:spacing w:val="0"/>
                      <w:w w:val="100"/>
                      <w:position w:val="0"/>
                      <w:sz w:val="21"/>
                      <w:szCs w:val="21"/>
                      <w:lang w:val="en-US" w:eastAsia="zh-CN"/>
                    </w:rPr>
                    <w:t>接管限值及</w:t>
                  </w:r>
                  <w:r>
                    <w:rPr>
                      <w:rFonts w:hint="default" w:ascii="Times New Roman" w:hAnsi="Times New Roman" w:eastAsia="宋体" w:cs="Times New Roman"/>
                      <w:caps w:val="0"/>
                      <w:smallCaps w:val="0"/>
                      <w:color w:val="auto"/>
                      <w:spacing w:val="0"/>
                      <w:w w:val="100"/>
                      <w:position w:val="0"/>
                      <w:sz w:val="21"/>
                      <w:szCs w:val="21"/>
                      <w:lang w:val="en-US" w:eastAsia="zh-CN"/>
                    </w:rPr>
                    <w:t>《污水综合排放标准》（GB8978-1996）表4中三级标准</w:t>
                  </w:r>
                  <w:r>
                    <w:rPr>
                      <w:rFonts w:hint="eastAsia" w:ascii="Times New Roman" w:hAnsi="Times New Roman" w:eastAsia="宋体" w:cs="Times New Roman"/>
                      <w:color w:val="auto"/>
                      <w:sz w:val="21"/>
                      <w:szCs w:val="21"/>
                      <w:lang w:val="en-US" w:eastAsia="zh-CN"/>
                    </w:rPr>
                    <w:t>。</w:t>
                  </w:r>
                </w:p>
                <w:p w14:paraId="210B46B1">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center"/>
                    <w:rPr>
                      <w:rFonts w:hint="default" w:ascii="Times New Roman" w:hAnsi="Times New Roman" w:eastAsia="宋体" w:cs="Times New Roman"/>
                      <w:color w:val="auto"/>
                      <w:spacing w:val="0"/>
                      <w:kern w:val="0"/>
                      <w:position w:val="0"/>
                      <w:sz w:val="21"/>
                      <w:szCs w:val="21"/>
                      <w:lang w:val="en-US" w:eastAsia="zh-CN"/>
                    </w:rPr>
                  </w:pPr>
                  <w:r>
                    <w:rPr>
                      <w:rFonts w:hint="eastAsia" w:ascii="Times New Roman" w:hAnsi="Times New Roman" w:eastAsia="宋体" w:cs="Times New Roman"/>
                      <w:caps w:val="0"/>
                      <w:smallCaps w:val="0"/>
                      <w:color w:val="auto"/>
                      <w:spacing w:val="0"/>
                      <w:w w:val="100"/>
                      <w:position w:val="0"/>
                      <w:sz w:val="21"/>
                      <w:szCs w:val="21"/>
                      <w:lang w:val="en-US" w:eastAsia="zh-CN"/>
                    </w:rPr>
                    <w:t>3）项目</w:t>
                  </w:r>
                  <w:r>
                    <w:rPr>
                      <w:rFonts w:hint="eastAsia" w:cs="Times New Roman"/>
                      <w:caps w:val="0"/>
                      <w:smallCaps w:val="0"/>
                      <w:color w:val="auto"/>
                      <w:spacing w:val="0"/>
                      <w:w w:val="100"/>
                      <w:position w:val="0"/>
                      <w:sz w:val="21"/>
                      <w:szCs w:val="21"/>
                      <w:lang w:val="en-US" w:eastAsia="zh-CN"/>
                    </w:rPr>
                    <w:t>污水处理池</w:t>
                  </w:r>
                  <w:r>
                    <w:rPr>
                      <w:rFonts w:hint="eastAsia" w:ascii="Times New Roman" w:hAnsi="Times New Roman" w:eastAsia="宋体" w:cs="Times New Roman"/>
                      <w:caps w:val="0"/>
                      <w:smallCaps w:val="0"/>
                      <w:color w:val="auto"/>
                      <w:spacing w:val="0"/>
                      <w:w w:val="100"/>
                      <w:position w:val="0"/>
                      <w:sz w:val="21"/>
                      <w:szCs w:val="21"/>
                      <w:lang w:val="en-US" w:eastAsia="zh-CN"/>
                    </w:rPr>
                    <w:t>位于生产厂房外东北角，</w:t>
                  </w:r>
                  <w:r>
                    <w:rPr>
                      <w:rFonts w:hint="eastAsia" w:cs="Times New Roman"/>
                      <w:bCs/>
                      <w:color w:val="auto"/>
                      <w:spacing w:val="0"/>
                      <w:position w:val="0"/>
                      <w:sz w:val="21"/>
                      <w:szCs w:val="21"/>
                      <w:lang w:val="en-US" w:eastAsia="zh-CN"/>
                    </w:rPr>
                    <w:t>设计处理规模30</w:t>
                  </w:r>
                  <w:r>
                    <w:rPr>
                      <w:rFonts w:hint="eastAsia" w:ascii="Times New Roman" w:hAnsi="Times New Roman" w:eastAsia="宋体" w:cs="Times New Roman"/>
                      <w:bCs/>
                      <w:color w:val="auto"/>
                      <w:spacing w:val="0"/>
                      <w:position w:val="0"/>
                      <w:sz w:val="21"/>
                      <w:szCs w:val="21"/>
                      <w:lang w:val="en-US" w:eastAsia="zh-CN"/>
                    </w:rPr>
                    <w:t>t/d。采用“</w:t>
                  </w:r>
                  <w:r>
                    <w:rPr>
                      <w:rFonts w:hint="eastAsia" w:cs="Times New Roman"/>
                      <w:bCs/>
                      <w:color w:val="auto"/>
                      <w:spacing w:val="0"/>
                      <w:position w:val="0"/>
                      <w:sz w:val="21"/>
                      <w:szCs w:val="21"/>
                      <w:lang w:val="en-US" w:eastAsia="zh-CN"/>
                    </w:rPr>
                    <w:t>中和</w:t>
                  </w:r>
                  <w:r>
                    <w:rPr>
                      <w:rFonts w:hint="eastAsia" w:ascii="Times New Roman" w:hAnsi="Times New Roman" w:eastAsia="宋体" w:cs="Times New Roman"/>
                      <w:bCs/>
                      <w:color w:val="auto"/>
                      <w:spacing w:val="0"/>
                      <w:position w:val="0"/>
                      <w:sz w:val="21"/>
                      <w:szCs w:val="21"/>
                      <w:lang w:val="en-US" w:eastAsia="zh-CN"/>
                    </w:rPr>
                    <w:t>+脱色+混凝沉淀”的工艺。</w:t>
                  </w:r>
                </w:p>
              </w:tc>
              <w:tc>
                <w:tcPr>
                  <w:tcW w:w="326" w:type="pct"/>
                  <w:tcBorders>
                    <w:tl2br w:val="nil"/>
                    <w:tr2bl w:val="nil"/>
                  </w:tcBorders>
                  <w:vAlign w:val="center"/>
                </w:tcPr>
                <w:p w14:paraId="7E31BE92">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新建</w:t>
                  </w:r>
                </w:p>
              </w:tc>
            </w:tr>
            <w:tr w14:paraId="66C07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365" w:type="pct"/>
                  <w:vMerge w:val="continue"/>
                  <w:tcBorders>
                    <w:tl2br w:val="nil"/>
                    <w:tr2bl w:val="nil"/>
                  </w:tcBorders>
                  <w:vAlign w:val="center"/>
                </w:tcPr>
                <w:p w14:paraId="5C596995">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tcBorders>
                    <w:tl2br w:val="nil"/>
                    <w:tr2bl w:val="nil"/>
                  </w:tcBorders>
                  <w:vAlign w:val="center"/>
                </w:tcPr>
                <w:p w14:paraId="0E866C8B">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固废</w:t>
                  </w:r>
                </w:p>
              </w:tc>
              <w:tc>
                <w:tcPr>
                  <w:tcW w:w="3950" w:type="pct"/>
                  <w:gridSpan w:val="4"/>
                  <w:tcBorders>
                    <w:tl2br w:val="nil"/>
                    <w:tr2bl w:val="nil"/>
                  </w:tcBorders>
                  <w:vAlign w:val="center"/>
                </w:tcPr>
                <w:p w14:paraId="1E9F2543">
                  <w:pPr>
                    <w:keepNext w:val="0"/>
                    <w:keepLines w:val="0"/>
                    <w:pageBreakBefore w:val="0"/>
                    <w:widowControl/>
                    <w:numPr>
                      <w:ilvl w:val="0"/>
                      <w:numId w:val="7"/>
                    </w:numPr>
                    <w:kinsoku/>
                    <w:wordWrap/>
                    <w:overflowPunct/>
                    <w:topLinePunct w:val="0"/>
                    <w:autoSpaceDE/>
                    <w:autoSpaceDN/>
                    <w:bidi w:val="0"/>
                    <w:adjustRightInd/>
                    <w:snapToGrid/>
                    <w:jc w:val="left"/>
                    <w:textAlignment w:val="center"/>
                    <w:rPr>
                      <w:rFonts w:hint="eastAsia" w:cs="Times New Roman"/>
                      <w:caps w:val="0"/>
                      <w:smallCaps w:val="0"/>
                      <w:color w:val="0000FF"/>
                      <w:spacing w:val="0"/>
                      <w:w w:val="100"/>
                      <w:position w:val="0"/>
                      <w:sz w:val="21"/>
                      <w:szCs w:val="21"/>
                      <w:lang w:val="en-US" w:eastAsia="zh-CN"/>
                    </w:rPr>
                  </w:pPr>
                  <w:r>
                    <w:rPr>
                      <w:rFonts w:hint="eastAsia" w:cs="Times New Roman"/>
                      <w:caps w:val="0"/>
                      <w:smallCaps w:val="0"/>
                      <w:color w:val="auto"/>
                      <w:spacing w:val="0"/>
                      <w:w w:val="100"/>
                      <w:position w:val="0"/>
                      <w:sz w:val="21"/>
                      <w:szCs w:val="21"/>
                      <w:lang w:val="en-US" w:eastAsia="zh-CN"/>
                    </w:rPr>
                    <w:t>新建固废库一座，</w:t>
                  </w:r>
                  <w:r>
                    <w:rPr>
                      <w:rFonts w:hint="default" w:ascii="Times New Roman" w:hAnsi="Times New Roman" w:eastAsia="宋体" w:cs="Times New Roman"/>
                      <w:color w:val="auto"/>
                      <w:spacing w:val="0"/>
                      <w:kern w:val="0"/>
                      <w:position w:val="0"/>
                      <w:sz w:val="21"/>
                      <w:szCs w:val="21"/>
                      <w:lang w:val="en-US" w:eastAsia="zh-CN" w:bidi="ar-SA"/>
                    </w:rPr>
                    <w:t>位于</w:t>
                  </w:r>
                  <w:r>
                    <w:rPr>
                      <w:rFonts w:hint="eastAsia" w:ascii="Times New Roman" w:hAnsi="Times New Roman" w:cs="Times New Roman"/>
                      <w:color w:val="auto"/>
                      <w:spacing w:val="0"/>
                      <w:kern w:val="0"/>
                      <w:position w:val="0"/>
                      <w:sz w:val="21"/>
                      <w:szCs w:val="21"/>
                      <w:lang w:val="en-US" w:eastAsia="zh-CN" w:bidi="ar-SA"/>
                    </w:rPr>
                    <w:t>片碱库北</w:t>
                  </w:r>
                  <w:r>
                    <w:rPr>
                      <w:rFonts w:hint="default" w:ascii="Times New Roman" w:hAnsi="Times New Roman" w:eastAsia="宋体" w:cs="Times New Roman"/>
                      <w:color w:val="auto"/>
                      <w:spacing w:val="0"/>
                      <w:kern w:val="0"/>
                      <w:position w:val="0"/>
                      <w:sz w:val="21"/>
                      <w:szCs w:val="21"/>
                      <w:lang w:val="en-US" w:eastAsia="zh-CN" w:bidi="ar-SA"/>
                    </w:rPr>
                    <w:t>侧，</w:t>
                  </w:r>
                  <w:r>
                    <w:rPr>
                      <w:rFonts w:hint="default" w:ascii="Times New Roman" w:hAnsi="Times New Roman" w:cs="Times New Roman"/>
                      <w:b w:val="0"/>
                      <w:bCs/>
                      <w:color w:val="0000FF"/>
                      <w:spacing w:val="0"/>
                      <w:position w:val="0"/>
                      <w:sz w:val="21"/>
                      <w:szCs w:val="21"/>
                      <w:lang w:val="en-US" w:eastAsia="zh-CN"/>
                    </w:rPr>
                    <w:t>占地面积</w:t>
                  </w:r>
                  <w:r>
                    <w:rPr>
                      <w:rFonts w:hint="eastAsia" w:cs="Times New Roman"/>
                      <w:b w:val="0"/>
                      <w:bCs/>
                      <w:color w:val="0000FF"/>
                      <w:spacing w:val="0"/>
                      <w:position w:val="0"/>
                      <w:sz w:val="21"/>
                      <w:szCs w:val="21"/>
                      <w:lang w:val="en-US" w:eastAsia="zh-CN"/>
                    </w:rPr>
                    <w:t>10</w:t>
                  </w:r>
                  <w:r>
                    <w:rPr>
                      <w:rFonts w:hint="default" w:ascii="Times New Roman" w:hAnsi="Times New Roman" w:cs="Times New Roman"/>
                      <w:b w:val="0"/>
                      <w:bCs/>
                      <w:color w:val="0000FF"/>
                      <w:spacing w:val="0"/>
                      <w:position w:val="0"/>
                      <w:sz w:val="21"/>
                      <w:szCs w:val="21"/>
                      <w:lang w:val="en-US" w:eastAsia="zh-CN"/>
                    </w:rPr>
                    <w:t>m</w:t>
                  </w:r>
                  <w:r>
                    <w:rPr>
                      <w:rFonts w:hint="default" w:ascii="Times New Roman" w:hAnsi="Times New Roman" w:cs="Times New Roman"/>
                      <w:b w:val="0"/>
                      <w:bCs/>
                      <w:color w:val="0000FF"/>
                      <w:spacing w:val="0"/>
                      <w:position w:val="0"/>
                      <w:sz w:val="21"/>
                      <w:szCs w:val="21"/>
                      <w:vertAlign w:val="superscript"/>
                      <w:lang w:val="en-US" w:eastAsia="zh-CN"/>
                    </w:rPr>
                    <w:t>2</w:t>
                  </w:r>
                  <w:r>
                    <w:rPr>
                      <w:rFonts w:hint="default" w:ascii="Times New Roman" w:hAnsi="Times New Roman" w:cs="Times New Roman"/>
                      <w:b w:val="0"/>
                      <w:bCs/>
                      <w:color w:val="0000FF"/>
                      <w:spacing w:val="0"/>
                      <w:position w:val="0"/>
                      <w:sz w:val="21"/>
                      <w:szCs w:val="21"/>
                      <w:lang w:val="en-US" w:eastAsia="zh-CN"/>
                    </w:rPr>
                    <w:t>，</w:t>
                  </w:r>
                  <w:r>
                    <w:rPr>
                      <w:rFonts w:hint="eastAsia" w:ascii="Times New Roman" w:hAnsi="Times New Roman" w:eastAsia="宋体" w:cs="Times New Roman"/>
                      <w:caps w:val="0"/>
                      <w:smallCaps w:val="0"/>
                      <w:color w:val="0000FF"/>
                      <w:spacing w:val="0"/>
                      <w:w w:val="100"/>
                      <w:position w:val="0"/>
                      <w:sz w:val="21"/>
                      <w:szCs w:val="21"/>
                      <w:lang w:val="en-US" w:eastAsia="zh-CN"/>
                    </w:rPr>
                    <w:t>废布袋、除尘器收尘收集后暂存固废库，外售综合利用</w:t>
                  </w:r>
                  <w:r>
                    <w:rPr>
                      <w:rFonts w:hint="eastAsia" w:cs="Times New Roman"/>
                      <w:caps w:val="0"/>
                      <w:smallCaps w:val="0"/>
                      <w:color w:val="0000FF"/>
                      <w:spacing w:val="0"/>
                      <w:w w:val="100"/>
                      <w:position w:val="0"/>
                      <w:sz w:val="21"/>
                      <w:szCs w:val="21"/>
                      <w:lang w:val="en-US" w:eastAsia="zh-CN"/>
                    </w:rPr>
                    <w:t>；</w:t>
                  </w:r>
                </w:p>
                <w:p w14:paraId="0CA3453D">
                  <w:pPr>
                    <w:keepNext w:val="0"/>
                    <w:keepLines w:val="0"/>
                    <w:pageBreakBefore w:val="0"/>
                    <w:widowControl/>
                    <w:numPr>
                      <w:ilvl w:val="0"/>
                      <w:numId w:val="7"/>
                    </w:numPr>
                    <w:kinsoku/>
                    <w:wordWrap/>
                    <w:overflowPunct/>
                    <w:topLinePunct w:val="0"/>
                    <w:autoSpaceDE/>
                    <w:autoSpaceDN/>
                    <w:bidi w:val="0"/>
                    <w:adjustRightInd/>
                    <w:snapToGrid/>
                    <w:jc w:val="left"/>
                    <w:textAlignment w:val="center"/>
                    <w:rPr>
                      <w:rFonts w:hint="default" w:ascii="Times New Roman" w:hAnsi="Times New Roman" w:eastAsia="宋体" w:cs="Times New Roman"/>
                      <w:bCs/>
                      <w:color w:val="0000FF"/>
                      <w:spacing w:val="0"/>
                      <w:position w:val="0"/>
                      <w:sz w:val="21"/>
                      <w:szCs w:val="21"/>
                    </w:rPr>
                  </w:pPr>
                  <w:r>
                    <w:rPr>
                      <w:rFonts w:hint="eastAsia" w:cs="Times New Roman"/>
                      <w:caps w:val="0"/>
                      <w:smallCaps w:val="0"/>
                      <w:color w:val="0000FF"/>
                      <w:spacing w:val="0"/>
                      <w:w w:val="100"/>
                      <w:position w:val="0"/>
                      <w:sz w:val="21"/>
                      <w:szCs w:val="21"/>
                      <w:lang w:val="en-US" w:eastAsia="zh-CN"/>
                    </w:rPr>
                    <w:t>新建危废库一座，</w:t>
                  </w:r>
                  <w:r>
                    <w:rPr>
                      <w:rFonts w:hint="default" w:ascii="Times New Roman" w:hAnsi="Times New Roman" w:eastAsia="宋体" w:cs="Times New Roman"/>
                      <w:color w:val="0000FF"/>
                      <w:spacing w:val="0"/>
                      <w:kern w:val="0"/>
                      <w:position w:val="0"/>
                      <w:sz w:val="21"/>
                      <w:szCs w:val="21"/>
                      <w:lang w:val="en-US" w:eastAsia="zh-CN" w:bidi="ar-SA"/>
                    </w:rPr>
                    <w:t>位于</w:t>
                  </w:r>
                  <w:r>
                    <w:rPr>
                      <w:rFonts w:hint="default" w:ascii="Times New Roman" w:hAnsi="Times New Roman" w:cs="Times New Roman"/>
                      <w:color w:val="0000FF"/>
                      <w:spacing w:val="0"/>
                      <w:kern w:val="0"/>
                      <w:position w:val="0"/>
                      <w:sz w:val="21"/>
                      <w:szCs w:val="21"/>
                      <w:lang w:val="en-US" w:eastAsia="zh-CN" w:bidi="ar-SA"/>
                    </w:rPr>
                    <w:t>一般固废库</w:t>
                  </w:r>
                  <w:r>
                    <w:rPr>
                      <w:rFonts w:hint="eastAsia" w:ascii="Times New Roman" w:hAnsi="Times New Roman" w:cs="Times New Roman"/>
                      <w:color w:val="0000FF"/>
                      <w:spacing w:val="0"/>
                      <w:kern w:val="0"/>
                      <w:position w:val="0"/>
                      <w:sz w:val="21"/>
                      <w:szCs w:val="21"/>
                      <w:lang w:val="en-US" w:eastAsia="zh-CN" w:bidi="ar-SA"/>
                    </w:rPr>
                    <w:t>北</w:t>
                  </w:r>
                  <w:r>
                    <w:rPr>
                      <w:rFonts w:hint="default" w:ascii="Times New Roman" w:hAnsi="Times New Roman" w:eastAsia="宋体" w:cs="Times New Roman"/>
                      <w:color w:val="0000FF"/>
                      <w:spacing w:val="0"/>
                      <w:kern w:val="0"/>
                      <w:position w:val="0"/>
                      <w:sz w:val="21"/>
                      <w:szCs w:val="21"/>
                      <w:lang w:val="en-US" w:eastAsia="zh-CN" w:bidi="ar-SA"/>
                    </w:rPr>
                    <w:t>侧，</w:t>
                  </w:r>
                  <w:r>
                    <w:rPr>
                      <w:rFonts w:hint="default" w:ascii="Times New Roman" w:hAnsi="Times New Roman" w:cs="Times New Roman"/>
                      <w:b w:val="0"/>
                      <w:bCs/>
                      <w:color w:val="0000FF"/>
                      <w:spacing w:val="0"/>
                      <w:position w:val="0"/>
                      <w:sz w:val="21"/>
                      <w:szCs w:val="21"/>
                      <w:lang w:val="en-US" w:eastAsia="zh-CN"/>
                    </w:rPr>
                    <w:t>占地面积</w:t>
                  </w:r>
                  <w:r>
                    <w:rPr>
                      <w:rFonts w:hint="eastAsia" w:cs="Times New Roman"/>
                      <w:b w:val="0"/>
                      <w:bCs/>
                      <w:color w:val="0000FF"/>
                      <w:spacing w:val="0"/>
                      <w:position w:val="0"/>
                      <w:sz w:val="21"/>
                      <w:szCs w:val="21"/>
                      <w:lang w:val="en-US" w:eastAsia="zh-CN"/>
                    </w:rPr>
                    <w:t>10</w:t>
                  </w:r>
                  <w:r>
                    <w:rPr>
                      <w:rFonts w:hint="default" w:ascii="Times New Roman" w:hAnsi="Times New Roman" w:cs="Times New Roman"/>
                      <w:b w:val="0"/>
                      <w:bCs/>
                      <w:color w:val="0000FF"/>
                      <w:spacing w:val="0"/>
                      <w:position w:val="0"/>
                      <w:sz w:val="21"/>
                      <w:szCs w:val="21"/>
                      <w:lang w:val="en-US" w:eastAsia="zh-CN"/>
                    </w:rPr>
                    <w:t>m</w:t>
                  </w:r>
                  <w:r>
                    <w:rPr>
                      <w:rFonts w:hint="default" w:ascii="Times New Roman" w:hAnsi="Times New Roman" w:cs="Times New Roman"/>
                      <w:b w:val="0"/>
                      <w:bCs/>
                      <w:color w:val="0000FF"/>
                      <w:spacing w:val="0"/>
                      <w:position w:val="0"/>
                      <w:sz w:val="21"/>
                      <w:szCs w:val="21"/>
                      <w:vertAlign w:val="superscript"/>
                      <w:lang w:val="en-US" w:eastAsia="zh-CN"/>
                    </w:rPr>
                    <w:t>2</w:t>
                  </w:r>
                  <w:r>
                    <w:rPr>
                      <w:rFonts w:hint="eastAsia" w:cs="Times New Roman"/>
                      <w:b w:val="0"/>
                      <w:bCs/>
                      <w:color w:val="0000FF"/>
                      <w:spacing w:val="0"/>
                      <w:position w:val="0"/>
                      <w:sz w:val="21"/>
                      <w:szCs w:val="21"/>
                      <w:vertAlign w:val="baseline"/>
                      <w:lang w:val="en-US" w:eastAsia="zh-CN"/>
                    </w:rPr>
                    <w:t>，</w:t>
                  </w:r>
                  <w:r>
                    <w:rPr>
                      <w:rFonts w:hint="eastAsia" w:ascii="Times New Roman" w:hAnsi="Times New Roman" w:eastAsia="宋体" w:cs="Times New Roman"/>
                      <w:caps w:val="0"/>
                      <w:smallCaps w:val="0"/>
                      <w:color w:val="0000FF"/>
                      <w:spacing w:val="0"/>
                      <w:w w:val="100"/>
                      <w:position w:val="0"/>
                      <w:sz w:val="21"/>
                      <w:szCs w:val="21"/>
                      <w:lang w:val="en-US" w:eastAsia="zh-CN"/>
                    </w:rPr>
                    <w:t>废化学原料包装材料、废活性炭、废润滑油、废液压油、废油桶、含油废手套等分类收集暂存危废库，委托有资质单位回收处理</w:t>
                  </w:r>
                  <w:r>
                    <w:rPr>
                      <w:rFonts w:hint="eastAsia" w:cs="Times New Roman"/>
                      <w:caps w:val="0"/>
                      <w:smallCaps w:val="0"/>
                      <w:color w:val="0000FF"/>
                      <w:spacing w:val="0"/>
                      <w:w w:val="100"/>
                      <w:position w:val="0"/>
                      <w:sz w:val="21"/>
                      <w:szCs w:val="21"/>
                      <w:lang w:val="en-US" w:eastAsia="zh-CN"/>
                    </w:rPr>
                    <w:t>；</w:t>
                  </w:r>
                </w:p>
                <w:p w14:paraId="322E0CE8">
                  <w:pPr>
                    <w:keepNext w:val="0"/>
                    <w:keepLines w:val="0"/>
                    <w:pageBreakBefore w:val="0"/>
                    <w:widowControl/>
                    <w:numPr>
                      <w:ilvl w:val="0"/>
                      <w:numId w:val="7"/>
                    </w:numPr>
                    <w:kinsoku/>
                    <w:wordWrap/>
                    <w:overflowPunct/>
                    <w:topLinePunct w:val="0"/>
                    <w:autoSpaceDE/>
                    <w:autoSpaceDN/>
                    <w:bidi w:val="0"/>
                    <w:adjustRightInd/>
                    <w:snapToGrid/>
                    <w:jc w:val="left"/>
                    <w:textAlignment w:val="center"/>
                    <w:rPr>
                      <w:rFonts w:hint="default" w:ascii="Times New Roman" w:hAnsi="Times New Roman" w:eastAsia="宋体" w:cs="Times New Roman"/>
                      <w:bCs/>
                      <w:color w:val="auto"/>
                      <w:spacing w:val="0"/>
                      <w:position w:val="0"/>
                      <w:sz w:val="21"/>
                      <w:szCs w:val="21"/>
                    </w:rPr>
                  </w:pPr>
                  <w:r>
                    <w:rPr>
                      <w:rFonts w:hint="eastAsia" w:ascii="Times New Roman" w:hAnsi="Times New Roman" w:eastAsia="宋体" w:cs="Times New Roman"/>
                      <w:caps w:val="0"/>
                      <w:smallCaps w:val="0"/>
                      <w:color w:val="0000FF"/>
                      <w:spacing w:val="0"/>
                      <w:w w:val="100"/>
                      <w:position w:val="0"/>
                      <w:sz w:val="21"/>
                      <w:szCs w:val="21"/>
                      <w:lang w:val="en-US" w:eastAsia="zh-CN"/>
                    </w:rPr>
                    <w:t>项目沉淀池泥渣暂存污泥池</w:t>
                  </w:r>
                  <w:r>
                    <w:rPr>
                      <w:rFonts w:hint="eastAsia" w:cs="Times New Roman"/>
                      <w:caps w:val="0"/>
                      <w:smallCaps w:val="0"/>
                      <w:color w:val="0000FF"/>
                      <w:spacing w:val="0"/>
                      <w:w w:val="100"/>
                      <w:position w:val="0"/>
                      <w:sz w:val="21"/>
                      <w:szCs w:val="21"/>
                      <w:lang w:val="en-US" w:eastAsia="zh-CN"/>
                    </w:rPr>
                    <w:t>（</w:t>
                  </w:r>
                  <w:r>
                    <w:rPr>
                      <w:rFonts w:hint="eastAsia" w:cs="Times New Roman"/>
                      <w:color w:val="0000FF"/>
                      <w:spacing w:val="0"/>
                      <w:kern w:val="2"/>
                      <w:position w:val="0"/>
                      <w:sz w:val="21"/>
                      <w:szCs w:val="21"/>
                      <w:lang w:val="en-US" w:eastAsia="zh-CN" w:bidi="ar-SA"/>
                    </w:rPr>
                    <w:t>位于污水处理池西侧，容积10m</w:t>
                  </w:r>
                  <w:r>
                    <w:rPr>
                      <w:rFonts w:hint="eastAsia" w:cs="Times New Roman"/>
                      <w:color w:val="0000FF"/>
                      <w:spacing w:val="0"/>
                      <w:kern w:val="2"/>
                      <w:position w:val="0"/>
                      <w:sz w:val="21"/>
                      <w:szCs w:val="21"/>
                      <w:vertAlign w:val="superscript"/>
                      <w:lang w:val="en-US" w:eastAsia="zh-CN" w:bidi="ar-SA"/>
                    </w:rPr>
                    <w:t>3</w:t>
                  </w:r>
                  <w:r>
                    <w:rPr>
                      <w:rFonts w:hint="eastAsia" w:cs="Times New Roman"/>
                      <w:caps w:val="0"/>
                      <w:smallCaps w:val="0"/>
                      <w:color w:val="0000FF"/>
                      <w:spacing w:val="0"/>
                      <w:w w:val="100"/>
                      <w:position w:val="0"/>
                      <w:sz w:val="21"/>
                      <w:szCs w:val="21"/>
                      <w:lang w:val="en-US" w:eastAsia="zh-CN"/>
                    </w:rPr>
                    <w:t>）</w:t>
                  </w:r>
                  <w:r>
                    <w:rPr>
                      <w:rFonts w:hint="eastAsia" w:ascii="Times New Roman" w:hAnsi="Times New Roman" w:eastAsia="宋体" w:cs="Times New Roman"/>
                      <w:caps w:val="0"/>
                      <w:smallCaps w:val="0"/>
                      <w:color w:val="auto"/>
                      <w:spacing w:val="0"/>
                      <w:w w:val="100"/>
                      <w:position w:val="0"/>
                      <w:sz w:val="21"/>
                      <w:szCs w:val="21"/>
                      <w:lang w:val="en-US" w:eastAsia="zh-CN"/>
                    </w:rPr>
                    <w:t>外售综合利用；生活垃圾委托环卫部门定期清运。</w:t>
                  </w:r>
                </w:p>
              </w:tc>
              <w:tc>
                <w:tcPr>
                  <w:tcW w:w="326" w:type="pct"/>
                  <w:tcBorders>
                    <w:tl2br w:val="nil"/>
                    <w:tr2bl w:val="nil"/>
                  </w:tcBorders>
                  <w:vAlign w:val="center"/>
                </w:tcPr>
                <w:p w14:paraId="3A2F12BF">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Cs/>
                      <w:color w:val="auto"/>
                      <w:spacing w:val="0"/>
                      <w:position w:val="0"/>
                      <w:sz w:val="21"/>
                      <w:szCs w:val="21"/>
                      <w:lang w:val="en-US" w:eastAsia="zh-CN"/>
                    </w:rPr>
                  </w:pPr>
                  <w:r>
                    <w:rPr>
                      <w:rFonts w:hint="default" w:ascii="Times New Roman" w:hAnsi="Times New Roman" w:eastAsia="宋体" w:cs="Times New Roman"/>
                      <w:bCs/>
                      <w:color w:val="auto"/>
                      <w:spacing w:val="0"/>
                      <w:position w:val="0"/>
                      <w:sz w:val="21"/>
                      <w:szCs w:val="21"/>
                      <w:lang w:val="en-US" w:eastAsia="zh-CN"/>
                    </w:rPr>
                    <w:t>/</w:t>
                  </w:r>
                </w:p>
              </w:tc>
            </w:tr>
            <w:tr w14:paraId="7F4AC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5" w:type="pct"/>
                  <w:vMerge w:val="continue"/>
                  <w:tcBorders>
                    <w:tl2br w:val="nil"/>
                    <w:tr2bl w:val="nil"/>
                  </w:tcBorders>
                  <w:vAlign w:val="center"/>
                </w:tcPr>
                <w:p w14:paraId="73F60142">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tcBorders>
                    <w:tl2br w:val="nil"/>
                    <w:tr2bl w:val="nil"/>
                  </w:tcBorders>
                  <w:vAlign w:val="center"/>
                </w:tcPr>
                <w:p w14:paraId="2E49A464">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噪声</w:t>
                  </w:r>
                </w:p>
              </w:tc>
              <w:tc>
                <w:tcPr>
                  <w:tcW w:w="3950" w:type="pct"/>
                  <w:gridSpan w:val="4"/>
                  <w:tcBorders>
                    <w:tl2br w:val="nil"/>
                    <w:tr2bl w:val="nil"/>
                  </w:tcBorders>
                  <w:vAlign w:val="center"/>
                </w:tcPr>
                <w:p w14:paraId="70D68FE2">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bCs/>
                      <w:color w:val="auto"/>
                      <w:spacing w:val="0"/>
                      <w:position w:val="0"/>
                      <w:sz w:val="21"/>
                      <w:szCs w:val="21"/>
                    </w:rPr>
                  </w:pPr>
                  <w:r>
                    <w:rPr>
                      <w:rFonts w:hint="default" w:ascii="Times New Roman" w:hAnsi="Times New Roman" w:eastAsia="宋体" w:cs="Times New Roman"/>
                      <w:bCs/>
                      <w:color w:val="auto"/>
                      <w:spacing w:val="0"/>
                      <w:position w:val="0"/>
                      <w:sz w:val="21"/>
                      <w:szCs w:val="21"/>
                    </w:rPr>
                    <w:t>生产设备采取厂房隔声、安装隔声罩、隔震、减震的措施</w:t>
                  </w:r>
                  <w:r>
                    <w:rPr>
                      <w:rFonts w:hint="eastAsia" w:ascii="Times New Roman" w:hAnsi="Times New Roman" w:eastAsia="宋体" w:cs="Times New Roman"/>
                      <w:bCs/>
                      <w:color w:val="auto"/>
                      <w:spacing w:val="0"/>
                      <w:position w:val="0"/>
                      <w:sz w:val="21"/>
                      <w:szCs w:val="21"/>
                      <w:lang w:eastAsia="zh-CN"/>
                    </w:rPr>
                    <w:t>；</w:t>
                  </w:r>
                  <w:r>
                    <w:rPr>
                      <w:rFonts w:hint="default" w:ascii="Times New Roman" w:hAnsi="Times New Roman" w:eastAsia="宋体" w:cs="Times New Roman"/>
                      <w:bCs/>
                      <w:color w:val="auto"/>
                      <w:spacing w:val="0"/>
                      <w:position w:val="0"/>
                      <w:sz w:val="21"/>
                      <w:szCs w:val="21"/>
                    </w:rPr>
                    <w:t>对空压机采取减震和安装消声器的措施</w:t>
                  </w:r>
                  <w:r>
                    <w:rPr>
                      <w:rFonts w:hint="eastAsia" w:ascii="Times New Roman" w:hAnsi="Times New Roman" w:eastAsia="宋体" w:cs="Times New Roman"/>
                      <w:bCs/>
                      <w:color w:val="auto"/>
                      <w:spacing w:val="0"/>
                      <w:position w:val="0"/>
                      <w:sz w:val="21"/>
                      <w:szCs w:val="21"/>
                      <w:lang w:eastAsia="zh-CN"/>
                    </w:rPr>
                    <w:t>；</w:t>
                  </w:r>
                  <w:r>
                    <w:rPr>
                      <w:rFonts w:hint="default" w:ascii="Times New Roman" w:hAnsi="Times New Roman" w:eastAsia="宋体" w:cs="Times New Roman"/>
                      <w:bCs/>
                      <w:color w:val="auto"/>
                      <w:spacing w:val="0"/>
                      <w:position w:val="0"/>
                      <w:sz w:val="21"/>
                      <w:szCs w:val="21"/>
                    </w:rPr>
                    <w:t>对风机安装消声器。</w:t>
                  </w:r>
                </w:p>
              </w:tc>
              <w:tc>
                <w:tcPr>
                  <w:tcW w:w="326" w:type="pct"/>
                  <w:tcBorders>
                    <w:tl2br w:val="nil"/>
                    <w:tr2bl w:val="nil"/>
                  </w:tcBorders>
                  <w:vAlign w:val="center"/>
                </w:tcPr>
                <w:p w14:paraId="10C0A996">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Cs/>
                      <w:color w:val="auto"/>
                      <w:spacing w:val="0"/>
                      <w:position w:val="0"/>
                      <w:sz w:val="21"/>
                      <w:szCs w:val="21"/>
                    </w:rPr>
                  </w:pPr>
                  <w:r>
                    <w:rPr>
                      <w:rFonts w:hint="default" w:ascii="Times New Roman" w:hAnsi="Times New Roman" w:eastAsia="宋体" w:cs="Times New Roman"/>
                      <w:bCs/>
                      <w:color w:val="auto"/>
                      <w:spacing w:val="0"/>
                      <w:position w:val="0"/>
                      <w:sz w:val="21"/>
                      <w:szCs w:val="21"/>
                    </w:rPr>
                    <w:t>/</w:t>
                  </w:r>
                </w:p>
              </w:tc>
            </w:tr>
            <w:tr w14:paraId="2B41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65" w:type="pct"/>
                  <w:vMerge w:val="continue"/>
                  <w:tcBorders>
                    <w:tl2br w:val="nil"/>
                    <w:tr2bl w:val="nil"/>
                  </w:tcBorders>
                  <w:vAlign w:val="center"/>
                </w:tcPr>
                <w:p w14:paraId="67FE78DC">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tcBorders>
                    <w:tl2br w:val="nil"/>
                    <w:tr2bl w:val="nil"/>
                  </w:tcBorders>
                  <w:vAlign w:val="center"/>
                </w:tcPr>
                <w:p w14:paraId="0C75B88B">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土壤、地下水</w:t>
                  </w:r>
                </w:p>
              </w:tc>
              <w:tc>
                <w:tcPr>
                  <w:tcW w:w="3950" w:type="pct"/>
                  <w:gridSpan w:val="4"/>
                  <w:tcBorders>
                    <w:tl2br w:val="nil"/>
                    <w:tr2bl w:val="nil"/>
                  </w:tcBorders>
                  <w:vAlign w:val="center"/>
                </w:tcPr>
                <w:p w14:paraId="7319EC16">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bCs/>
                      <w:color w:val="auto"/>
                      <w:spacing w:val="0"/>
                      <w:position w:val="0"/>
                      <w:sz w:val="21"/>
                      <w:szCs w:val="21"/>
                    </w:rPr>
                  </w:pPr>
                  <w:r>
                    <w:rPr>
                      <w:rFonts w:hint="default" w:ascii="Times New Roman" w:hAnsi="Times New Roman" w:eastAsia="宋体" w:cs="Times New Roman"/>
                      <w:color w:val="auto"/>
                      <w:spacing w:val="0"/>
                      <w:kern w:val="0"/>
                      <w:position w:val="0"/>
                      <w:sz w:val="21"/>
                      <w:szCs w:val="21"/>
                      <w:lang w:val="en-US" w:eastAsia="zh-CN" w:bidi="ar"/>
                    </w:rPr>
                    <w:t>对</w:t>
                  </w:r>
                  <w:r>
                    <w:rPr>
                      <w:rFonts w:hint="eastAsia" w:cs="Times New Roman"/>
                      <w:color w:val="auto"/>
                      <w:spacing w:val="0"/>
                      <w:kern w:val="0"/>
                      <w:position w:val="0"/>
                      <w:sz w:val="21"/>
                      <w:szCs w:val="21"/>
                      <w:lang w:val="en-US" w:eastAsia="zh-CN" w:bidi="ar"/>
                    </w:rPr>
                    <w:t>危废库、片碱库、污水处理池、车间沉淀池、事故应急池设置重点防渗</w:t>
                  </w:r>
                  <w:r>
                    <w:rPr>
                      <w:rFonts w:hint="eastAsia" w:ascii="Times New Roman" w:hAnsi="Times New Roman" w:eastAsia="宋体" w:cs="Times New Roman"/>
                      <w:color w:val="auto"/>
                      <w:spacing w:val="0"/>
                      <w:kern w:val="0"/>
                      <w:position w:val="0"/>
                      <w:sz w:val="21"/>
                      <w:szCs w:val="21"/>
                      <w:lang w:val="en-US" w:eastAsia="zh-CN" w:bidi="ar"/>
                    </w:rPr>
                    <w:t>，</w:t>
                  </w:r>
                  <w:r>
                    <w:rPr>
                      <w:rFonts w:hint="eastAsia" w:cs="Times New Roman"/>
                      <w:color w:val="auto"/>
                      <w:spacing w:val="0"/>
                      <w:kern w:val="0"/>
                      <w:position w:val="0"/>
                      <w:sz w:val="21"/>
                      <w:szCs w:val="21"/>
                      <w:lang w:val="en-US" w:eastAsia="zh-CN" w:bidi="ar"/>
                    </w:rPr>
                    <w:t>办公休息区设置简单</w:t>
                  </w:r>
                  <w:r>
                    <w:rPr>
                      <w:rFonts w:hint="default" w:ascii="Times New Roman" w:hAnsi="Times New Roman" w:eastAsia="宋体" w:cs="Times New Roman"/>
                      <w:color w:val="auto"/>
                      <w:spacing w:val="0"/>
                      <w:kern w:val="0"/>
                      <w:position w:val="0"/>
                      <w:sz w:val="21"/>
                      <w:szCs w:val="21"/>
                      <w:lang w:val="en-US" w:eastAsia="zh-CN" w:bidi="ar"/>
                    </w:rPr>
                    <w:t>防渗</w:t>
                  </w:r>
                  <w:r>
                    <w:rPr>
                      <w:rFonts w:hint="eastAsia" w:cs="Times New Roman"/>
                      <w:color w:val="auto"/>
                      <w:spacing w:val="0"/>
                      <w:kern w:val="0"/>
                      <w:position w:val="0"/>
                      <w:sz w:val="21"/>
                      <w:szCs w:val="21"/>
                      <w:lang w:val="en-US" w:eastAsia="zh-CN" w:bidi="ar"/>
                    </w:rPr>
                    <w:t>，重点防渗区和简单防渗区以外区域设置一般防渗</w:t>
                  </w:r>
                  <w:r>
                    <w:rPr>
                      <w:rFonts w:hint="eastAsia" w:ascii="Times New Roman" w:hAnsi="Times New Roman" w:eastAsia="宋体" w:cs="Times New Roman"/>
                      <w:color w:val="auto"/>
                      <w:spacing w:val="0"/>
                      <w:kern w:val="0"/>
                      <w:position w:val="0"/>
                      <w:sz w:val="21"/>
                      <w:szCs w:val="21"/>
                      <w:lang w:val="en-US" w:eastAsia="zh-CN" w:bidi="ar"/>
                    </w:rPr>
                    <w:t>。</w:t>
                  </w:r>
                </w:p>
              </w:tc>
              <w:tc>
                <w:tcPr>
                  <w:tcW w:w="326" w:type="pct"/>
                  <w:tcBorders>
                    <w:tl2br w:val="nil"/>
                    <w:tr2bl w:val="nil"/>
                  </w:tcBorders>
                  <w:vAlign w:val="center"/>
                </w:tcPr>
                <w:p w14:paraId="37E248B8">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Cs/>
                      <w:color w:val="auto"/>
                      <w:spacing w:val="0"/>
                      <w:position w:val="0"/>
                      <w:sz w:val="21"/>
                      <w:szCs w:val="21"/>
                      <w:lang w:val="en-US" w:eastAsia="zh-CN"/>
                    </w:rPr>
                  </w:pPr>
                  <w:r>
                    <w:rPr>
                      <w:rFonts w:hint="default" w:ascii="Times New Roman" w:hAnsi="Times New Roman" w:eastAsia="宋体" w:cs="Times New Roman"/>
                      <w:bCs/>
                      <w:color w:val="auto"/>
                      <w:spacing w:val="0"/>
                      <w:position w:val="0"/>
                      <w:sz w:val="21"/>
                      <w:szCs w:val="21"/>
                      <w:lang w:val="en-US" w:eastAsia="zh-CN"/>
                    </w:rPr>
                    <w:t>新建</w:t>
                  </w:r>
                </w:p>
              </w:tc>
            </w:tr>
            <w:tr w14:paraId="7534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365" w:type="pct"/>
                  <w:vMerge w:val="continue"/>
                  <w:tcBorders>
                    <w:tl2br w:val="nil"/>
                    <w:tr2bl w:val="nil"/>
                  </w:tcBorders>
                  <w:vAlign w:val="center"/>
                </w:tcPr>
                <w:p w14:paraId="72646AA1">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b/>
                      <w:color w:val="auto"/>
                      <w:spacing w:val="0"/>
                      <w:position w:val="0"/>
                      <w:sz w:val="21"/>
                      <w:szCs w:val="21"/>
                    </w:rPr>
                  </w:pPr>
                </w:p>
              </w:tc>
              <w:tc>
                <w:tcPr>
                  <w:tcW w:w="358" w:type="pct"/>
                  <w:tcBorders>
                    <w:tl2br w:val="nil"/>
                    <w:tr2bl w:val="nil"/>
                  </w:tcBorders>
                  <w:vAlign w:val="center"/>
                </w:tcPr>
                <w:p w14:paraId="514559FE">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环境风险</w:t>
                  </w:r>
                </w:p>
              </w:tc>
              <w:tc>
                <w:tcPr>
                  <w:tcW w:w="3950" w:type="pct"/>
                  <w:gridSpan w:val="4"/>
                  <w:tcBorders>
                    <w:tl2br w:val="nil"/>
                    <w:tr2bl w:val="nil"/>
                  </w:tcBorders>
                  <w:vAlign w:val="center"/>
                </w:tcPr>
                <w:p w14:paraId="65A061B1">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1）合理布局，建筑设计满足防火要求</w:t>
                  </w:r>
                  <w:r>
                    <w:rPr>
                      <w:rFonts w:hint="eastAsia" w:ascii="Times New Roman" w:hAnsi="Times New Roman" w:eastAsia="宋体" w:cs="Times New Roman"/>
                      <w:color w:val="auto"/>
                      <w:spacing w:val="0"/>
                      <w:sz w:val="21"/>
                      <w:szCs w:val="21"/>
                      <w:lang w:val="en-US" w:eastAsia="zh-CN"/>
                    </w:rPr>
                    <w:t>；</w:t>
                  </w:r>
                </w:p>
                <w:p w14:paraId="6D86351E">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2）定期检修废气、废水处理系统，杜绝事故性废气、废水排放</w:t>
                  </w:r>
                  <w:r>
                    <w:rPr>
                      <w:rFonts w:hint="eastAsia" w:ascii="Times New Roman" w:hAnsi="Times New Roman" w:eastAsia="宋体" w:cs="Times New Roman"/>
                      <w:color w:val="auto"/>
                      <w:spacing w:val="0"/>
                      <w:sz w:val="21"/>
                      <w:szCs w:val="21"/>
                      <w:lang w:val="en-US" w:eastAsia="zh-CN"/>
                    </w:rPr>
                    <w:t>；</w:t>
                  </w:r>
                </w:p>
                <w:p w14:paraId="4722B39E">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3）严格落实分区防渗措施</w:t>
                  </w:r>
                  <w:r>
                    <w:rPr>
                      <w:rFonts w:hint="eastAsia" w:ascii="Times New Roman" w:hAnsi="Times New Roman" w:eastAsia="宋体" w:cs="Times New Roman"/>
                      <w:color w:val="auto"/>
                      <w:spacing w:val="0"/>
                      <w:sz w:val="21"/>
                      <w:szCs w:val="21"/>
                      <w:lang w:val="en-US" w:eastAsia="zh-CN"/>
                    </w:rPr>
                    <w:t>；</w:t>
                  </w:r>
                </w:p>
                <w:p w14:paraId="3B6EB44A">
                  <w:pPr>
                    <w:pStyle w:val="75"/>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4）新建事故应急池一座，</w:t>
                  </w:r>
                  <w:r>
                    <w:rPr>
                      <w:rFonts w:hint="eastAsia" w:ascii="Times New Roman" w:hAnsi="Times New Roman" w:cs="Times New Roman"/>
                      <w:color w:val="auto"/>
                      <w:spacing w:val="0"/>
                      <w:sz w:val="21"/>
                      <w:szCs w:val="21"/>
                      <w:lang w:val="en-US" w:eastAsia="zh-CN"/>
                    </w:rPr>
                    <w:t>容积400m</w:t>
                  </w:r>
                  <w:r>
                    <w:rPr>
                      <w:rFonts w:hint="default" w:ascii="Times New Roman" w:hAnsi="Times New Roman" w:eastAsia="宋体" w:cs="Times New Roman"/>
                      <w:color w:val="auto"/>
                      <w:spacing w:val="0"/>
                      <w:sz w:val="21"/>
                      <w:szCs w:val="21"/>
                      <w:vertAlign w:val="superscript"/>
                      <w:lang w:val="en-US" w:eastAsia="zh-CN"/>
                    </w:rPr>
                    <w:t>3</w:t>
                  </w:r>
                  <w:r>
                    <w:rPr>
                      <w:rFonts w:hint="eastAsia" w:ascii="Times New Roman" w:hAnsi="Times New Roman" w:eastAsia="宋体" w:cs="Times New Roman"/>
                      <w:color w:val="auto"/>
                      <w:spacing w:val="0"/>
                      <w:sz w:val="21"/>
                      <w:szCs w:val="21"/>
                      <w:lang w:val="en-US" w:eastAsia="zh-CN"/>
                    </w:rPr>
                    <w:t>；</w:t>
                  </w:r>
                </w:p>
                <w:p w14:paraId="6F59498B">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default" w:ascii="Times New Roman" w:hAnsi="Times New Roman" w:eastAsia="宋体" w:cs="Times New Roman"/>
                      <w:bCs/>
                      <w:color w:val="auto"/>
                      <w:spacing w:val="0"/>
                      <w:position w:val="0"/>
                      <w:sz w:val="21"/>
                      <w:szCs w:val="21"/>
                    </w:rPr>
                  </w:pPr>
                  <w:r>
                    <w:rPr>
                      <w:rFonts w:hint="default" w:ascii="Times New Roman" w:hAnsi="Times New Roman" w:eastAsia="宋体" w:cs="Times New Roman"/>
                      <w:color w:val="auto"/>
                      <w:spacing w:val="0"/>
                      <w:sz w:val="21"/>
                      <w:szCs w:val="21"/>
                      <w:lang w:val="en-US" w:eastAsia="zh-CN"/>
                    </w:rPr>
                    <w:t>5）编制环境风险应急预案并备案。</w:t>
                  </w:r>
                </w:p>
              </w:tc>
              <w:tc>
                <w:tcPr>
                  <w:tcW w:w="326" w:type="pct"/>
                  <w:tcBorders>
                    <w:tl2br w:val="nil"/>
                    <w:tr2bl w:val="nil"/>
                  </w:tcBorders>
                  <w:vAlign w:val="center"/>
                </w:tcPr>
                <w:p w14:paraId="6E550C58">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Times New Roman" w:hAnsi="Times New Roman" w:eastAsia="宋体" w:cs="Times New Roman"/>
                      <w:bCs/>
                      <w:color w:val="auto"/>
                      <w:spacing w:val="0"/>
                      <w:position w:val="0"/>
                      <w:sz w:val="21"/>
                      <w:szCs w:val="21"/>
                    </w:rPr>
                  </w:pPr>
                  <w:r>
                    <w:rPr>
                      <w:rFonts w:hint="default" w:ascii="Times New Roman" w:hAnsi="Times New Roman" w:eastAsia="宋体" w:cs="Times New Roman"/>
                      <w:bCs/>
                      <w:color w:val="auto"/>
                      <w:spacing w:val="0"/>
                      <w:position w:val="0"/>
                      <w:sz w:val="21"/>
                      <w:szCs w:val="21"/>
                      <w:lang w:val="en-US" w:eastAsia="zh-CN"/>
                    </w:rPr>
                    <w:t>新建</w:t>
                  </w:r>
                </w:p>
              </w:tc>
            </w:tr>
          </w:tbl>
          <w:p w14:paraId="2920F36E">
            <w:pPr>
              <w:pStyle w:val="23"/>
              <w:adjustRightInd w:val="0"/>
              <w:snapToGrid w:val="0"/>
              <w:spacing w:before="0" w:beforeAutospacing="0" w:after="0" w:afterAutospacing="0"/>
              <w:jc w:val="both"/>
              <w:rPr>
                <w:rFonts w:hint="eastAsia" w:ascii="Times New Roman" w:hAnsi="Times New Roman" w:cs="Times New Roman"/>
                <w:b/>
                <w:bCs/>
                <w:color w:val="auto"/>
                <w:spacing w:val="0"/>
                <w:position w:val="0"/>
                <w:szCs w:val="24"/>
                <w:vertAlign w:val="baseline"/>
                <w:lang w:eastAsia="zh-CN"/>
              </w:rPr>
            </w:pPr>
          </w:p>
        </w:tc>
      </w:tr>
    </w:tbl>
    <w:p w14:paraId="252811BA">
      <w:pPr>
        <w:pStyle w:val="23"/>
        <w:adjustRightInd w:val="0"/>
        <w:snapToGrid w:val="0"/>
        <w:spacing w:before="0" w:beforeAutospacing="0" w:after="0" w:afterAutospacing="0"/>
        <w:jc w:val="both"/>
        <w:rPr>
          <w:rFonts w:hint="eastAsia" w:ascii="Times New Roman" w:hAnsi="Times New Roman" w:cs="Times New Roman"/>
          <w:b/>
          <w:bCs/>
          <w:color w:val="auto"/>
          <w:spacing w:val="0"/>
          <w:position w:val="0"/>
          <w:szCs w:val="24"/>
          <w:lang w:eastAsia="zh-CN"/>
        </w:rPr>
        <w:sectPr>
          <w:footerReference r:id="rId6" w:type="default"/>
          <w:pgSz w:w="16838" w:h="11905" w:orient="landscape"/>
          <w:pgMar w:top="1440" w:right="1080" w:bottom="1440" w:left="1080" w:header="851" w:footer="1077" w:gutter="0"/>
          <w:pgBorders>
            <w:top w:val="none" w:sz="0" w:space="0"/>
            <w:left w:val="none" w:sz="0" w:space="0"/>
            <w:bottom w:val="none" w:sz="0" w:space="0"/>
            <w:right w:val="none" w:sz="0" w:space="0"/>
          </w:pgBorders>
          <w:pgNumType w:fmt="decimal"/>
          <w:cols w:space="0" w:num="1"/>
          <w:rtlGutter w:val="0"/>
          <w:docGrid w:linePitch="312" w:charSpace="0"/>
        </w:sectPr>
      </w:pPr>
    </w:p>
    <w:tbl>
      <w:tblPr>
        <w:tblStyle w:val="26"/>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9061"/>
      </w:tblGrid>
      <w:tr w14:paraId="7D26D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3" w:hRule="atLeast"/>
          <w:jc w:val="center"/>
        </w:trPr>
        <w:tc>
          <w:tcPr>
            <w:tcW w:w="594" w:type="dxa"/>
            <w:noWrap w:val="0"/>
            <w:vAlign w:val="center"/>
          </w:tcPr>
          <w:p w14:paraId="0C6D41CB">
            <w:pPr>
              <w:pStyle w:val="23"/>
              <w:adjustRightInd w:val="0"/>
              <w:snapToGrid w:val="0"/>
              <w:spacing w:before="0" w:beforeAutospacing="0" w:after="0" w:afterAutospacing="0"/>
              <w:jc w:val="center"/>
              <w:rPr>
                <w:rFonts w:hint="default" w:ascii="Times New Roman" w:hAnsi="Times New Roman" w:eastAsia="宋体" w:cs="Times New Roman"/>
                <w:b/>
                <w:bCs/>
                <w:color w:val="auto"/>
                <w:spacing w:val="0"/>
                <w:kern w:val="0"/>
                <w:position w:val="0"/>
                <w:sz w:val="24"/>
                <w:szCs w:val="24"/>
                <w:lang w:val="en-US" w:eastAsia="zh-CN" w:bidi="ar-SA"/>
              </w:rPr>
            </w:pPr>
            <w:r>
              <w:rPr>
                <w:rFonts w:hint="default" w:ascii="Times New Roman" w:hAnsi="Times New Roman" w:cs="Times New Roman"/>
                <w:b/>
                <w:bCs/>
                <w:color w:val="auto"/>
                <w:spacing w:val="0"/>
                <w:position w:val="0"/>
                <w:szCs w:val="24"/>
              </w:rPr>
              <w:t>建设内容</w:t>
            </w:r>
          </w:p>
        </w:tc>
        <w:tc>
          <w:tcPr>
            <w:tcW w:w="9061" w:type="dxa"/>
            <w:noWrap w:val="0"/>
            <w:vAlign w:val="top"/>
          </w:tcPr>
          <w:p w14:paraId="53323CE9">
            <w:pPr>
              <w:adjustRightInd w:val="0"/>
              <w:spacing w:line="480" w:lineRule="atLeast"/>
              <w:rPr>
                <w:rFonts w:hint="default" w:ascii="Times New Roman" w:hAnsi="Times New Roman" w:eastAsia="宋体" w:cs="Times New Roman"/>
                <w:color w:val="auto"/>
                <w:spacing w:val="0"/>
                <w:position w:val="0"/>
                <w:sz w:val="24"/>
              </w:rPr>
            </w:pPr>
            <w:r>
              <w:rPr>
                <w:rFonts w:hint="eastAsia" w:cs="Times New Roman"/>
                <w:b/>
                <w:bCs/>
                <w:color w:val="auto"/>
                <w:spacing w:val="0"/>
                <w:position w:val="0"/>
                <w:sz w:val="24"/>
                <w:lang w:val="en-US" w:eastAsia="zh-CN"/>
              </w:rPr>
              <w:t>4、</w:t>
            </w:r>
            <w:r>
              <w:rPr>
                <w:rFonts w:hint="default" w:ascii="Times New Roman" w:hAnsi="Times New Roman" w:eastAsia="宋体" w:cs="Times New Roman"/>
                <w:b/>
                <w:bCs/>
                <w:color w:val="auto"/>
                <w:spacing w:val="0"/>
                <w:position w:val="0"/>
                <w:sz w:val="24"/>
              </w:rPr>
              <w:t>项目主要</w:t>
            </w:r>
            <w:r>
              <w:rPr>
                <w:rFonts w:hint="eastAsia" w:cs="Times New Roman"/>
                <w:b/>
                <w:bCs/>
                <w:color w:val="auto"/>
                <w:spacing w:val="0"/>
                <w:position w:val="0"/>
                <w:sz w:val="24"/>
                <w:lang w:val="en-US" w:eastAsia="zh-CN"/>
              </w:rPr>
              <w:t>生产</w:t>
            </w:r>
            <w:r>
              <w:rPr>
                <w:rFonts w:hint="default" w:ascii="Times New Roman" w:hAnsi="Times New Roman" w:eastAsia="宋体" w:cs="Times New Roman"/>
                <w:b/>
                <w:bCs/>
                <w:color w:val="auto"/>
                <w:spacing w:val="0"/>
                <w:position w:val="0"/>
                <w:sz w:val="24"/>
              </w:rPr>
              <w:t>设备</w:t>
            </w:r>
          </w:p>
          <w:p w14:paraId="27C569F9">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jc w:val="both"/>
              <w:textAlignment w:val="auto"/>
              <w:rPr>
                <w:rFonts w:hint="default" w:ascii="Times New Roman" w:hAnsi="Times New Roman" w:eastAsia="宋体" w:cs="Times New Roman"/>
                <w:b/>
                <w:bCs/>
                <w:color w:val="auto"/>
                <w:spacing w:val="0"/>
                <w:kern w:val="2"/>
                <w:position w:val="0"/>
                <w:sz w:val="24"/>
                <w:szCs w:val="24"/>
                <w:lang w:val="en-US" w:eastAsia="zh-CN" w:bidi="ar-SA"/>
              </w:rPr>
            </w:pPr>
            <w:r>
              <w:rPr>
                <w:rFonts w:hint="eastAsia" w:ascii="Times New Roman" w:cs="Times New Roman"/>
                <w:b/>
                <w:bCs/>
                <w:color w:val="auto"/>
                <w:spacing w:val="0"/>
                <w:kern w:val="2"/>
                <w:position w:val="0"/>
                <w:sz w:val="24"/>
                <w:szCs w:val="24"/>
                <w:lang w:val="en-US" w:eastAsia="zh-CN" w:bidi="ar-SA"/>
              </w:rPr>
              <w:t>（1）设备清单</w:t>
            </w:r>
          </w:p>
          <w:p w14:paraId="51F2A07B">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default" w:ascii="Times New Roman" w:hAnsi="Times New Roman" w:cs="Times New Roman"/>
                <w:color w:val="auto"/>
                <w:spacing w:val="0"/>
                <w:position w:val="0"/>
                <w:sz w:val="21"/>
                <w:szCs w:val="21"/>
                <w:lang w:val="en-US" w:eastAsia="zh-CN"/>
              </w:rPr>
            </w:pPr>
            <w:r>
              <w:rPr>
                <w:rFonts w:hint="default" w:ascii="Times New Roman" w:hAnsi="Times New Roman" w:eastAsia="宋体" w:cs="Times New Roman"/>
                <w:b/>
                <w:bCs/>
                <w:color w:val="auto"/>
                <w:spacing w:val="0"/>
                <w:kern w:val="2"/>
                <w:position w:val="0"/>
                <w:sz w:val="21"/>
                <w:szCs w:val="21"/>
                <w:lang w:val="en-US" w:eastAsia="zh-CN" w:bidi="ar-SA"/>
              </w:rPr>
              <w:t>表2-</w:t>
            </w:r>
            <w:r>
              <w:rPr>
                <w:rFonts w:hint="eastAsia" w:ascii="Times New Roman" w:cs="Times New Roman"/>
                <w:b/>
                <w:bCs/>
                <w:color w:val="auto"/>
                <w:spacing w:val="0"/>
                <w:kern w:val="2"/>
                <w:position w:val="0"/>
                <w:sz w:val="21"/>
                <w:szCs w:val="21"/>
                <w:lang w:val="en-US" w:eastAsia="zh-CN" w:bidi="ar-SA"/>
              </w:rPr>
              <w:t>4</w:t>
            </w:r>
            <w:r>
              <w:rPr>
                <w:rFonts w:hint="default" w:ascii="Times New Roman" w:hAnsi="Times New Roman" w:eastAsia="宋体" w:cs="Times New Roman"/>
                <w:b/>
                <w:bCs/>
                <w:color w:val="auto"/>
                <w:spacing w:val="0"/>
                <w:kern w:val="2"/>
                <w:position w:val="0"/>
                <w:sz w:val="21"/>
                <w:szCs w:val="21"/>
                <w:lang w:val="en-US" w:eastAsia="zh-CN" w:bidi="ar-SA"/>
              </w:rPr>
              <w:t xml:space="preserve"> </w:t>
            </w:r>
            <w:r>
              <w:rPr>
                <w:rFonts w:hint="default" w:ascii="Times New Roman" w:hAnsi="Times New Roman" w:cs="Times New Roman"/>
                <w:b/>
                <w:bCs/>
                <w:color w:val="auto"/>
                <w:spacing w:val="0"/>
                <w:kern w:val="2"/>
                <w:position w:val="0"/>
                <w:sz w:val="21"/>
                <w:szCs w:val="21"/>
                <w:lang w:val="en-US" w:eastAsia="zh-CN" w:bidi="ar-SA"/>
              </w:rPr>
              <w:t xml:space="preserve"> </w:t>
            </w:r>
            <w:r>
              <w:rPr>
                <w:rFonts w:hint="default" w:ascii="Times New Roman" w:hAnsi="Times New Roman" w:eastAsia="宋体" w:cs="Times New Roman"/>
                <w:b/>
                <w:bCs/>
                <w:color w:val="auto"/>
                <w:spacing w:val="0"/>
                <w:kern w:val="2"/>
                <w:position w:val="0"/>
                <w:sz w:val="21"/>
                <w:szCs w:val="21"/>
                <w:lang w:val="en-US" w:eastAsia="zh-CN" w:bidi="ar-SA"/>
              </w:rPr>
              <w:t>主要</w:t>
            </w:r>
            <w:r>
              <w:rPr>
                <w:rFonts w:hint="default" w:ascii="Times New Roman" w:hAnsi="Times New Roman" w:cs="Times New Roman"/>
                <w:b/>
                <w:bCs/>
                <w:color w:val="auto"/>
                <w:spacing w:val="0"/>
                <w:kern w:val="2"/>
                <w:position w:val="0"/>
                <w:sz w:val="21"/>
                <w:szCs w:val="21"/>
                <w:lang w:val="en-US" w:eastAsia="zh-CN" w:bidi="ar-SA"/>
              </w:rPr>
              <w:t>生产</w:t>
            </w:r>
            <w:r>
              <w:rPr>
                <w:rFonts w:hint="default" w:ascii="Times New Roman" w:hAnsi="Times New Roman" w:eastAsia="宋体" w:cs="Times New Roman"/>
                <w:b/>
                <w:bCs/>
                <w:color w:val="auto"/>
                <w:spacing w:val="0"/>
                <w:kern w:val="2"/>
                <w:position w:val="0"/>
                <w:sz w:val="21"/>
                <w:szCs w:val="21"/>
                <w:lang w:val="en-US" w:eastAsia="zh-CN" w:bidi="ar-SA"/>
              </w:rPr>
              <w:t>设备一览表</w:t>
            </w:r>
          </w:p>
          <w:tbl>
            <w:tblPr>
              <w:tblStyle w:val="26"/>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62"/>
              <w:gridCol w:w="926"/>
              <w:gridCol w:w="735"/>
              <w:gridCol w:w="1501"/>
              <w:gridCol w:w="748"/>
              <w:gridCol w:w="859"/>
              <w:gridCol w:w="1747"/>
              <w:gridCol w:w="1639"/>
            </w:tblGrid>
            <w:tr w14:paraId="254E2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9" w:hRule="atLeast"/>
                <w:jc w:val="center"/>
              </w:trPr>
              <w:tc>
                <w:tcPr>
                  <w:tcW w:w="762" w:type="dxa"/>
                  <w:tcBorders>
                    <w:tl2br w:val="nil"/>
                    <w:tr2bl w:val="nil"/>
                  </w:tcBorders>
                  <w:shd w:val="clear" w:color="auto" w:fill="auto"/>
                  <w:vAlign w:val="center"/>
                </w:tcPr>
                <w:p w14:paraId="2946A0F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序号</w:t>
                  </w:r>
                </w:p>
              </w:tc>
              <w:tc>
                <w:tcPr>
                  <w:tcW w:w="926" w:type="dxa"/>
                  <w:tcBorders>
                    <w:tl2br w:val="nil"/>
                    <w:tr2bl w:val="nil"/>
                  </w:tcBorders>
                  <w:shd w:val="clear" w:color="auto" w:fill="auto"/>
                  <w:vAlign w:val="center"/>
                </w:tcPr>
                <w:p w14:paraId="31BE601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功能分区</w:t>
                  </w:r>
                </w:p>
              </w:tc>
              <w:tc>
                <w:tcPr>
                  <w:tcW w:w="2236" w:type="dxa"/>
                  <w:gridSpan w:val="2"/>
                  <w:tcBorders>
                    <w:tl2br w:val="nil"/>
                    <w:tr2bl w:val="nil"/>
                  </w:tcBorders>
                  <w:shd w:val="clear" w:color="auto" w:fill="auto"/>
                  <w:vAlign w:val="center"/>
                </w:tcPr>
                <w:p w14:paraId="169BBCD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设备名称</w:t>
                  </w:r>
                </w:p>
              </w:tc>
              <w:tc>
                <w:tcPr>
                  <w:tcW w:w="748" w:type="dxa"/>
                  <w:tcBorders>
                    <w:tl2br w:val="nil"/>
                    <w:tr2bl w:val="nil"/>
                  </w:tcBorders>
                  <w:shd w:val="clear" w:color="auto" w:fill="auto"/>
                  <w:vAlign w:val="center"/>
                </w:tcPr>
                <w:p w14:paraId="031069A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单位</w:t>
                  </w:r>
                </w:p>
              </w:tc>
              <w:tc>
                <w:tcPr>
                  <w:tcW w:w="859" w:type="dxa"/>
                  <w:tcBorders>
                    <w:tl2br w:val="nil"/>
                    <w:tr2bl w:val="nil"/>
                  </w:tcBorders>
                  <w:shd w:val="clear" w:color="auto" w:fill="auto"/>
                  <w:vAlign w:val="center"/>
                </w:tcPr>
                <w:p w14:paraId="672A974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数量</w:t>
                  </w:r>
                </w:p>
              </w:tc>
              <w:tc>
                <w:tcPr>
                  <w:tcW w:w="1747" w:type="dxa"/>
                  <w:tcBorders>
                    <w:tl2br w:val="nil"/>
                    <w:tr2bl w:val="nil"/>
                  </w:tcBorders>
                  <w:shd w:val="clear" w:color="auto" w:fill="auto"/>
                  <w:vAlign w:val="center"/>
                </w:tcPr>
                <w:p w14:paraId="56D4DC6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功能</w:t>
                  </w:r>
                </w:p>
              </w:tc>
              <w:tc>
                <w:tcPr>
                  <w:tcW w:w="1639" w:type="dxa"/>
                  <w:tcBorders>
                    <w:tl2br w:val="nil"/>
                    <w:tr2bl w:val="nil"/>
                  </w:tcBorders>
                  <w:shd w:val="clear" w:color="auto" w:fill="auto"/>
                  <w:vAlign w:val="center"/>
                </w:tcPr>
                <w:p w14:paraId="6492EC8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规格</w:t>
                  </w:r>
                </w:p>
              </w:tc>
            </w:tr>
            <w:tr w14:paraId="43A4F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4733EF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926" w:type="dxa"/>
                  <w:vMerge w:val="restart"/>
                  <w:tcBorders>
                    <w:tl2br w:val="nil"/>
                    <w:tr2bl w:val="nil"/>
                  </w:tcBorders>
                  <w:shd w:val="clear" w:color="auto" w:fill="auto"/>
                  <w:vAlign w:val="center"/>
                </w:tcPr>
                <w:p w14:paraId="6DF05F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拆框区</w:t>
                  </w:r>
                </w:p>
              </w:tc>
              <w:tc>
                <w:tcPr>
                  <w:tcW w:w="2236" w:type="dxa"/>
                  <w:gridSpan w:val="2"/>
                  <w:tcBorders>
                    <w:tl2br w:val="nil"/>
                    <w:tr2bl w:val="nil"/>
                  </w:tcBorders>
                  <w:shd w:val="clear" w:color="auto" w:fill="auto"/>
                  <w:vAlign w:val="center"/>
                </w:tcPr>
                <w:p w14:paraId="1C732A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单玻拆框机</w:t>
                  </w:r>
                </w:p>
              </w:tc>
              <w:tc>
                <w:tcPr>
                  <w:tcW w:w="748" w:type="dxa"/>
                  <w:tcBorders>
                    <w:tl2br w:val="nil"/>
                    <w:tr2bl w:val="nil"/>
                  </w:tcBorders>
                  <w:shd w:val="clear" w:color="auto" w:fill="auto"/>
                  <w:vAlign w:val="center"/>
                </w:tcPr>
                <w:p w14:paraId="31AB65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2929F9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47" w:type="dxa"/>
                  <w:tcBorders>
                    <w:tl2br w:val="nil"/>
                    <w:tr2bl w:val="nil"/>
                  </w:tcBorders>
                  <w:shd w:val="clear" w:color="auto" w:fill="auto"/>
                  <w:vAlign w:val="center"/>
                </w:tcPr>
                <w:p w14:paraId="1A285E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拆边框</w:t>
                  </w:r>
                </w:p>
              </w:tc>
              <w:tc>
                <w:tcPr>
                  <w:tcW w:w="1639" w:type="dxa"/>
                  <w:tcBorders>
                    <w:tl2br w:val="nil"/>
                    <w:tr2bl w:val="nil"/>
                  </w:tcBorders>
                  <w:shd w:val="clear" w:color="auto" w:fill="auto"/>
                  <w:vAlign w:val="center"/>
                </w:tcPr>
                <w:p w14:paraId="701B56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2m×1.8m</w:t>
                  </w:r>
                </w:p>
              </w:tc>
            </w:tr>
            <w:tr w14:paraId="0E2FE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596310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926" w:type="dxa"/>
                  <w:vMerge w:val="continue"/>
                  <w:tcBorders>
                    <w:tl2br w:val="nil"/>
                    <w:tr2bl w:val="nil"/>
                  </w:tcBorders>
                  <w:shd w:val="clear" w:color="auto" w:fill="auto"/>
                  <w:vAlign w:val="center"/>
                </w:tcPr>
                <w:p w14:paraId="118B9F96">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32FABA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双玻拆框机</w:t>
                  </w:r>
                </w:p>
              </w:tc>
              <w:tc>
                <w:tcPr>
                  <w:tcW w:w="748" w:type="dxa"/>
                  <w:tcBorders>
                    <w:tl2br w:val="nil"/>
                    <w:tr2bl w:val="nil"/>
                  </w:tcBorders>
                  <w:shd w:val="clear" w:color="auto" w:fill="auto"/>
                  <w:vAlign w:val="center"/>
                </w:tcPr>
                <w:p w14:paraId="2F4E44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5A3476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47" w:type="dxa"/>
                  <w:tcBorders>
                    <w:tl2br w:val="nil"/>
                    <w:tr2bl w:val="nil"/>
                  </w:tcBorders>
                  <w:shd w:val="clear" w:color="auto" w:fill="auto"/>
                  <w:vAlign w:val="center"/>
                </w:tcPr>
                <w:p w14:paraId="6C4340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拆边框</w:t>
                  </w:r>
                </w:p>
              </w:tc>
              <w:tc>
                <w:tcPr>
                  <w:tcW w:w="1639" w:type="dxa"/>
                  <w:tcBorders>
                    <w:tl2br w:val="nil"/>
                    <w:tr2bl w:val="nil"/>
                  </w:tcBorders>
                  <w:shd w:val="clear" w:color="auto" w:fill="auto"/>
                  <w:vAlign w:val="center"/>
                </w:tcPr>
                <w:p w14:paraId="00B306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2m×1.8m</w:t>
                  </w:r>
                </w:p>
              </w:tc>
            </w:tr>
            <w:tr w14:paraId="4B7EE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54D16D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926" w:type="dxa"/>
                  <w:vMerge w:val="continue"/>
                  <w:tcBorders>
                    <w:tl2br w:val="nil"/>
                    <w:tr2bl w:val="nil"/>
                  </w:tcBorders>
                  <w:shd w:val="clear" w:color="auto" w:fill="auto"/>
                  <w:vAlign w:val="center"/>
                </w:tcPr>
                <w:p w14:paraId="59F04F11">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746AD8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撕碎机</w:t>
                  </w:r>
                </w:p>
              </w:tc>
              <w:tc>
                <w:tcPr>
                  <w:tcW w:w="748" w:type="dxa"/>
                  <w:tcBorders>
                    <w:tl2br w:val="nil"/>
                    <w:tr2bl w:val="nil"/>
                  </w:tcBorders>
                  <w:shd w:val="clear" w:color="auto" w:fill="auto"/>
                  <w:vAlign w:val="center"/>
                </w:tcPr>
                <w:p w14:paraId="36236D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068B69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47" w:type="dxa"/>
                  <w:tcBorders>
                    <w:tl2br w:val="nil"/>
                    <w:tr2bl w:val="nil"/>
                  </w:tcBorders>
                  <w:shd w:val="clear" w:color="auto" w:fill="auto"/>
                  <w:vAlign w:val="center"/>
                </w:tcPr>
                <w:p w14:paraId="02CB8C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线盒撕碎</w:t>
                  </w:r>
                </w:p>
              </w:tc>
              <w:tc>
                <w:tcPr>
                  <w:tcW w:w="1639" w:type="dxa"/>
                  <w:tcBorders>
                    <w:tl2br w:val="nil"/>
                    <w:tr2bl w:val="nil"/>
                  </w:tcBorders>
                  <w:shd w:val="clear" w:color="auto" w:fill="auto"/>
                  <w:vAlign w:val="center"/>
                </w:tcPr>
                <w:p w14:paraId="0A547E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2m×2m</w:t>
                  </w:r>
                </w:p>
              </w:tc>
            </w:tr>
            <w:tr w14:paraId="415D9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762" w:type="dxa"/>
                  <w:tcBorders>
                    <w:tl2br w:val="nil"/>
                    <w:tr2bl w:val="nil"/>
                  </w:tcBorders>
                  <w:shd w:val="clear" w:color="auto" w:fill="auto"/>
                  <w:vAlign w:val="center"/>
                </w:tcPr>
                <w:p w14:paraId="04DF43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926" w:type="dxa"/>
                  <w:vMerge w:val="continue"/>
                  <w:tcBorders>
                    <w:tl2br w:val="nil"/>
                    <w:tr2bl w:val="nil"/>
                  </w:tcBorders>
                  <w:shd w:val="clear" w:color="auto" w:fill="auto"/>
                  <w:vAlign w:val="center"/>
                </w:tcPr>
                <w:p w14:paraId="0DD2960C">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04C34C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铜米机器</w:t>
                  </w:r>
                </w:p>
              </w:tc>
              <w:tc>
                <w:tcPr>
                  <w:tcW w:w="748" w:type="dxa"/>
                  <w:tcBorders>
                    <w:tl2br w:val="nil"/>
                    <w:tr2bl w:val="nil"/>
                  </w:tcBorders>
                  <w:shd w:val="clear" w:color="auto" w:fill="auto"/>
                  <w:vAlign w:val="center"/>
                </w:tcPr>
                <w:p w14:paraId="12D21A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592693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747" w:type="dxa"/>
                  <w:tcBorders>
                    <w:tl2br w:val="nil"/>
                    <w:tr2bl w:val="nil"/>
                  </w:tcBorders>
                  <w:shd w:val="clear" w:color="auto" w:fill="auto"/>
                  <w:vAlign w:val="center"/>
                </w:tcPr>
                <w:p w14:paraId="1C7385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分选出铜和塑料</w:t>
                  </w:r>
                </w:p>
              </w:tc>
              <w:tc>
                <w:tcPr>
                  <w:tcW w:w="1639" w:type="dxa"/>
                  <w:tcBorders>
                    <w:tl2br w:val="nil"/>
                    <w:tr2bl w:val="nil"/>
                  </w:tcBorders>
                  <w:shd w:val="clear" w:color="auto" w:fill="auto"/>
                  <w:vAlign w:val="center"/>
                </w:tcPr>
                <w:p w14:paraId="280101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2m×2m</w:t>
                  </w:r>
                </w:p>
              </w:tc>
            </w:tr>
            <w:tr w14:paraId="0F831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3227C0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926" w:type="dxa"/>
                  <w:vMerge w:val="restart"/>
                  <w:tcBorders>
                    <w:tl2br w:val="nil"/>
                    <w:tr2bl w:val="nil"/>
                  </w:tcBorders>
                  <w:shd w:val="clear" w:color="auto" w:fill="auto"/>
                  <w:vAlign w:val="center"/>
                </w:tcPr>
                <w:p w14:paraId="57925F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热解区</w:t>
                  </w:r>
                </w:p>
              </w:tc>
              <w:tc>
                <w:tcPr>
                  <w:tcW w:w="2236" w:type="dxa"/>
                  <w:gridSpan w:val="2"/>
                  <w:tcBorders>
                    <w:tl2br w:val="nil"/>
                    <w:tr2bl w:val="nil"/>
                  </w:tcBorders>
                  <w:shd w:val="clear" w:color="auto" w:fill="auto"/>
                  <w:vAlign w:val="center"/>
                </w:tcPr>
                <w:p w14:paraId="606DD9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进料吊机</w:t>
                  </w:r>
                </w:p>
              </w:tc>
              <w:tc>
                <w:tcPr>
                  <w:tcW w:w="748" w:type="dxa"/>
                  <w:tcBorders>
                    <w:tl2br w:val="nil"/>
                    <w:tr2bl w:val="nil"/>
                  </w:tcBorders>
                  <w:shd w:val="clear" w:color="auto" w:fill="auto"/>
                  <w:vAlign w:val="center"/>
                </w:tcPr>
                <w:p w14:paraId="69CC0A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173EEE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47" w:type="dxa"/>
                  <w:tcBorders>
                    <w:tl2br w:val="nil"/>
                    <w:tr2bl w:val="nil"/>
                  </w:tcBorders>
                  <w:shd w:val="clear" w:color="auto" w:fill="auto"/>
                  <w:vAlign w:val="center"/>
                </w:tcPr>
                <w:p w14:paraId="2A81F0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热解炉进料</w:t>
                  </w:r>
                </w:p>
              </w:tc>
              <w:tc>
                <w:tcPr>
                  <w:tcW w:w="1639" w:type="dxa"/>
                  <w:tcBorders>
                    <w:tl2br w:val="nil"/>
                    <w:tr2bl w:val="nil"/>
                  </w:tcBorders>
                  <w:shd w:val="clear" w:color="auto" w:fill="auto"/>
                  <w:vAlign w:val="center"/>
                </w:tcPr>
                <w:p w14:paraId="49B4932A">
                  <w:pPr>
                    <w:jc w:val="center"/>
                    <w:rPr>
                      <w:rFonts w:hint="default" w:ascii="Times New Roman" w:hAnsi="Times New Roman" w:eastAsia="宋体" w:cs="Times New Roman"/>
                      <w:i w:val="0"/>
                      <w:iCs w:val="0"/>
                      <w:color w:val="000000"/>
                      <w:sz w:val="21"/>
                      <w:szCs w:val="21"/>
                      <w:u w:val="none"/>
                    </w:rPr>
                  </w:pPr>
                </w:p>
              </w:tc>
            </w:tr>
            <w:tr w14:paraId="5A70C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8" w:hRule="atLeast"/>
                <w:jc w:val="center"/>
              </w:trPr>
              <w:tc>
                <w:tcPr>
                  <w:tcW w:w="762" w:type="dxa"/>
                  <w:vMerge w:val="restart"/>
                  <w:tcBorders>
                    <w:tl2br w:val="nil"/>
                    <w:tr2bl w:val="nil"/>
                  </w:tcBorders>
                  <w:shd w:val="clear" w:color="auto" w:fill="auto"/>
                  <w:vAlign w:val="center"/>
                </w:tcPr>
                <w:p w14:paraId="3687D8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926" w:type="dxa"/>
                  <w:vMerge w:val="continue"/>
                  <w:tcBorders>
                    <w:tl2br w:val="nil"/>
                    <w:tr2bl w:val="nil"/>
                  </w:tcBorders>
                  <w:shd w:val="clear" w:color="auto" w:fill="auto"/>
                  <w:vAlign w:val="center"/>
                </w:tcPr>
                <w:p w14:paraId="0B9E4B4D">
                  <w:pPr>
                    <w:jc w:val="center"/>
                    <w:rPr>
                      <w:rFonts w:hint="default" w:ascii="Times New Roman" w:hAnsi="Times New Roman" w:eastAsia="宋体" w:cs="Times New Roman"/>
                      <w:i w:val="0"/>
                      <w:iCs w:val="0"/>
                      <w:color w:val="000000"/>
                      <w:sz w:val="21"/>
                      <w:szCs w:val="21"/>
                      <w:u w:val="none"/>
                    </w:rPr>
                  </w:pPr>
                </w:p>
              </w:tc>
              <w:tc>
                <w:tcPr>
                  <w:tcW w:w="735" w:type="dxa"/>
                  <w:vMerge w:val="restart"/>
                  <w:tcBorders>
                    <w:tl2br w:val="nil"/>
                    <w:tr2bl w:val="nil"/>
                  </w:tcBorders>
                  <w:shd w:val="clear" w:color="auto" w:fill="auto"/>
                  <w:vAlign w:val="center"/>
                </w:tcPr>
                <w:p w14:paraId="2C4F64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无氧热解线</w:t>
                  </w:r>
                </w:p>
              </w:tc>
              <w:tc>
                <w:tcPr>
                  <w:tcW w:w="1501" w:type="dxa"/>
                  <w:tcBorders>
                    <w:tl2br w:val="nil"/>
                    <w:tr2bl w:val="nil"/>
                  </w:tcBorders>
                  <w:shd w:val="clear" w:color="auto" w:fill="auto"/>
                  <w:vAlign w:val="center"/>
                </w:tcPr>
                <w:p w14:paraId="73317E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热解炉</w:t>
                  </w:r>
                </w:p>
              </w:tc>
              <w:tc>
                <w:tcPr>
                  <w:tcW w:w="748" w:type="dxa"/>
                  <w:tcBorders>
                    <w:tl2br w:val="nil"/>
                    <w:tr2bl w:val="nil"/>
                  </w:tcBorders>
                  <w:shd w:val="clear" w:color="auto" w:fill="auto"/>
                  <w:vAlign w:val="center"/>
                </w:tcPr>
                <w:p w14:paraId="711C3F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406655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747" w:type="dxa"/>
                  <w:tcBorders>
                    <w:tl2br w:val="nil"/>
                    <w:tr2bl w:val="nil"/>
                  </w:tcBorders>
                  <w:shd w:val="clear" w:color="auto" w:fill="auto"/>
                  <w:vAlign w:val="center"/>
                </w:tcPr>
                <w:p w14:paraId="6D44A3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废旧光伏板热解</w:t>
                  </w:r>
                </w:p>
              </w:tc>
              <w:tc>
                <w:tcPr>
                  <w:tcW w:w="1639" w:type="dxa"/>
                  <w:tcBorders>
                    <w:tl2br w:val="nil"/>
                    <w:tr2bl w:val="nil"/>
                  </w:tcBorders>
                  <w:shd w:val="clear" w:color="auto" w:fill="auto"/>
                  <w:vAlign w:val="center"/>
                </w:tcPr>
                <w:p w14:paraId="68F3F7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Φ3m，D8m</w:t>
                  </w:r>
                </w:p>
              </w:tc>
            </w:tr>
            <w:tr w14:paraId="5F09F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jc w:val="center"/>
              </w:trPr>
              <w:tc>
                <w:tcPr>
                  <w:tcW w:w="762" w:type="dxa"/>
                  <w:vMerge w:val="continue"/>
                  <w:tcBorders>
                    <w:tl2br w:val="nil"/>
                    <w:tr2bl w:val="nil"/>
                  </w:tcBorders>
                  <w:shd w:val="clear" w:color="auto" w:fill="auto"/>
                  <w:vAlign w:val="center"/>
                </w:tcPr>
                <w:p w14:paraId="048AB6D3">
                  <w:pPr>
                    <w:jc w:val="center"/>
                    <w:rPr>
                      <w:rFonts w:hint="default" w:ascii="Times New Roman" w:hAnsi="Times New Roman" w:eastAsia="宋体" w:cs="Times New Roman"/>
                      <w:i w:val="0"/>
                      <w:iCs w:val="0"/>
                      <w:color w:val="000000"/>
                      <w:sz w:val="21"/>
                      <w:szCs w:val="21"/>
                      <w:u w:val="none"/>
                    </w:rPr>
                  </w:pPr>
                </w:p>
              </w:tc>
              <w:tc>
                <w:tcPr>
                  <w:tcW w:w="926" w:type="dxa"/>
                  <w:vMerge w:val="continue"/>
                  <w:tcBorders>
                    <w:tl2br w:val="nil"/>
                    <w:tr2bl w:val="nil"/>
                  </w:tcBorders>
                  <w:shd w:val="clear" w:color="auto" w:fill="auto"/>
                  <w:vAlign w:val="center"/>
                </w:tcPr>
                <w:p w14:paraId="17D6F953">
                  <w:pPr>
                    <w:jc w:val="center"/>
                    <w:rPr>
                      <w:rFonts w:hint="default" w:ascii="Times New Roman" w:hAnsi="Times New Roman" w:eastAsia="宋体" w:cs="Times New Roman"/>
                      <w:i w:val="0"/>
                      <w:iCs w:val="0"/>
                      <w:color w:val="000000"/>
                      <w:sz w:val="21"/>
                      <w:szCs w:val="21"/>
                      <w:u w:val="none"/>
                    </w:rPr>
                  </w:pPr>
                </w:p>
              </w:tc>
              <w:tc>
                <w:tcPr>
                  <w:tcW w:w="735" w:type="dxa"/>
                  <w:vMerge w:val="continue"/>
                  <w:tcBorders>
                    <w:tl2br w:val="nil"/>
                    <w:tr2bl w:val="nil"/>
                  </w:tcBorders>
                  <w:shd w:val="clear" w:color="auto" w:fill="auto"/>
                  <w:vAlign w:val="center"/>
                </w:tcPr>
                <w:p w14:paraId="76558EBF">
                  <w:pPr>
                    <w:jc w:val="center"/>
                    <w:rPr>
                      <w:rFonts w:hint="default" w:ascii="Times New Roman" w:hAnsi="Times New Roman" w:eastAsia="宋体" w:cs="Times New Roman"/>
                      <w:i w:val="0"/>
                      <w:iCs w:val="0"/>
                      <w:color w:val="000000"/>
                      <w:sz w:val="21"/>
                      <w:szCs w:val="21"/>
                      <w:u w:val="none"/>
                    </w:rPr>
                  </w:pPr>
                </w:p>
              </w:tc>
              <w:tc>
                <w:tcPr>
                  <w:tcW w:w="1501" w:type="dxa"/>
                  <w:tcBorders>
                    <w:tl2br w:val="nil"/>
                    <w:tr2bl w:val="nil"/>
                  </w:tcBorders>
                  <w:shd w:val="clear" w:color="auto" w:fill="auto"/>
                  <w:vAlign w:val="center"/>
                </w:tcPr>
                <w:p w14:paraId="572896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立式分油器</w:t>
                  </w:r>
                </w:p>
              </w:tc>
              <w:tc>
                <w:tcPr>
                  <w:tcW w:w="748" w:type="dxa"/>
                  <w:tcBorders>
                    <w:tl2br w:val="nil"/>
                    <w:tr2bl w:val="nil"/>
                  </w:tcBorders>
                  <w:shd w:val="clear" w:color="auto" w:fill="auto"/>
                  <w:vAlign w:val="center"/>
                </w:tcPr>
                <w:p w14:paraId="776146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6C0EDE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747" w:type="dxa"/>
                  <w:tcBorders>
                    <w:tl2br w:val="nil"/>
                    <w:tr2bl w:val="nil"/>
                  </w:tcBorders>
                  <w:shd w:val="clear" w:color="auto" w:fill="auto"/>
                  <w:vAlign w:val="center"/>
                </w:tcPr>
                <w:p w14:paraId="45DC6A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油气分离</w:t>
                  </w:r>
                </w:p>
              </w:tc>
              <w:tc>
                <w:tcPr>
                  <w:tcW w:w="1639" w:type="dxa"/>
                  <w:tcBorders>
                    <w:tl2br w:val="nil"/>
                    <w:tr2bl w:val="nil"/>
                  </w:tcBorders>
                  <w:shd w:val="clear" w:color="auto" w:fill="auto"/>
                  <w:vAlign w:val="center"/>
                </w:tcPr>
                <w:p w14:paraId="6F9DDF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Φ1m</w:t>
                  </w:r>
                </w:p>
              </w:tc>
            </w:tr>
            <w:tr w14:paraId="43D5B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62" w:type="dxa"/>
                  <w:vMerge w:val="continue"/>
                  <w:tcBorders>
                    <w:tl2br w:val="nil"/>
                    <w:tr2bl w:val="nil"/>
                  </w:tcBorders>
                  <w:shd w:val="clear" w:color="auto" w:fill="auto"/>
                  <w:vAlign w:val="center"/>
                </w:tcPr>
                <w:p w14:paraId="2E9B7D64">
                  <w:pPr>
                    <w:jc w:val="center"/>
                    <w:rPr>
                      <w:rFonts w:hint="default" w:ascii="Times New Roman" w:hAnsi="Times New Roman" w:eastAsia="宋体" w:cs="Times New Roman"/>
                      <w:i w:val="0"/>
                      <w:iCs w:val="0"/>
                      <w:color w:val="000000"/>
                      <w:sz w:val="21"/>
                      <w:szCs w:val="21"/>
                      <w:u w:val="none"/>
                    </w:rPr>
                  </w:pPr>
                </w:p>
              </w:tc>
              <w:tc>
                <w:tcPr>
                  <w:tcW w:w="926" w:type="dxa"/>
                  <w:vMerge w:val="continue"/>
                  <w:tcBorders>
                    <w:tl2br w:val="nil"/>
                    <w:tr2bl w:val="nil"/>
                  </w:tcBorders>
                  <w:shd w:val="clear" w:color="auto" w:fill="auto"/>
                  <w:vAlign w:val="center"/>
                </w:tcPr>
                <w:p w14:paraId="103DE6BB">
                  <w:pPr>
                    <w:jc w:val="center"/>
                    <w:rPr>
                      <w:rFonts w:hint="default" w:ascii="Times New Roman" w:hAnsi="Times New Roman" w:eastAsia="宋体" w:cs="Times New Roman"/>
                      <w:i w:val="0"/>
                      <w:iCs w:val="0"/>
                      <w:color w:val="000000"/>
                      <w:sz w:val="21"/>
                      <w:szCs w:val="21"/>
                      <w:u w:val="none"/>
                    </w:rPr>
                  </w:pPr>
                </w:p>
              </w:tc>
              <w:tc>
                <w:tcPr>
                  <w:tcW w:w="735" w:type="dxa"/>
                  <w:vMerge w:val="continue"/>
                  <w:tcBorders>
                    <w:tl2br w:val="nil"/>
                    <w:tr2bl w:val="nil"/>
                  </w:tcBorders>
                  <w:shd w:val="clear" w:color="auto" w:fill="auto"/>
                  <w:vAlign w:val="center"/>
                </w:tcPr>
                <w:p w14:paraId="70160F9E">
                  <w:pPr>
                    <w:jc w:val="center"/>
                    <w:rPr>
                      <w:rFonts w:hint="default" w:ascii="Times New Roman" w:hAnsi="Times New Roman" w:eastAsia="宋体" w:cs="Times New Roman"/>
                      <w:i w:val="0"/>
                      <w:iCs w:val="0"/>
                      <w:color w:val="000000"/>
                      <w:sz w:val="21"/>
                      <w:szCs w:val="21"/>
                      <w:u w:val="none"/>
                    </w:rPr>
                  </w:pPr>
                </w:p>
              </w:tc>
              <w:tc>
                <w:tcPr>
                  <w:tcW w:w="1501" w:type="dxa"/>
                  <w:tcBorders>
                    <w:tl2br w:val="nil"/>
                    <w:tr2bl w:val="nil"/>
                  </w:tcBorders>
                  <w:shd w:val="clear" w:color="auto" w:fill="auto"/>
                  <w:vAlign w:val="center"/>
                </w:tcPr>
                <w:p w14:paraId="478517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渣油罐</w:t>
                  </w:r>
                </w:p>
              </w:tc>
              <w:tc>
                <w:tcPr>
                  <w:tcW w:w="748" w:type="dxa"/>
                  <w:tcBorders>
                    <w:tl2br w:val="nil"/>
                    <w:tr2bl w:val="nil"/>
                  </w:tcBorders>
                  <w:shd w:val="clear" w:color="auto" w:fill="auto"/>
                  <w:vAlign w:val="center"/>
                </w:tcPr>
                <w:p w14:paraId="3B831F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个</w:t>
                  </w:r>
                </w:p>
              </w:tc>
              <w:tc>
                <w:tcPr>
                  <w:tcW w:w="859" w:type="dxa"/>
                  <w:tcBorders>
                    <w:tl2br w:val="nil"/>
                    <w:tr2bl w:val="nil"/>
                  </w:tcBorders>
                  <w:shd w:val="clear" w:color="auto" w:fill="auto"/>
                  <w:vAlign w:val="center"/>
                </w:tcPr>
                <w:p w14:paraId="6A0D79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747" w:type="dxa"/>
                  <w:tcBorders>
                    <w:tl2br w:val="nil"/>
                    <w:tr2bl w:val="nil"/>
                  </w:tcBorders>
                  <w:shd w:val="clear" w:color="auto" w:fill="auto"/>
                  <w:vAlign w:val="center"/>
                </w:tcPr>
                <w:p w14:paraId="5B3EB7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渣油暂存</w:t>
                  </w:r>
                </w:p>
              </w:tc>
              <w:tc>
                <w:tcPr>
                  <w:tcW w:w="1639" w:type="dxa"/>
                  <w:tcBorders>
                    <w:tl2br w:val="nil"/>
                    <w:tr2bl w:val="nil"/>
                  </w:tcBorders>
                  <w:shd w:val="clear" w:color="auto" w:fill="auto"/>
                  <w:vAlign w:val="center"/>
                </w:tcPr>
                <w:p w14:paraId="5DD117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Φ0.9m×2m</w:t>
                  </w:r>
                </w:p>
              </w:tc>
            </w:tr>
            <w:tr w14:paraId="6A4B3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9" w:hRule="atLeast"/>
                <w:jc w:val="center"/>
              </w:trPr>
              <w:tc>
                <w:tcPr>
                  <w:tcW w:w="762" w:type="dxa"/>
                  <w:vMerge w:val="continue"/>
                  <w:tcBorders>
                    <w:tl2br w:val="nil"/>
                    <w:tr2bl w:val="nil"/>
                  </w:tcBorders>
                  <w:shd w:val="clear" w:color="auto" w:fill="auto"/>
                  <w:vAlign w:val="center"/>
                </w:tcPr>
                <w:p w14:paraId="0FC28A1E">
                  <w:pPr>
                    <w:jc w:val="center"/>
                    <w:rPr>
                      <w:rFonts w:hint="default" w:ascii="Times New Roman" w:hAnsi="Times New Roman" w:eastAsia="宋体" w:cs="Times New Roman"/>
                      <w:i w:val="0"/>
                      <w:iCs w:val="0"/>
                      <w:color w:val="000000"/>
                      <w:sz w:val="21"/>
                      <w:szCs w:val="21"/>
                      <w:u w:val="none"/>
                    </w:rPr>
                  </w:pPr>
                </w:p>
              </w:tc>
              <w:tc>
                <w:tcPr>
                  <w:tcW w:w="926" w:type="dxa"/>
                  <w:vMerge w:val="continue"/>
                  <w:tcBorders>
                    <w:tl2br w:val="nil"/>
                    <w:tr2bl w:val="nil"/>
                  </w:tcBorders>
                  <w:shd w:val="clear" w:color="auto" w:fill="auto"/>
                  <w:vAlign w:val="center"/>
                </w:tcPr>
                <w:p w14:paraId="22813194">
                  <w:pPr>
                    <w:jc w:val="center"/>
                    <w:rPr>
                      <w:rFonts w:hint="default" w:ascii="Times New Roman" w:hAnsi="Times New Roman" w:eastAsia="宋体" w:cs="Times New Roman"/>
                      <w:i w:val="0"/>
                      <w:iCs w:val="0"/>
                      <w:color w:val="000000"/>
                      <w:sz w:val="21"/>
                      <w:szCs w:val="21"/>
                      <w:u w:val="none"/>
                    </w:rPr>
                  </w:pPr>
                </w:p>
              </w:tc>
              <w:tc>
                <w:tcPr>
                  <w:tcW w:w="735" w:type="dxa"/>
                  <w:vMerge w:val="continue"/>
                  <w:tcBorders>
                    <w:tl2br w:val="nil"/>
                    <w:tr2bl w:val="nil"/>
                  </w:tcBorders>
                  <w:shd w:val="clear" w:color="auto" w:fill="auto"/>
                  <w:vAlign w:val="center"/>
                </w:tcPr>
                <w:p w14:paraId="7A713037">
                  <w:pPr>
                    <w:jc w:val="center"/>
                    <w:rPr>
                      <w:rFonts w:hint="default" w:ascii="Times New Roman" w:hAnsi="Times New Roman" w:eastAsia="宋体" w:cs="Times New Roman"/>
                      <w:i w:val="0"/>
                      <w:iCs w:val="0"/>
                      <w:color w:val="000000"/>
                      <w:sz w:val="21"/>
                      <w:szCs w:val="21"/>
                      <w:u w:val="none"/>
                    </w:rPr>
                  </w:pPr>
                </w:p>
              </w:tc>
              <w:tc>
                <w:tcPr>
                  <w:tcW w:w="1501" w:type="dxa"/>
                  <w:tcBorders>
                    <w:tl2br w:val="nil"/>
                    <w:tr2bl w:val="nil"/>
                  </w:tcBorders>
                  <w:shd w:val="clear" w:color="auto" w:fill="auto"/>
                  <w:vAlign w:val="center"/>
                </w:tcPr>
                <w:p w14:paraId="3F74AB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卧式冷凝器（水冷）</w:t>
                  </w:r>
                </w:p>
              </w:tc>
              <w:tc>
                <w:tcPr>
                  <w:tcW w:w="748" w:type="dxa"/>
                  <w:tcBorders>
                    <w:tl2br w:val="nil"/>
                    <w:tr2bl w:val="nil"/>
                  </w:tcBorders>
                  <w:shd w:val="clear" w:color="auto" w:fill="auto"/>
                  <w:vAlign w:val="center"/>
                </w:tcPr>
                <w:p w14:paraId="204C23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591993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747" w:type="dxa"/>
                  <w:tcBorders>
                    <w:tl2br w:val="nil"/>
                    <w:tr2bl w:val="nil"/>
                  </w:tcBorders>
                  <w:shd w:val="clear" w:color="auto" w:fill="auto"/>
                  <w:vAlign w:val="center"/>
                </w:tcPr>
                <w:p w14:paraId="104836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油气冷凝</w:t>
                  </w:r>
                </w:p>
              </w:tc>
              <w:tc>
                <w:tcPr>
                  <w:tcW w:w="1639" w:type="dxa"/>
                  <w:tcBorders>
                    <w:tl2br w:val="nil"/>
                    <w:tr2bl w:val="nil"/>
                  </w:tcBorders>
                  <w:shd w:val="clear" w:color="auto" w:fill="auto"/>
                  <w:vAlign w:val="center"/>
                </w:tcPr>
                <w:p w14:paraId="2E8750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6m×3m×1.5m</w:t>
                  </w:r>
                </w:p>
              </w:tc>
            </w:tr>
            <w:tr w14:paraId="2F5F7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62" w:type="dxa"/>
                  <w:vMerge w:val="continue"/>
                  <w:tcBorders>
                    <w:tl2br w:val="nil"/>
                    <w:tr2bl w:val="nil"/>
                  </w:tcBorders>
                  <w:shd w:val="clear" w:color="auto" w:fill="auto"/>
                  <w:vAlign w:val="center"/>
                </w:tcPr>
                <w:p w14:paraId="3793633A">
                  <w:pPr>
                    <w:jc w:val="center"/>
                    <w:rPr>
                      <w:rFonts w:hint="default" w:ascii="Times New Roman" w:hAnsi="Times New Roman" w:eastAsia="宋体" w:cs="Times New Roman"/>
                      <w:i w:val="0"/>
                      <w:iCs w:val="0"/>
                      <w:color w:val="000000"/>
                      <w:sz w:val="21"/>
                      <w:szCs w:val="21"/>
                      <w:u w:val="none"/>
                    </w:rPr>
                  </w:pPr>
                </w:p>
              </w:tc>
              <w:tc>
                <w:tcPr>
                  <w:tcW w:w="926" w:type="dxa"/>
                  <w:vMerge w:val="continue"/>
                  <w:tcBorders>
                    <w:tl2br w:val="nil"/>
                    <w:tr2bl w:val="nil"/>
                  </w:tcBorders>
                  <w:shd w:val="clear" w:color="auto" w:fill="auto"/>
                  <w:vAlign w:val="center"/>
                </w:tcPr>
                <w:p w14:paraId="722A19ED">
                  <w:pPr>
                    <w:jc w:val="center"/>
                    <w:rPr>
                      <w:rFonts w:hint="default" w:ascii="Times New Roman" w:hAnsi="Times New Roman" w:eastAsia="宋体" w:cs="Times New Roman"/>
                      <w:i w:val="0"/>
                      <w:iCs w:val="0"/>
                      <w:color w:val="000000"/>
                      <w:sz w:val="21"/>
                      <w:szCs w:val="21"/>
                      <w:u w:val="none"/>
                    </w:rPr>
                  </w:pPr>
                </w:p>
              </w:tc>
              <w:tc>
                <w:tcPr>
                  <w:tcW w:w="735" w:type="dxa"/>
                  <w:vMerge w:val="continue"/>
                  <w:tcBorders>
                    <w:tl2br w:val="nil"/>
                    <w:tr2bl w:val="nil"/>
                  </w:tcBorders>
                  <w:shd w:val="clear" w:color="auto" w:fill="auto"/>
                  <w:vAlign w:val="center"/>
                </w:tcPr>
                <w:p w14:paraId="355D4C14">
                  <w:pPr>
                    <w:jc w:val="center"/>
                    <w:rPr>
                      <w:rFonts w:hint="default" w:ascii="Times New Roman" w:hAnsi="Times New Roman" w:eastAsia="宋体" w:cs="Times New Roman"/>
                      <w:i w:val="0"/>
                      <w:iCs w:val="0"/>
                      <w:color w:val="000000"/>
                      <w:sz w:val="21"/>
                      <w:szCs w:val="21"/>
                      <w:u w:val="none"/>
                    </w:rPr>
                  </w:pPr>
                </w:p>
              </w:tc>
              <w:tc>
                <w:tcPr>
                  <w:tcW w:w="1501" w:type="dxa"/>
                  <w:tcBorders>
                    <w:tl2br w:val="nil"/>
                    <w:tr2bl w:val="nil"/>
                  </w:tcBorders>
                  <w:shd w:val="clear" w:color="auto" w:fill="auto"/>
                  <w:vAlign w:val="center"/>
                </w:tcPr>
                <w:p w14:paraId="65C7E3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水封罐</w:t>
                  </w:r>
                </w:p>
              </w:tc>
              <w:tc>
                <w:tcPr>
                  <w:tcW w:w="748" w:type="dxa"/>
                  <w:tcBorders>
                    <w:tl2br w:val="nil"/>
                    <w:tr2bl w:val="nil"/>
                  </w:tcBorders>
                  <w:shd w:val="clear" w:color="auto" w:fill="auto"/>
                  <w:vAlign w:val="center"/>
                </w:tcPr>
                <w:p w14:paraId="2A02B6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个</w:t>
                  </w:r>
                </w:p>
              </w:tc>
              <w:tc>
                <w:tcPr>
                  <w:tcW w:w="859" w:type="dxa"/>
                  <w:tcBorders>
                    <w:tl2br w:val="nil"/>
                    <w:tr2bl w:val="nil"/>
                  </w:tcBorders>
                  <w:shd w:val="clear" w:color="auto" w:fill="auto"/>
                  <w:vAlign w:val="center"/>
                </w:tcPr>
                <w:p w14:paraId="448D311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747" w:type="dxa"/>
                  <w:tcBorders>
                    <w:tl2br w:val="nil"/>
                    <w:tr2bl w:val="nil"/>
                  </w:tcBorders>
                  <w:shd w:val="clear" w:color="auto" w:fill="auto"/>
                  <w:vAlign w:val="center"/>
                </w:tcPr>
                <w:p w14:paraId="05DFEC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水封</w:t>
                  </w:r>
                </w:p>
              </w:tc>
              <w:tc>
                <w:tcPr>
                  <w:tcW w:w="1639" w:type="dxa"/>
                  <w:tcBorders>
                    <w:tl2br w:val="nil"/>
                    <w:tr2bl w:val="nil"/>
                  </w:tcBorders>
                  <w:shd w:val="clear" w:color="auto" w:fill="auto"/>
                  <w:vAlign w:val="center"/>
                </w:tcPr>
                <w:p w14:paraId="6C4491B7">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0D1C4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jc w:val="center"/>
              </w:trPr>
              <w:tc>
                <w:tcPr>
                  <w:tcW w:w="762" w:type="dxa"/>
                  <w:vMerge w:val="continue"/>
                  <w:tcBorders>
                    <w:tl2br w:val="nil"/>
                    <w:tr2bl w:val="nil"/>
                  </w:tcBorders>
                  <w:shd w:val="clear" w:color="auto" w:fill="auto"/>
                  <w:vAlign w:val="center"/>
                </w:tcPr>
                <w:p w14:paraId="2BEE4C76">
                  <w:pPr>
                    <w:jc w:val="center"/>
                    <w:rPr>
                      <w:rFonts w:hint="default" w:ascii="Times New Roman" w:hAnsi="Times New Roman" w:eastAsia="宋体" w:cs="Times New Roman"/>
                      <w:i w:val="0"/>
                      <w:iCs w:val="0"/>
                      <w:color w:val="000000"/>
                      <w:sz w:val="21"/>
                      <w:szCs w:val="21"/>
                      <w:u w:val="none"/>
                    </w:rPr>
                  </w:pPr>
                </w:p>
              </w:tc>
              <w:tc>
                <w:tcPr>
                  <w:tcW w:w="926" w:type="dxa"/>
                  <w:vMerge w:val="continue"/>
                  <w:tcBorders>
                    <w:tl2br w:val="nil"/>
                    <w:tr2bl w:val="nil"/>
                  </w:tcBorders>
                  <w:shd w:val="clear" w:color="auto" w:fill="auto"/>
                  <w:vAlign w:val="center"/>
                </w:tcPr>
                <w:p w14:paraId="52A310B0">
                  <w:pPr>
                    <w:jc w:val="center"/>
                    <w:rPr>
                      <w:rFonts w:hint="default" w:ascii="Times New Roman" w:hAnsi="Times New Roman" w:eastAsia="宋体" w:cs="Times New Roman"/>
                      <w:i w:val="0"/>
                      <w:iCs w:val="0"/>
                      <w:color w:val="000000"/>
                      <w:sz w:val="21"/>
                      <w:szCs w:val="21"/>
                      <w:u w:val="none"/>
                    </w:rPr>
                  </w:pPr>
                </w:p>
              </w:tc>
              <w:tc>
                <w:tcPr>
                  <w:tcW w:w="735" w:type="dxa"/>
                  <w:vMerge w:val="continue"/>
                  <w:tcBorders>
                    <w:tl2br w:val="nil"/>
                    <w:tr2bl w:val="nil"/>
                  </w:tcBorders>
                  <w:shd w:val="clear" w:color="auto" w:fill="auto"/>
                  <w:vAlign w:val="center"/>
                </w:tcPr>
                <w:p w14:paraId="7884C56F">
                  <w:pPr>
                    <w:jc w:val="center"/>
                    <w:rPr>
                      <w:rFonts w:hint="default" w:ascii="Times New Roman" w:hAnsi="Times New Roman" w:eastAsia="宋体" w:cs="Times New Roman"/>
                      <w:i w:val="0"/>
                      <w:iCs w:val="0"/>
                      <w:color w:val="000000"/>
                      <w:sz w:val="21"/>
                      <w:szCs w:val="21"/>
                      <w:u w:val="none"/>
                    </w:rPr>
                  </w:pPr>
                </w:p>
              </w:tc>
              <w:tc>
                <w:tcPr>
                  <w:tcW w:w="1501" w:type="dxa"/>
                  <w:tcBorders>
                    <w:tl2br w:val="nil"/>
                    <w:tr2bl w:val="nil"/>
                  </w:tcBorders>
                  <w:shd w:val="clear" w:color="auto" w:fill="auto"/>
                  <w:vAlign w:val="center"/>
                </w:tcPr>
                <w:p w14:paraId="6038FD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油品中转罐</w:t>
                  </w:r>
                </w:p>
              </w:tc>
              <w:tc>
                <w:tcPr>
                  <w:tcW w:w="748" w:type="dxa"/>
                  <w:tcBorders>
                    <w:tl2br w:val="nil"/>
                    <w:tr2bl w:val="nil"/>
                  </w:tcBorders>
                  <w:shd w:val="clear" w:color="auto" w:fill="auto"/>
                  <w:vAlign w:val="center"/>
                </w:tcPr>
                <w:p w14:paraId="0E4C74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个</w:t>
                  </w:r>
                </w:p>
              </w:tc>
              <w:tc>
                <w:tcPr>
                  <w:tcW w:w="859" w:type="dxa"/>
                  <w:tcBorders>
                    <w:tl2br w:val="nil"/>
                    <w:tr2bl w:val="nil"/>
                  </w:tcBorders>
                  <w:shd w:val="clear" w:color="auto" w:fill="auto"/>
                  <w:vAlign w:val="center"/>
                </w:tcPr>
                <w:p w14:paraId="291D33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747" w:type="dxa"/>
                  <w:tcBorders>
                    <w:tl2br w:val="nil"/>
                    <w:tr2bl w:val="nil"/>
                  </w:tcBorders>
                  <w:shd w:val="clear" w:color="auto" w:fill="auto"/>
                  <w:vAlign w:val="center"/>
                </w:tcPr>
                <w:p w14:paraId="5117C3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热解油暂存</w:t>
                  </w:r>
                </w:p>
              </w:tc>
              <w:tc>
                <w:tcPr>
                  <w:tcW w:w="1639" w:type="dxa"/>
                  <w:tcBorders>
                    <w:tl2br w:val="nil"/>
                    <w:tr2bl w:val="nil"/>
                  </w:tcBorders>
                  <w:shd w:val="clear" w:color="auto" w:fill="auto"/>
                  <w:vAlign w:val="center"/>
                </w:tcPr>
                <w:p w14:paraId="5A9DC2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Φ1.4m，D4.5m</w:t>
                  </w:r>
                </w:p>
              </w:tc>
            </w:tr>
            <w:tr w14:paraId="45179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0" w:hRule="atLeast"/>
                <w:jc w:val="center"/>
              </w:trPr>
              <w:tc>
                <w:tcPr>
                  <w:tcW w:w="762" w:type="dxa"/>
                  <w:tcBorders>
                    <w:tl2br w:val="nil"/>
                    <w:tr2bl w:val="nil"/>
                  </w:tcBorders>
                  <w:shd w:val="clear" w:color="auto" w:fill="auto"/>
                  <w:vAlign w:val="center"/>
                </w:tcPr>
                <w:p w14:paraId="3157F5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926" w:type="dxa"/>
                  <w:vMerge w:val="continue"/>
                  <w:tcBorders>
                    <w:tl2br w:val="nil"/>
                    <w:tr2bl w:val="nil"/>
                  </w:tcBorders>
                  <w:shd w:val="clear" w:color="auto" w:fill="auto"/>
                  <w:vAlign w:val="center"/>
                </w:tcPr>
                <w:p w14:paraId="1F002007">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20CF8A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储油罐</w:t>
                  </w:r>
                </w:p>
              </w:tc>
              <w:tc>
                <w:tcPr>
                  <w:tcW w:w="748" w:type="dxa"/>
                  <w:tcBorders>
                    <w:tl2br w:val="nil"/>
                    <w:tr2bl w:val="nil"/>
                  </w:tcBorders>
                  <w:shd w:val="clear" w:color="auto" w:fill="auto"/>
                  <w:vAlign w:val="center"/>
                </w:tcPr>
                <w:p w14:paraId="1B8AA14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个</w:t>
                  </w:r>
                </w:p>
              </w:tc>
              <w:tc>
                <w:tcPr>
                  <w:tcW w:w="859" w:type="dxa"/>
                  <w:tcBorders>
                    <w:tl2br w:val="nil"/>
                    <w:tr2bl w:val="nil"/>
                  </w:tcBorders>
                  <w:shd w:val="clear" w:color="auto" w:fill="auto"/>
                  <w:vAlign w:val="center"/>
                </w:tcPr>
                <w:p w14:paraId="0637E0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747" w:type="dxa"/>
                  <w:tcBorders>
                    <w:tl2br w:val="nil"/>
                    <w:tr2bl w:val="nil"/>
                  </w:tcBorders>
                  <w:shd w:val="clear" w:color="auto" w:fill="auto"/>
                  <w:vAlign w:val="center"/>
                </w:tcPr>
                <w:p w14:paraId="5DC67B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热解油贮存</w:t>
                  </w:r>
                </w:p>
              </w:tc>
              <w:tc>
                <w:tcPr>
                  <w:tcW w:w="1639" w:type="dxa"/>
                  <w:tcBorders>
                    <w:tl2br w:val="nil"/>
                    <w:tr2bl w:val="nil"/>
                  </w:tcBorders>
                  <w:shd w:val="clear" w:color="auto" w:fill="auto"/>
                  <w:vAlign w:val="center"/>
                </w:tcPr>
                <w:p w14:paraId="151F63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Φ3m，D7.5m</w:t>
                  </w:r>
                </w:p>
              </w:tc>
            </w:tr>
            <w:tr w14:paraId="21276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4EBAAF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926" w:type="dxa"/>
                  <w:vMerge w:val="restart"/>
                  <w:tcBorders>
                    <w:tl2br w:val="nil"/>
                    <w:tr2bl w:val="nil"/>
                  </w:tcBorders>
                  <w:shd w:val="clear" w:color="auto" w:fill="auto"/>
                  <w:vAlign w:val="center"/>
                </w:tcPr>
                <w:p w14:paraId="23AB2D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分选区</w:t>
                  </w:r>
                </w:p>
              </w:tc>
              <w:tc>
                <w:tcPr>
                  <w:tcW w:w="2236" w:type="dxa"/>
                  <w:gridSpan w:val="2"/>
                  <w:tcBorders>
                    <w:tl2br w:val="nil"/>
                    <w:tr2bl w:val="nil"/>
                  </w:tcBorders>
                  <w:shd w:val="clear" w:color="auto" w:fill="auto"/>
                  <w:vAlign w:val="center"/>
                </w:tcPr>
                <w:p w14:paraId="39AEB6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传送带</w:t>
                  </w:r>
                </w:p>
              </w:tc>
              <w:tc>
                <w:tcPr>
                  <w:tcW w:w="748" w:type="dxa"/>
                  <w:tcBorders>
                    <w:tl2br w:val="nil"/>
                    <w:tr2bl w:val="nil"/>
                  </w:tcBorders>
                  <w:shd w:val="clear" w:color="auto" w:fill="auto"/>
                  <w:vAlign w:val="center"/>
                </w:tcPr>
                <w:p w14:paraId="783C81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米</w:t>
                  </w:r>
                </w:p>
              </w:tc>
              <w:tc>
                <w:tcPr>
                  <w:tcW w:w="859" w:type="dxa"/>
                  <w:tcBorders>
                    <w:tl2br w:val="nil"/>
                    <w:tr2bl w:val="nil"/>
                  </w:tcBorders>
                  <w:shd w:val="clear" w:color="auto" w:fill="auto"/>
                  <w:vAlign w:val="center"/>
                </w:tcPr>
                <w:p w14:paraId="5FBDAC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300</w:t>
                  </w:r>
                </w:p>
              </w:tc>
              <w:tc>
                <w:tcPr>
                  <w:tcW w:w="1747" w:type="dxa"/>
                  <w:tcBorders>
                    <w:tl2br w:val="nil"/>
                    <w:tr2bl w:val="nil"/>
                  </w:tcBorders>
                  <w:shd w:val="clear" w:color="auto" w:fill="auto"/>
                  <w:vAlign w:val="center"/>
                </w:tcPr>
                <w:p w14:paraId="6AE413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物料输送</w:t>
                  </w:r>
                </w:p>
              </w:tc>
              <w:tc>
                <w:tcPr>
                  <w:tcW w:w="1639" w:type="dxa"/>
                  <w:tcBorders>
                    <w:tl2br w:val="nil"/>
                    <w:tr2bl w:val="nil"/>
                  </w:tcBorders>
                  <w:shd w:val="clear" w:color="auto" w:fill="auto"/>
                  <w:vAlign w:val="center"/>
                </w:tcPr>
                <w:p w14:paraId="268FBE4C">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66105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8" w:hRule="atLeast"/>
                <w:jc w:val="center"/>
              </w:trPr>
              <w:tc>
                <w:tcPr>
                  <w:tcW w:w="762" w:type="dxa"/>
                  <w:tcBorders>
                    <w:tl2br w:val="nil"/>
                    <w:tr2bl w:val="nil"/>
                  </w:tcBorders>
                  <w:shd w:val="clear" w:color="auto" w:fill="auto"/>
                  <w:vAlign w:val="center"/>
                </w:tcPr>
                <w:p w14:paraId="445381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926" w:type="dxa"/>
                  <w:vMerge w:val="continue"/>
                  <w:tcBorders>
                    <w:tl2br w:val="nil"/>
                    <w:tr2bl w:val="nil"/>
                  </w:tcBorders>
                  <w:shd w:val="clear" w:color="auto" w:fill="auto"/>
                  <w:vAlign w:val="center"/>
                </w:tcPr>
                <w:p w14:paraId="4E5F38D0">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16A74E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储存料仓</w:t>
                  </w:r>
                </w:p>
              </w:tc>
              <w:tc>
                <w:tcPr>
                  <w:tcW w:w="748" w:type="dxa"/>
                  <w:tcBorders>
                    <w:tl2br w:val="nil"/>
                    <w:tr2bl w:val="nil"/>
                  </w:tcBorders>
                  <w:shd w:val="clear" w:color="auto" w:fill="auto"/>
                  <w:vAlign w:val="center"/>
                </w:tcPr>
                <w:p w14:paraId="40EECF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个</w:t>
                  </w:r>
                </w:p>
              </w:tc>
              <w:tc>
                <w:tcPr>
                  <w:tcW w:w="859" w:type="dxa"/>
                  <w:tcBorders>
                    <w:tl2br w:val="nil"/>
                    <w:tr2bl w:val="nil"/>
                  </w:tcBorders>
                  <w:shd w:val="clear" w:color="auto" w:fill="auto"/>
                  <w:vAlign w:val="center"/>
                </w:tcPr>
                <w:p w14:paraId="30115E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26</w:t>
                  </w:r>
                </w:p>
              </w:tc>
              <w:tc>
                <w:tcPr>
                  <w:tcW w:w="1747" w:type="dxa"/>
                  <w:tcBorders>
                    <w:tl2br w:val="nil"/>
                    <w:tr2bl w:val="nil"/>
                  </w:tcBorders>
                  <w:shd w:val="clear" w:color="auto" w:fill="auto"/>
                  <w:vAlign w:val="center"/>
                </w:tcPr>
                <w:p w14:paraId="486579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物料中转、贮存</w:t>
                  </w:r>
                </w:p>
              </w:tc>
              <w:tc>
                <w:tcPr>
                  <w:tcW w:w="1639" w:type="dxa"/>
                  <w:tcBorders>
                    <w:tl2br w:val="nil"/>
                    <w:tr2bl w:val="nil"/>
                  </w:tcBorders>
                  <w:shd w:val="clear" w:color="auto" w:fill="auto"/>
                  <w:vAlign w:val="center"/>
                </w:tcPr>
                <w:p w14:paraId="52EE1E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4C6A4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9" w:hRule="atLeast"/>
                <w:jc w:val="center"/>
              </w:trPr>
              <w:tc>
                <w:tcPr>
                  <w:tcW w:w="762" w:type="dxa"/>
                  <w:tcBorders>
                    <w:tl2br w:val="nil"/>
                    <w:tr2bl w:val="nil"/>
                  </w:tcBorders>
                  <w:shd w:val="clear" w:color="auto" w:fill="auto"/>
                  <w:vAlign w:val="center"/>
                </w:tcPr>
                <w:p w14:paraId="05CB95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926" w:type="dxa"/>
                  <w:vMerge w:val="continue"/>
                  <w:tcBorders>
                    <w:tl2br w:val="nil"/>
                    <w:tr2bl w:val="nil"/>
                  </w:tcBorders>
                  <w:shd w:val="clear" w:color="auto" w:fill="auto"/>
                  <w:vAlign w:val="center"/>
                </w:tcPr>
                <w:p w14:paraId="05720AF0">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0EDFE7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大振动筛</w:t>
                  </w:r>
                </w:p>
              </w:tc>
              <w:tc>
                <w:tcPr>
                  <w:tcW w:w="748" w:type="dxa"/>
                  <w:tcBorders>
                    <w:tl2br w:val="nil"/>
                    <w:tr2bl w:val="nil"/>
                  </w:tcBorders>
                  <w:shd w:val="clear" w:color="auto" w:fill="auto"/>
                  <w:vAlign w:val="center"/>
                </w:tcPr>
                <w:p w14:paraId="2A271D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1B6882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47" w:type="dxa"/>
                  <w:tcBorders>
                    <w:tl2br w:val="nil"/>
                    <w:tr2bl w:val="nil"/>
                  </w:tcBorders>
                  <w:shd w:val="clear" w:color="auto" w:fill="auto"/>
                  <w:vAlign w:val="center"/>
                </w:tcPr>
                <w:p w14:paraId="3169A6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对1#料仓出料进行筛分</w:t>
                  </w:r>
                </w:p>
              </w:tc>
              <w:tc>
                <w:tcPr>
                  <w:tcW w:w="1639" w:type="dxa"/>
                  <w:tcBorders>
                    <w:tl2br w:val="nil"/>
                    <w:tr2bl w:val="nil"/>
                  </w:tcBorders>
                  <w:shd w:val="clear" w:color="auto" w:fill="auto"/>
                  <w:vAlign w:val="center"/>
                </w:tcPr>
                <w:p w14:paraId="2E98EE6B">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2BC58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9" w:hRule="atLeast"/>
                <w:jc w:val="center"/>
              </w:trPr>
              <w:tc>
                <w:tcPr>
                  <w:tcW w:w="762" w:type="dxa"/>
                  <w:tcBorders>
                    <w:tl2br w:val="nil"/>
                    <w:tr2bl w:val="nil"/>
                  </w:tcBorders>
                  <w:shd w:val="clear" w:color="auto" w:fill="auto"/>
                  <w:vAlign w:val="center"/>
                </w:tcPr>
                <w:p w14:paraId="491FC3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926" w:type="dxa"/>
                  <w:vMerge w:val="continue"/>
                  <w:tcBorders>
                    <w:tl2br w:val="nil"/>
                    <w:tr2bl w:val="nil"/>
                  </w:tcBorders>
                  <w:shd w:val="clear" w:color="auto" w:fill="auto"/>
                  <w:vAlign w:val="center"/>
                </w:tcPr>
                <w:p w14:paraId="4F998406">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162E56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旋风分离器</w:t>
                  </w:r>
                </w:p>
              </w:tc>
              <w:tc>
                <w:tcPr>
                  <w:tcW w:w="748" w:type="dxa"/>
                  <w:tcBorders>
                    <w:tl2br w:val="nil"/>
                    <w:tr2bl w:val="nil"/>
                  </w:tcBorders>
                  <w:shd w:val="clear" w:color="auto" w:fill="auto"/>
                  <w:vAlign w:val="center"/>
                </w:tcPr>
                <w:p w14:paraId="7503B2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0DC754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747" w:type="dxa"/>
                  <w:tcBorders>
                    <w:tl2br w:val="nil"/>
                    <w:tr2bl w:val="nil"/>
                  </w:tcBorders>
                  <w:shd w:val="clear" w:color="auto" w:fill="auto"/>
                  <w:vAlign w:val="center"/>
                </w:tcPr>
                <w:p w14:paraId="50F6DC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i w:val="0"/>
                      <w:iCs w:val="0"/>
                      <w:color w:val="000000"/>
                      <w:kern w:val="0"/>
                      <w:sz w:val="21"/>
                      <w:szCs w:val="21"/>
                      <w:u w:val="none"/>
                      <w:lang w:val="en-US" w:eastAsia="zh-CN" w:bidi="ar"/>
                    </w:rPr>
                    <w:t>分离</w:t>
                  </w:r>
                  <w:r>
                    <w:rPr>
                      <w:rFonts w:hint="default" w:ascii="Times New Roman" w:hAnsi="Times New Roman" w:eastAsia="宋体" w:cs="Times New Roman"/>
                      <w:i w:val="0"/>
                      <w:iCs w:val="0"/>
                      <w:color w:val="000000"/>
                      <w:kern w:val="0"/>
                      <w:sz w:val="21"/>
                      <w:szCs w:val="21"/>
                      <w:u w:val="none"/>
                      <w:lang w:val="en-US" w:eastAsia="zh-CN" w:bidi="ar"/>
                    </w:rPr>
                    <w:t>出80目以下硅粉</w:t>
                  </w:r>
                </w:p>
              </w:tc>
              <w:tc>
                <w:tcPr>
                  <w:tcW w:w="1639" w:type="dxa"/>
                  <w:tcBorders>
                    <w:tl2br w:val="nil"/>
                    <w:tr2bl w:val="nil"/>
                  </w:tcBorders>
                  <w:shd w:val="clear" w:color="auto" w:fill="auto"/>
                  <w:vAlign w:val="center"/>
                </w:tcPr>
                <w:p w14:paraId="51D97517">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2D6FD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762" w:type="dxa"/>
                  <w:tcBorders>
                    <w:tl2br w:val="nil"/>
                    <w:tr2bl w:val="nil"/>
                  </w:tcBorders>
                  <w:shd w:val="clear" w:color="auto" w:fill="auto"/>
                  <w:vAlign w:val="center"/>
                </w:tcPr>
                <w:p w14:paraId="5F2F03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926" w:type="dxa"/>
                  <w:vMerge w:val="continue"/>
                  <w:tcBorders>
                    <w:tl2br w:val="nil"/>
                    <w:tr2bl w:val="nil"/>
                  </w:tcBorders>
                  <w:shd w:val="clear" w:color="auto" w:fill="auto"/>
                  <w:vAlign w:val="center"/>
                </w:tcPr>
                <w:p w14:paraId="770CDEED">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42255A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涡电流分选机</w:t>
                  </w:r>
                </w:p>
              </w:tc>
              <w:tc>
                <w:tcPr>
                  <w:tcW w:w="748" w:type="dxa"/>
                  <w:tcBorders>
                    <w:tl2br w:val="nil"/>
                    <w:tr2bl w:val="nil"/>
                  </w:tcBorders>
                  <w:shd w:val="clear" w:color="auto" w:fill="auto"/>
                  <w:vAlign w:val="center"/>
                </w:tcPr>
                <w:p w14:paraId="1A66E2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511B7D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747" w:type="dxa"/>
                  <w:tcBorders>
                    <w:tl2br w:val="nil"/>
                    <w:tr2bl w:val="nil"/>
                  </w:tcBorders>
                  <w:shd w:val="clear" w:color="auto" w:fill="auto"/>
                  <w:vAlign w:val="center"/>
                </w:tcPr>
                <w:p w14:paraId="6054C8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分选出＞5mm的铜和玻璃</w:t>
                  </w:r>
                </w:p>
              </w:tc>
              <w:tc>
                <w:tcPr>
                  <w:tcW w:w="1639" w:type="dxa"/>
                  <w:tcBorders>
                    <w:tl2br w:val="nil"/>
                    <w:tr2bl w:val="nil"/>
                  </w:tcBorders>
                  <w:shd w:val="clear" w:color="auto" w:fill="auto"/>
                  <w:vAlign w:val="center"/>
                </w:tcPr>
                <w:p w14:paraId="6F07278D">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01D26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7413AE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926" w:type="dxa"/>
                  <w:vMerge w:val="continue"/>
                  <w:tcBorders>
                    <w:tl2br w:val="nil"/>
                    <w:tr2bl w:val="nil"/>
                  </w:tcBorders>
                  <w:shd w:val="clear" w:color="auto" w:fill="auto"/>
                  <w:vAlign w:val="center"/>
                </w:tcPr>
                <w:p w14:paraId="4667D956">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431D9C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风选机</w:t>
                  </w:r>
                </w:p>
              </w:tc>
              <w:tc>
                <w:tcPr>
                  <w:tcW w:w="748" w:type="dxa"/>
                  <w:tcBorders>
                    <w:tl2br w:val="nil"/>
                    <w:tr2bl w:val="nil"/>
                  </w:tcBorders>
                  <w:shd w:val="clear" w:color="auto" w:fill="auto"/>
                  <w:vAlign w:val="center"/>
                </w:tcPr>
                <w:p w14:paraId="5DB7AD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6635B6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w:t>
                  </w:r>
                </w:p>
              </w:tc>
              <w:tc>
                <w:tcPr>
                  <w:tcW w:w="1747" w:type="dxa"/>
                  <w:tcBorders>
                    <w:tl2br w:val="nil"/>
                    <w:tr2bl w:val="nil"/>
                  </w:tcBorders>
                  <w:shd w:val="clear" w:color="auto" w:fill="auto"/>
                  <w:vAlign w:val="center"/>
                </w:tcPr>
                <w:p w14:paraId="1D7A16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物料风选</w:t>
                  </w:r>
                </w:p>
              </w:tc>
              <w:tc>
                <w:tcPr>
                  <w:tcW w:w="1639" w:type="dxa"/>
                  <w:tcBorders>
                    <w:tl2br w:val="nil"/>
                    <w:tr2bl w:val="nil"/>
                  </w:tcBorders>
                  <w:shd w:val="clear" w:color="auto" w:fill="auto"/>
                  <w:vAlign w:val="center"/>
                </w:tcPr>
                <w:p w14:paraId="56B5CD33">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4314C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79" w:hRule="atLeast"/>
                <w:jc w:val="center"/>
              </w:trPr>
              <w:tc>
                <w:tcPr>
                  <w:tcW w:w="762" w:type="dxa"/>
                  <w:tcBorders>
                    <w:tl2br w:val="nil"/>
                    <w:tr2bl w:val="nil"/>
                  </w:tcBorders>
                  <w:shd w:val="clear" w:color="auto" w:fill="auto"/>
                  <w:vAlign w:val="center"/>
                </w:tcPr>
                <w:p w14:paraId="258A15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926" w:type="dxa"/>
                  <w:vMerge w:val="continue"/>
                  <w:tcBorders>
                    <w:tl2br w:val="nil"/>
                    <w:tr2bl w:val="nil"/>
                  </w:tcBorders>
                  <w:shd w:val="clear" w:color="auto" w:fill="auto"/>
                  <w:vAlign w:val="center"/>
                </w:tcPr>
                <w:p w14:paraId="767C01D3">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121E01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气流比重色选机</w:t>
                  </w:r>
                </w:p>
              </w:tc>
              <w:tc>
                <w:tcPr>
                  <w:tcW w:w="748" w:type="dxa"/>
                  <w:tcBorders>
                    <w:tl2br w:val="nil"/>
                    <w:tr2bl w:val="nil"/>
                  </w:tcBorders>
                  <w:shd w:val="clear" w:color="auto" w:fill="auto"/>
                  <w:vAlign w:val="center"/>
                </w:tcPr>
                <w:p w14:paraId="681834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4332EE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747" w:type="dxa"/>
                  <w:tcBorders>
                    <w:tl2br w:val="nil"/>
                    <w:tr2bl w:val="nil"/>
                  </w:tcBorders>
                  <w:shd w:val="clear" w:color="auto" w:fill="auto"/>
                  <w:vAlign w:val="center"/>
                </w:tcPr>
                <w:p w14:paraId="612D6D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色选出0.8mm~5mm的铜和玻璃</w:t>
                  </w:r>
                </w:p>
              </w:tc>
              <w:tc>
                <w:tcPr>
                  <w:tcW w:w="1639" w:type="dxa"/>
                  <w:tcBorders>
                    <w:tl2br w:val="nil"/>
                    <w:tr2bl w:val="nil"/>
                  </w:tcBorders>
                  <w:shd w:val="clear" w:color="auto" w:fill="auto"/>
                  <w:vAlign w:val="center"/>
                </w:tcPr>
                <w:p w14:paraId="6C6FF592">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18659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8" w:hRule="atLeast"/>
                <w:jc w:val="center"/>
              </w:trPr>
              <w:tc>
                <w:tcPr>
                  <w:tcW w:w="762" w:type="dxa"/>
                  <w:tcBorders>
                    <w:tl2br w:val="nil"/>
                    <w:tr2bl w:val="nil"/>
                  </w:tcBorders>
                  <w:shd w:val="clear" w:color="auto" w:fill="auto"/>
                  <w:vAlign w:val="center"/>
                </w:tcPr>
                <w:p w14:paraId="6D46F9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926" w:type="dxa"/>
                  <w:vMerge w:val="continue"/>
                  <w:tcBorders>
                    <w:tl2br w:val="nil"/>
                    <w:tr2bl w:val="nil"/>
                  </w:tcBorders>
                  <w:shd w:val="clear" w:color="auto" w:fill="auto"/>
                  <w:vAlign w:val="center"/>
                </w:tcPr>
                <w:p w14:paraId="4E9A5964">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2C29C7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清洗炉</w:t>
                  </w:r>
                </w:p>
              </w:tc>
              <w:tc>
                <w:tcPr>
                  <w:tcW w:w="748" w:type="dxa"/>
                  <w:tcBorders>
                    <w:tl2br w:val="nil"/>
                    <w:tr2bl w:val="nil"/>
                  </w:tcBorders>
                  <w:shd w:val="clear" w:color="auto" w:fill="auto"/>
                  <w:vAlign w:val="center"/>
                </w:tcPr>
                <w:p w14:paraId="09FFBD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68A449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47" w:type="dxa"/>
                  <w:tcBorders>
                    <w:tl2br w:val="nil"/>
                    <w:tr2bl w:val="nil"/>
                  </w:tcBorders>
                  <w:shd w:val="clear" w:color="auto" w:fill="auto"/>
                  <w:vAlign w:val="center"/>
                </w:tcPr>
                <w:p w14:paraId="5D2E28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对玻璃进行碱洗</w:t>
                  </w:r>
                </w:p>
              </w:tc>
              <w:tc>
                <w:tcPr>
                  <w:tcW w:w="1639" w:type="dxa"/>
                  <w:tcBorders>
                    <w:tl2br w:val="nil"/>
                    <w:tr2bl w:val="nil"/>
                  </w:tcBorders>
                  <w:shd w:val="clear" w:color="auto" w:fill="auto"/>
                  <w:vAlign w:val="center"/>
                </w:tcPr>
                <w:p w14:paraId="4B58D12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Φ2.8m，D6.4m</w:t>
                  </w:r>
                </w:p>
              </w:tc>
            </w:tr>
            <w:tr w14:paraId="6238C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1D3370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w:t>
                  </w:r>
                </w:p>
              </w:tc>
              <w:tc>
                <w:tcPr>
                  <w:tcW w:w="926" w:type="dxa"/>
                  <w:vMerge w:val="continue"/>
                  <w:tcBorders>
                    <w:tl2br w:val="nil"/>
                    <w:tr2bl w:val="nil"/>
                  </w:tcBorders>
                  <w:shd w:val="clear" w:color="auto" w:fill="auto"/>
                  <w:vAlign w:val="center"/>
                </w:tcPr>
                <w:p w14:paraId="4B3E7A72">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2B7B42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小直线筛</w:t>
                  </w:r>
                </w:p>
              </w:tc>
              <w:tc>
                <w:tcPr>
                  <w:tcW w:w="748" w:type="dxa"/>
                  <w:tcBorders>
                    <w:tl2br w:val="nil"/>
                    <w:tr2bl w:val="nil"/>
                  </w:tcBorders>
                  <w:shd w:val="clear" w:color="auto" w:fill="auto"/>
                  <w:vAlign w:val="center"/>
                </w:tcPr>
                <w:p w14:paraId="15CF30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20767D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w:t>
                  </w:r>
                </w:p>
              </w:tc>
              <w:tc>
                <w:tcPr>
                  <w:tcW w:w="1747" w:type="dxa"/>
                  <w:tcBorders>
                    <w:tl2br w:val="nil"/>
                    <w:tr2bl w:val="nil"/>
                  </w:tcBorders>
                  <w:shd w:val="clear" w:color="auto" w:fill="auto"/>
                  <w:vAlign w:val="center"/>
                </w:tcPr>
                <w:p w14:paraId="47A638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过滤筛分</w:t>
                  </w:r>
                </w:p>
              </w:tc>
              <w:tc>
                <w:tcPr>
                  <w:tcW w:w="1639" w:type="dxa"/>
                  <w:tcBorders>
                    <w:tl2br w:val="nil"/>
                    <w:tr2bl w:val="nil"/>
                  </w:tcBorders>
                  <w:shd w:val="clear" w:color="auto" w:fill="auto"/>
                  <w:vAlign w:val="center"/>
                </w:tcPr>
                <w:p w14:paraId="255ECA9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65FB2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40D825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w:t>
                  </w:r>
                </w:p>
              </w:tc>
              <w:tc>
                <w:tcPr>
                  <w:tcW w:w="926" w:type="dxa"/>
                  <w:vMerge w:val="continue"/>
                  <w:tcBorders>
                    <w:tl2br w:val="nil"/>
                    <w:tr2bl w:val="nil"/>
                  </w:tcBorders>
                  <w:shd w:val="clear" w:color="auto" w:fill="auto"/>
                  <w:vAlign w:val="center"/>
                </w:tcPr>
                <w:p w14:paraId="57C4673D">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3775E6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洗砂机</w:t>
                  </w:r>
                </w:p>
              </w:tc>
              <w:tc>
                <w:tcPr>
                  <w:tcW w:w="748" w:type="dxa"/>
                  <w:tcBorders>
                    <w:tl2br w:val="nil"/>
                    <w:tr2bl w:val="nil"/>
                  </w:tcBorders>
                  <w:shd w:val="clear" w:color="auto" w:fill="auto"/>
                  <w:vAlign w:val="center"/>
                </w:tcPr>
                <w:p w14:paraId="17D47F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430D7A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747" w:type="dxa"/>
                  <w:tcBorders>
                    <w:tl2br w:val="nil"/>
                    <w:tr2bl w:val="nil"/>
                  </w:tcBorders>
                  <w:shd w:val="clear" w:color="auto" w:fill="auto"/>
                  <w:vAlign w:val="center"/>
                </w:tcPr>
                <w:p w14:paraId="400470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洗砂去碱性</w:t>
                  </w:r>
                </w:p>
              </w:tc>
              <w:tc>
                <w:tcPr>
                  <w:tcW w:w="1639" w:type="dxa"/>
                  <w:tcBorders>
                    <w:tl2br w:val="nil"/>
                    <w:tr2bl w:val="nil"/>
                  </w:tcBorders>
                  <w:shd w:val="clear" w:color="auto" w:fill="auto"/>
                  <w:vAlign w:val="center"/>
                </w:tcPr>
                <w:p w14:paraId="40D56F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1m×5m</w:t>
                  </w:r>
                </w:p>
              </w:tc>
            </w:tr>
            <w:tr w14:paraId="12A42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jc w:val="center"/>
              </w:trPr>
              <w:tc>
                <w:tcPr>
                  <w:tcW w:w="762" w:type="dxa"/>
                  <w:tcBorders>
                    <w:tl2br w:val="nil"/>
                    <w:tr2bl w:val="nil"/>
                  </w:tcBorders>
                  <w:shd w:val="clear" w:color="auto" w:fill="auto"/>
                  <w:vAlign w:val="center"/>
                </w:tcPr>
                <w:p w14:paraId="670BC2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w:t>
                  </w:r>
                </w:p>
              </w:tc>
              <w:tc>
                <w:tcPr>
                  <w:tcW w:w="926" w:type="dxa"/>
                  <w:vMerge w:val="continue"/>
                  <w:tcBorders>
                    <w:tl2br w:val="nil"/>
                    <w:tr2bl w:val="nil"/>
                  </w:tcBorders>
                  <w:shd w:val="clear" w:color="auto" w:fill="auto"/>
                  <w:vAlign w:val="center"/>
                </w:tcPr>
                <w:p w14:paraId="032FE772">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3A5F14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烘干炉</w:t>
                  </w:r>
                </w:p>
              </w:tc>
              <w:tc>
                <w:tcPr>
                  <w:tcW w:w="748" w:type="dxa"/>
                  <w:tcBorders>
                    <w:tl2br w:val="nil"/>
                    <w:tr2bl w:val="nil"/>
                  </w:tcBorders>
                  <w:shd w:val="clear" w:color="auto" w:fill="auto"/>
                  <w:vAlign w:val="center"/>
                </w:tcPr>
                <w:p w14:paraId="5DFF1D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256119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47" w:type="dxa"/>
                  <w:tcBorders>
                    <w:tl2br w:val="nil"/>
                    <w:tr2bl w:val="nil"/>
                  </w:tcBorders>
                  <w:shd w:val="clear" w:color="auto" w:fill="auto"/>
                  <w:vAlign w:val="center"/>
                </w:tcPr>
                <w:p w14:paraId="703656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洗砂后烘干</w:t>
                  </w:r>
                </w:p>
              </w:tc>
              <w:tc>
                <w:tcPr>
                  <w:tcW w:w="1639" w:type="dxa"/>
                  <w:tcBorders>
                    <w:tl2br w:val="nil"/>
                    <w:tr2bl w:val="nil"/>
                  </w:tcBorders>
                  <w:shd w:val="clear" w:color="auto" w:fill="auto"/>
                  <w:vAlign w:val="center"/>
                </w:tcPr>
                <w:p w14:paraId="758F15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1.5m×8.5m</w:t>
                  </w:r>
                </w:p>
              </w:tc>
            </w:tr>
            <w:tr w14:paraId="33338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9" w:hRule="atLeast"/>
                <w:jc w:val="center"/>
              </w:trPr>
              <w:tc>
                <w:tcPr>
                  <w:tcW w:w="762" w:type="dxa"/>
                  <w:tcBorders>
                    <w:tl2br w:val="nil"/>
                    <w:tr2bl w:val="nil"/>
                  </w:tcBorders>
                  <w:shd w:val="clear" w:color="auto" w:fill="auto"/>
                  <w:vAlign w:val="center"/>
                </w:tcPr>
                <w:p w14:paraId="080E73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w:t>
                  </w:r>
                </w:p>
              </w:tc>
              <w:tc>
                <w:tcPr>
                  <w:tcW w:w="926" w:type="dxa"/>
                  <w:vMerge w:val="continue"/>
                  <w:tcBorders>
                    <w:tl2br w:val="nil"/>
                    <w:tr2bl w:val="nil"/>
                  </w:tcBorders>
                  <w:shd w:val="clear" w:color="auto" w:fill="auto"/>
                  <w:vAlign w:val="center"/>
                </w:tcPr>
                <w:p w14:paraId="710F9265">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7A1C13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色选机</w:t>
                  </w:r>
                </w:p>
              </w:tc>
              <w:tc>
                <w:tcPr>
                  <w:tcW w:w="748" w:type="dxa"/>
                  <w:tcBorders>
                    <w:tl2br w:val="nil"/>
                    <w:tr2bl w:val="nil"/>
                  </w:tcBorders>
                  <w:shd w:val="clear" w:color="auto" w:fill="auto"/>
                  <w:vAlign w:val="center"/>
                </w:tcPr>
                <w:p w14:paraId="28CC9C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1C0C53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747" w:type="dxa"/>
                  <w:tcBorders>
                    <w:tl2br w:val="nil"/>
                    <w:tr2bl w:val="nil"/>
                  </w:tcBorders>
                  <w:shd w:val="clear" w:color="auto" w:fill="auto"/>
                  <w:vAlign w:val="center"/>
                </w:tcPr>
                <w:p w14:paraId="2E65D6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对烘干后的玻璃进行色选</w:t>
                  </w:r>
                </w:p>
              </w:tc>
              <w:tc>
                <w:tcPr>
                  <w:tcW w:w="1639" w:type="dxa"/>
                  <w:tcBorders>
                    <w:tl2br w:val="nil"/>
                    <w:tr2bl w:val="nil"/>
                  </w:tcBorders>
                  <w:shd w:val="clear" w:color="auto" w:fill="auto"/>
                  <w:vAlign w:val="center"/>
                </w:tcPr>
                <w:p w14:paraId="5D866A76">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6370B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540717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926" w:type="dxa"/>
                  <w:vMerge w:val="continue"/>
                  <w:tcBorders>
                    <w:tl2br w:val="nil"/>
                    <w:tr2bl w:val="nil"/>
                  </w:tcBorders>
                  <w:shd w:val="clear" w:color="auto" w:fill="auto"/>
                  <w:vAlign w:val="center"/>
                </w:tcPr>
                <w:p w14:paraId="52F895DA">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4A7258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上料提升机</w:t>
                  </w:r>
                </w:p>
              </w:tc>
              <w:tc>
                <w:tcPr>
                  <w:tcW w:w="748" w:type="dxa"/>
                  <w:tcBorders>
                    <w:tl2br w:val="nil"/>
                    <w:tr2bl w:val="nil"/>
                  </w:tcBorders>
                  <w:shd w:val="clear" w:color="auto" w:fill="auto"/>
                  <w:vAlign w:val="center"/>
                </w:tcPr>
                <w:p w14:paraId="040515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483B67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747" w:type="dxa"/>
                  <w:tcBorders>
                    <w:tl2br w:val="nil"/>
                    <w:tr2bl w:val="nil"/>
                  </w:tcBorders>
                  <w:shd w:val="clear" w:color="auto" w:fill="auto"/>
                  <w:vAlign w:val="center"/>
                </w:tcPr>
                <w:p w14:paraId="4B2EA6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物料提升</w:t>
                  </w:r>
                </w:p>
              </w:tc>
              <w:tc>
                <w:tcPr>
                  <w:tcW w:w="1639" w:type="dxa"/>
                  <w:tcBorders>
                    <w:tl2br w:val="nil"/>
                    <w:tr2bl w:val="nil"/>
                  </w:tcBorders>
                  <w:shd w:val="clear" w:color="auto" w:fill="auto"/>
                  <w:vAlign w:val="center"/>
                </w:tcPr>
                <w:p w14:paraId="0ECAA71E">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79AB4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62" w:type="dxa"/>
                  <w:tcBorders>
                    <w:tl2br w:val="nil"/>
                    <w:tr2bl w:val="nil"/>
                  </w:tcBorders>
                  <w:shd w:val="clear" w:color="auto" w:fill="auto"/>
                  <w:vAlign w:val="center"/>
                </w:tcPr>
                <w:p w14:paraId="64C450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21</w:t>
                  </w:r>
                </w:p>
              </w:tc>
              <w:tc>
                <w:tcPr>
                  <w:tcW w:w="926" w:type="dxa"/>
                  <w:vMerge w:val="continue"/>
                  <w:tcBorders>
                    <w:tl2br w:val="nil"/>
                    <w:tr2bl w:val="nil"/>
                  </w:tcBorders>
                  <w:shd w:val="clear" w:color="auto" w:fill="auto"/>
                  <w:vAlign w:val="center"/>
                </w:tcPr>
                <w:p w14:paraId="6B2804A7">
                  <w:pPr>
                    <w:jc w:val="center"/>
                    <w:rPr>
                      <w:rFonts w:hint="default" w:ascii="Times New Roman" w:hAnsi="Times New Roman" w:eastAsia="宋体" w:cs="Times New Roman"/>
                      <w:i w:val="0"/>
                      <w:iCs w:val="0"/>
                      <w:color w:val="000000"/>
                      <w:sz w:val="21"/>
                      <w:szCs w:val="21"/>
                      <w:u w:val="none"/>
                    </w:rPr>
                  </w:pPr>
                </w:p>
              </w:tc>
              <w:tc>
                <w:tcPr>
                  <w:tcW w:w="2236" w:type="dxa"/>
                  <w:gridSpan w:val="2"/>
                  <w:tcBorders>
                    <w:tl2br w:val="nil"/>
                    <w:tr2bl w:val="nil"/>
                  </w:tcBorders>
                  <w:shd w:val="clear" w:color="auto" w:fill="auto"/>
                  <w:vAlign w:val="center"/>
                </w:tcPr>
                <w:p w14:paraId="36FF8A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上料绞龙</w:t>
                  </w:r>
                </w:p>
              </w:tc>
              <w:tc>
                <w:tcPr>
                  <w:tcW w:w="748" w:type="dxa"/>
                  <w:tcBorders>
                    <w:tl2br w:val="nil"/>
                    <w:tr2bl w:val="nil"/>
                  </w:tcBorders>
                  <w:shd w:val="clear" w:color="auto" w:fill="auto"/>
                  <w:vAlign w:val="center"/>
                </w:tcPr>
                <w:p w14:paraId="3A3FE3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台</w:t>
                  </w:r>
                </w:p>
              </w:tc>
              <w:tc>
                <w:tcPr>
                  <w:tcW w:w="859" w:type="dxa"/>
                  <w:tcBorders>
                    <w:tl2br w:val="nil"/>
                    <w:tr2bl w:val="nil"/>
                  </w:tcBorders>
                  <w:shd w:val="clear" w:color="auto" w:fill="auto"/>
                  <w:vAlign w:val="center"/>
                </w:tcPr>
                <w:p w14:paraId="531274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747" w:type="dxa"/>
                  <w:tcBorders>
                    <w:tl2br w:val="nil"/>
                    <w:tr2bl w:val="nil"/>
                  </w:tcBorders>
                  <w:shd w:val="clear" w:color="auto" w:fill="auto"/>
                  <w:vAlign w:val="center"/>
                </w:tcPr>
                <w:p w14:paraId="62EE9E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上料</w:t>
                  </w:r>
                </w:p>
              </w:tc>
              <w:tc>
                <w:tcPr>
                  <w:tcW w:w="1639" w:type="dxa"/>
                  <w:tcBorders>
                    <w:tl2br w:val="nil"/>
                    <w:tr2bl w:val="nil"/>
                  </w:tcBorders>
                  <w:shd w:val="clear" w:color="auto" w:fill="auto"/>
                  <w:vAlign w:val="center"/>
                </w:tcPr>
                <w:p w14:paraId="2883FCC1">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bl>
          <w:p w14:paraId="037FA0A5">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22" w:firstLineChars="200"/>
              <w:textAlignment w:val="auto"/>
              <w:rPr>
                <w:rFonts w:hint="default" w:ascii="Times New Roman" w:hAnsi="Times New Roman" w:cs="Times New Roman"/>
                <w:color w:val="auto"/>
                <w:spacing w:val="0"/>
                <w:position w:val="0"/>
                <w:lang w:val="en-US" w:eastAsia="zh-CN"/>
              </w:rPr>
            </w:pPr>
            <w:r>
              <w:rPr>
                <w:rFonts w:hint="default" w:ascii="Times New Roman" w:hAnsi="Times New Roman" w:eastAsia="宋体" w:cs="Times New Roman"/>
                <w:b/>
                <w:bCs/>
                <w:caps w:val="0"/>
                <w:smallCaps w:val="0"/>
                <w:color w:val="auto"/>
                <w:spacing w:val="0"/>
                <w:w w:val="100"/>
                <w:kern w:val="2"/>
                <w:position w:val="0"/>
                <w:sz w:val="21"/>
                <w:szCs w:val="21"/>
                <w:lang w:val="en-US" w:eastAsia="zh-CN" w:bidi="ar-SA"/>
              </w:rPr>
              <w:t>注：</w:t>
            </w:r>
            <w:r>
              <w:rPr>
                <w:rFonts w:hint="eastAsia" w:ascii="Times New Roman" w:cs="Times New Roman"/>
                <w:b/>
                <w:bCs/>
                <w:caps w:val="0"/>
                <w:smallCaps w:val="0"/>
                <w:color w:val="auto"/>
                <w:spacing w:val="0"/>
                <w:w w:val="100"/>
                <w:kern w:val="2"/>
                <w:position w:val="0"/>
                <w:sz w:val="21"/>
                <w:szCs w:val="21"/>
                <w:lang w:val="en-US" w:eastAsia="zh-CN" w:bidi="ar-SA"/>
              </w:rPr>
              <w:t>（</w:t>
            </w:r>
            <w:r>
              <w:rPr>
                <w:rFonts w:hint="eastAsia" w:ascii="Times New Roman" w:hAnsi="Times New Roman" w:eastAsia="宋体" w:cs="Times New Roman"/>
                <w:b/>
                <w:bCs/>
                <w:caps w:val="0"/>
                <w:smallCaps w:val="0"/>
                <w:color w:val="auto"/>
                <w:spacing w:val="0"/>
                <w:w w:val="100"/>
                <w:kern w:val="2"/>
                <w:position w:val="0"/>
                <w:sz w:val="21"/>
                <w:szCs w:val="21"/>
                <w:lang w:val="en-US" w:eastAsia="zh-CN" w:bidi="ar-SA"/>
              </w:rPr>
              <w:t>1）</w:t>
            </w:r>
            <w:r>
              <w:rPr>
                <w:rFonts w:hint="default" w:ascii="Times New Roman" w:hAnsi="Times New Roman" w:eastAsia="宋体" w:cs="Times New Roman"/>
                <w:b/>
                <w:bCs/>
                <w:caps w:val="0"/>
                <w:smallCaps w:val="0"/>
                <w:color w:val="auto"/>
                <w:spacing w:val="0"/>
                <w:w w:val="100"/>
                <w:kern w:val="2"/>
                <w:position w:val="0"/>
                <w:sz w:val="21"/>
                <w:szCs w:val="21"/>
                <w:lang w:val="en-US" w:eastAsia="zh-CN" w:bidi="ar-SA"/>
              </w:rPr>
              <w:t>上述设备不属于《产业结构调整指导目录</w:t>
            </w:r>
            <w:r>
              <w:rPr>
                <w:rFonts w:hint="eastAsia" w:ascii="Times New Roman" w:cs="Times New Roman"/>
                <w:b/>
                <w:bCs/>
                <w:caps w:val="0"/>
                <w:smallCaps w:val="0"/>
                <w:color w:val="auto"/>
                <w:spacing w:val="0"/>
                <w:w w:val="100"/>
                <w:kern w:val="2"/>
                <w:position w:val="0"/>
                <w:sz w:val="21"/>
                <w:szCs w:val="21"/>
                <w:lang w:val="en-US" w:eastAsia="zh-CN" w:bidi="ar-SA"/>
              </w:rPr>
              <w:t>（</w:t>
            </w:r>
            <w:r>
              <w:rPr>
                <w:rFonts w:hint="default" w:ascii="Times New Roman" w:hAnsi="Times New Roman" w:eastAsia="宋体" w:cs="Times New Roman"/>
                <w:b/>
                <w:bCs/>
                <w:caps w:val="0"/>
                <w:smallCaps w:val="0"/>
                <w:color w:val="auto"/>
                <w:spacing w:val="0"/>
                <w:w w:val="100"/>
                <w:kern w:val="2"/>
                <w:position w:val="0"/>
                <w:sz w:val="21"/>
                <w:szCs w:val="21"/>
                <w:lang w:val="en-US" w:eastAsia="zh-CN" w:bidi="ar-SA"/>
              </w:rPr>
              <w:t>2024年本）</w:t>
            </w:r>
            <w:r>
              <w:rPr>
                <w:rFonts w:hint="eastAsia" w:ascii="Times New Roman" w:cs="Times New Roman"/>
                <w:b/>
                <w:bCs/>
                <w:caps w:val="0"/>
                <w:smallCaps w:val="0"/>
                <w:color w:val="auto"/>
                <w:spacing w:val="0"/>
                <w:w w:val="100"/>
                <w:kern w:val="2"/>
                <w:position w:val="0"/>
                <w:sz w:val="21"/>
                <w:szCs w:val="21"/>
                <w:lang w:val="en-US" w:eastAsia="zh-CN" w:bidi="ar-SA"/>
              </w:rPr>
              <w:t>》《</w:t>
            </w:r>
            <w:r>
              <w:rPr>
                <w:rFonts w:hint="default" w:ascii="Times New Roman" w:hAnsi="Times New Roman" w:eastAsia="宋体" w:cs="Times New Roman"/>
                <w:b/>
                <w:bCs/>
                <w:caps w:val="0"/>
                <w:smallCaps w:val="0"/>
                <w:color w:val="auto"/>
                <w:spacing w:val="0"/>
                <w:w w:val="100"/>
                <w:kern w:val="2"/>
                <w:position w:val="0"/>
                <w:sz w:val="21"/>
                <w:szCs w:val="21"/>
                <w:lang w:val="en-US" w:eastAsia="zh-CN" w:bidi="ar-SA"/>
              </w:rPr>
              <w:t>市场准入负面清单</w:t>
            </w:r>
            <w:r>
              <w:rPr>
                <w:rFonts w:hint="eastAsia" w:ascii="Times New Roman" w:cs="Times New Roman"/>
                <w:b/>
                <w:bCs/>
                <w:caps w:val="0"/>
                <w:smallCaps w:val="0"/>
                <w:color w:val="auto"/>
                <w:spacing w:val="0"/>
                <w:w w:val="100"/>
                <w:kern w:val="2"/>
                <w:position w:val="0"/>
                <w:sz w:val="21"/>
                <w:szCs w:val="21"/>
                <w:lang w:val="en-US" w:eastAsia="zh-CN" w:bidi="ar-SA"/>
              </w:rPr>
              <w:t>（</w:t>
            </w:r>
            <w:r>
              <w:rPr>
                <w:rFonts w:hint="default" w:ascii="Times New Roman" w:hAnsi="Times New Roman" w:eastAsia="宋体" w:cs="Times New Roman"/>
                <w:b/>
                <w:bCs/>
                <w:caps w:val="0"/>
                <w:smallCaps w:val="0"/>
                <w:color w:val="auto"/>
                <w:spacing w:val="0"/>
                <w:w w:val="100"/>
                <w:kern w:val="2"/>
                <w:position w:val="0"/>
                <w:sz w:val="21"/>
                <w:szCs w:val="21"/>
                <w:lang w:val="en-US" w:eastAsia="zh-CN" w:bidi="ar-SA"/>
              </w:rPr>
              <w:t>202</w:t>
            </w:r>
            <w:r>
              <w:rPr>
                <w:rFonts w:hint="eastAsia" w:ascii="Times New Roman" w:hAnsi="Times New Roman" w:eastAsia="宋体" w:cs="Times New Roman"/>
                <w:b/>
                <w:bCs/>
                <w:caps w:val="0"/>
                <w:smallCaps w:val="0"/>
                <w:color w:val="auto"/>
                <w:spacing w:val="0"/>
                <w:w w:val="100"/>
                <w:kern w:val="2"/>
                <w:position w:val="0"/>
                <w:sz w:val="21"/>
                <w:szCs w:val="21"/>
                <w:lang w:val="en-US" w:eastAsia="zh-CN" w:bidi="ar-SA"/>
              </w:rPr>
              <w:t>5</w:t>
            </w:r>
            <w:r>
              <w:rPr>
                <w:rFonts w:hint="default" w:ascii="Times New Roman" w:hAnsi="Times New Roman" w:eastAsia="宋体" w:cs="Times New Roman"/>
                <w:b/>
                <w:bCs/>
                <w:caps w:val="0"/>
                <w:smallCaps w:val="0"/>
                <w:color w:val="auto"/>
                <w:spacing w:val="0"/>
                <w:w w:val="100"/>
                <w:kern w:val="2"/>
                <w:position w:val="0"/>
                <w:sz w:val="21"/>
                <w:szCs w:val="21"/>
                <w:lang w:val="en-US" w:eastAsia="zh-CN" w:bidi="ar-SA"/>
              </w:rPr>
              <w:t>年版）》中淘汰设备及落后生产工艺范畴，符合国家和地方产业政策</w:t>
            </w:r>
            <w:r>
              <w:rPr>
                <w:rFonts w:hint="eastAsia" w:ascii="Times New Roman" w:hAnsi="Times New Roman" w:eastAsia="宋体" w:cs="Times New Roman"/>
                <w:b/>
                <w:bCs/>
                <w:caps w:val="0"/>
                <w:smallCaps w:val="0"/>
                <w:color w:val="auto"/>
                <w:spacing w:val="0"/>
                <w:w w:val="100"/>
                <w:kern w:val="2"/>
                <w:position w:val="0"/>
                <w:sz w:val="21"/>
                <w:szCs w:val="21"/>
                <w:lang w:val="en-US" w:eastAsia="zh-CN" w:bidi="ar-SA"/>
              </w:rPr>
              <w:t>。</w:t>
            </w:r>
            <w:r>
              <w:rPr>
                <w:rFonts w:hint="eastAsia" w:ascii="Times New Roman" w:cs="Times New Roman"/>
                <w:b/>
                <w:bCs/>
                <w:caps w:val="0"/>
                <w:smallCaps w:val="0"/>
                <w:color w:val="auto"/>
                <w:spacing w:val="0"/>
                <w:w w:val="100"/>
                <w:kern w:val="2"/>
                <w:position w:val="0"/>
                <w:sz w:val="21"/>
                <w:szCs w:val="21"/>
                <w:lang w:val="en-US" w:eastAsia="zh-CN" w:bidi="ar-SA"/>
              </w:rPr>
              <w:t>（</w:t>
            </w:r>
            <w:r>
              <w:rPr>
                <w:rFonts w:hint="eastAsia" w:ascii="Times New Roman" w:hAnsi="Times New Roman" w:eastAsia="宋体" w:cs="Times New Roman"/>
                <w:b/>
                <w:bCs/>
                <w:caps w:val="0"/>
                <w:smallCaps w:val="0"/>
                <w:color w:val="auto"/>
                <w:spacing w:val="0"/>
                <w:w w:val="100"/>
                <w:kern w:val="2"/>
                <w:position w:val="0"/>
                <w:sz w:val="21"/>
                <w:szCs w:val="21"/>
                <w:lang w:val="en-US" w:eastAsia="zh-CN" w:bidi="ar-SA"/>
              </w:rPr>
              <w:t>2）项目生产设备均使用电能。</w:t>
            </w:r>
          </w:p>
          <w:p w14:paraId="2F57B514">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cs="Times New Roman"/>
                <w:b/>
                <w:bCs/>
                <w:color w:val="auto"/>
                <w:spacing w:val="0"/>
                <w:position w:val="0"/>
                <w:lang w:val="en-US" w:eastAsia="zh-CN"/>
              </w:rPr>
            </w:pPr>
            <w:r>
              <w:rPr>
                <w:rFonts w:hint="eastAsia" w:ascii="Times New Roman" w:cs="Times New Roman"/>
                <w:b/>
                <w:bCs/>
                <w:color w:val="auto"/>
                <w:spacing w:val="0"/>
                <w:position w:val="0"/>
                <w:lang w:val="en-US" w:eastAsia="zh-CN"/>
              </w:rPr>
              <w:t>（2）设备处理规模匹配性</w:t>
            </w:r>
          </w:p>
          <w:p w14:paraId="60B47E9E">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hAnsi="Times New Roman" w:cs="Times New Roman"/>
                <w:b/>
                <w:bCs/>
                <w:color w:val="auto"/>
                <w:spacing w:val="0"/>
                <w:position w:val="0"/>
                <w:lang w:val="en-US" w:eastAsia="zh-CN"/>
              </w:rPr>
            </w:pPr>
            <w:r>
              <w:rPr>
                <w:rFonts w:hint="default" w:ascii="Times New Roman" w:hAnsi="Times New Roman" w:cs="Times New Roman"/>
                <w:b/>
                <w:bCs/>
                <w:color w:val="auto"/>
                <w:spacing w:val="0"/>
                <w:position w:val="0"/>
                <w:lang w:val="en-US" w:eastAsia="zh-CN"/>
              </w:rPr>
              <w:t>①热解炉处理规模匹配性分析：</w:t>
            </w:r>
          </w:p>
          <w:p w14:paraId="630F7437">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eastAsia="宋体" w:cs="Times New Roman"/>
                <w:b w:val="0"/>
                <w:bCs w:val="0"/>
                <w:color w:val="auto"/>
                <w:spacing w:val="0"/>
                <w:position w:val="0"/>
                <w:lang w:val="en-US" w:eastAsia="zh-CN"/>
              </w:rPr>
            </w:pPr>
            <w:r>
              <w:rPr>
                <w:rFonts w:hint="eastAsia" w:ascii="Times New Roman" w:hAnsi="Times New Roman" w:eastAsia="宋体" w:cs="Times New Roman"/>
                <w:b w:val="0"/>
                <w:bCs w:val="0"/>
                <w:color w:val="auto"/>
                <w:spacing w:val="0"/>
                <w:position w:val="0"/>
                <w:lang w:val="en-US" w:eastAsia="zh-CN"/>
              </w:rPr>
              <w:t>项目设计每4台热解炉为一个串联组，因此1#热解区和2#热解区分别布置4台热解炉，营运期正常情况下热解炉连续生产时间节点安排如下：</w:t>
            </w:r>
          </w:p>
          <w:p w14:paraId="722807B4">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Times New Roman" w:hAnsi="Times New Roman" w:eastAsia="宋体" w:cs="Times New Roman"/>
                <w:b/>
                <w:bCs/>
                <w:color w:val="auto"/>
                <w:spacing w:val="0"/>
                <w:position w:val="0"/>
                <w:sz w:val="21"/>
                <w:szCs w:val="21"/>
                <w:lang w:val="en-US" w:eastAsia="zh-CN"/>
              </w:rPr>
            </w:pPr>
            <w:r>
              <w:rPr>
                <w:rFonts w:hint="eastAsia" w:ascii="Times New Roman" w:hAnsi="Times New Roman" w:eastAsia="宋体" w:cs="Times New Roman"/>
                <w:b/>
                <w:bCs/>
                <w:color w:val="auto"/>
                <w:spacing w:val="0"/>
                <w:position w:val="0"/>
                <w:sz w:val="21"/>
                <w:szCs w:val="21"/>
                <w:lang w:val="en-US" w:eastAsia="zh-CN"/>
              </w:rPr>
              <w:t>表2-5  拟建项目每4台热解设备连续生产时间节点安排表</w:t>
            </w:r>
          </w:p>
          <w:tbl>
            <w:tblPr>
              <w:tblStyle w:val="26"/>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83"/>
              <w:gridCol w:w="1779"/>
              <w:gridCol w:w="1779"/>
              <w:gridCol w:w="1779"/>
              <w:gridCol w:w="1779"/>
            </w:tblGrid>
            <w:tr w14:paraId="6416A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1783" w:type="dxa"/>
                  <w:tcBorders>
                    <w:tl2br w:val="nil"/>
                    <w:tr2bl w:val="nil"/>
                  </w:tcBorders>
                  <w:noWrap w:val="0"/>
                  <w:vAlign w:val="center"/>
                </w:tcPr>
                <w:p w14:paraId="0113B633">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时间</w:t>
                  </w:r>
                </w:p>
              </w:tc>
              <w:tc>
                <w:tcPr>
                  <w:tcW w:w="1779" w:type="dxa"/>
                  <w:tcBorders>
                    <w:tl2br w:val="nil"/>
                    <w:tr2bl w:val="nil"/>
                  </w:tcBorders>
                  <w:noWrap w:val="0"/>
                  <w:vAlign w:val="center"/>
                </w:tcPr>
                <w:p w14:paraId="0AB4CBBD">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ascii="Times New Roman" w:eastAsia="Times New Roman"/>
                      <w:sz w:val="21"/>
                      <w:szCs w:val="21"/>
                    </w:rPr>
                    <w:t>1#</w:t>
                  </w:r>
                  <w:r>
                    <w:rPr>
                      <w:rFonts w:hint="eastAsia" w:eastAsia="宋体"/>
                      <w:sz w:val="21"/>
                      <w:szCs w:val="21"/>
                      <w:lang w:eastAsia="zh-CN"/>
                    </w:rPr>
                    <w:t>热解</w:t>
                  </w:r>
                  <w:r>
                    <w:rPr>
                      <w:sz w:val="21"/>
                      <w:szCs w:val="21"/>
                    </w:rPr>
                    <w:t>炉</w:t>
                  </w:r>
                </w:p>
              </w:tc>
              <w:tc>
                <w:tcPr>
                  <w:tcW w:w="1779" w:type="dxa"/>
                  <w:tcBorders>
                    <w:tl2br w:val="nil"/>
                    <w:tr2bl w:val="nil"/>
                  </w:tcBorders>
                  <w:noWrap w:val="0"/>
                  <w:vAlign w:val="center"/>
                </w:tcPr>
                <w:p w14:paraId="67C9B044">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ascii="Times New Roman" w:eastAsia="Times New Roman"/>
                      <w:sz w:val="21"/>
                      <w:szCs w:val="21"/>
                    </w:rPr>
                    <w:t>2#</w:t>
                  </w:r>
                  <w:r>
                    <w:rPr>
                      <w:rFonts w:hint="eastAsia" w:eastAsia="宋体"/>
                      <w:sz w:val="21"/>
                      <w:szCs w:val="21"/>
                      <w:lang w:eastAsia="zh-CN"/>
                    </w:rPr>
                    <w:t>热解</w:t>
                  </w:r>
                  <w:r>
                    <w:rPr>
                      <w:sz w:val="21"/>
                      <w:szCs w:val="21"/>
                    </w:rPr>
                    <w:t>炉</w:t>
                  </w:r>
                </w:p>
              </w:tc>
              <w:tc>
                <w:tcPr>
                  <w:tcW w:w="1779" w:type="dxa"/>
                  <w:tcBorders>
                    <w:tl2br w:val="nil"/>
                    <w:tr2bl w:val="nil"/>
                  </w:tcBorders>
                  <w:noWrap w:val="0"/>
                  <w:vAlign w:val="center"/>
                </w:tcPr>
                <w:p w14:paraId="3096BB1F">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ascii="Times New Roman" w:eastAsia="Times New Roman"/>
                      <w:sz w:val="21"/>
                      <w:szCs w:val="21"/>
                    </w:rPr>
                    <w:t>3#</w:t>
                  </w:r>
                  <w:r>
                    <w:rPr>
                      <w:rFonts w:hint="eastAsia" w:eastAsia="宋体"/>
                      <w:sz w:val="21"/>
                      <w:szCs w:val="21"/>
                      <w:lang w:eastAsia="zh-CN"/>
                    </w:rPr>
                    <w:t>热解</w:t>
                  </w:r>
                  <w:r>
                    <w:rPr>
                      <w:sz w:val="21"/>
                      <w:szCs w:val="21"/>
                    </w:rPr>
                    <w:t>炉</w:t>
                  </w:r>
                </w:p>
              </w:tc>
              <w:tc>
                <w:tcPr>
                  <w:tcW w:w="1779" w:type="dxa"/>
                  <w:tcBorders>
                    <w:tl2br w:val="nil"/>
                    <w:tr2bl w:val="nil"/>
                  </w:tcBorders>
                  <w:noWrap w:val="0"/>
                  <w:vAlign w:val="center"/>
                </w:tcPr>
                <w:p w14:paraId="3E095B37">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ascii="Times New Roman" w:eastAsia="Times New Roman"/>
                      <w:sz w:val="21"/>
                      <w:szCs w:val="21"/>
                    </w:rPr>
                    <w:t>4#</w:t>
                  </w:r>
                  <w:r>
                    <w:rPr>
                      <w:rFonts w:hint="eastAsia" w:eastAsia="宋体"/>
                      <w:sz w:val="21"/>
                      <w:szCs w:val="21"/>
                      <w:lang w:eastAsia="zh-CN"/>
                    </w:rPr>
                    <w:t>热解</w:t>
                  </w:r>
                  <w:r>
                    <w:rPr>
                      <w:sz w:val="21"/>
                      <w:szCs w:val="21"/>
                    </w:rPr>
                    <w:t>炉</w:t>
                  </w:r>
                </w:p>
              </w:tc>
            </w:tr>
            <w:tr w14:paraId="6A808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4911776B">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0:00</w:t>
                  </w:r>
                </w:p>
              </w:tc>
              <w:tc>
                <w:tcPr>
                  <w:tcW w:w="1779" w:type="dxa"/>
                  <w:tcBorders>
                    <w:tl2br w:val="nil"/>
                    <w:tr2bl w:val="nil"/>
                  </w:tcBorders>
                  <w:noWrap w:val="0"/>
                  <w:vAlign w:val="center"/>
                </w:tcPr>
                <w:p w14:paraId="08C3A15C">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准备进料</w:t>
                  </w:r>
                </w:p>
              </w:tc>
              <w:tc>
                <w:tcPr>
                  <w:tcW w:w="1779" w:type="dxa"/>
                  <w:tcBorders>
                    <w:tl2br w:val="nil"/>
                    <w:tr2bl w:val="nil"/>
                  </w:tcBorders>
                  <w:noWrap w:val="0"/>
                  <w:vAlign w:val="center"/>
                </w:tcPr>
                <w:p w14:paraId="799F275E">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779" w:type="dxa"/>
                  <w:tcBorders>
                    <w:tl2br w:val="nil"/>
                    <w:tr2bl w:val="nil"/>
                  </w:tcBorders>
                  <w:noWrap w:val="0"/>
                  <w:vAlign w:val="center"/>
                </w:tcPr>
                <w:p w14:paraId="45D39621">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w w:val="95"/>
                      <w:sz w:val="21"/>
                      <w:szCs w:val="21"/>
                    </w:rPr>
                    <w:t>/</w:t>
                  </w:r>
                </w:p>
              </w:tc>
              <w:tc>
                <w:tcPr>
                  <w:tcW w:w="1779" w:type="dxa"/>
                  <w:tcBorders>
                    <w:tl2br w:val="nil"/>
                    <w:tr2bl w:val="nil"/>
                  </w:tcBorders>
                  <w:noWrap w:val="0"/>
                  <w:vAlign w:val="center"/>
                </w:tcPr>
                <w:p w14:paraId="3FA9E4E9">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w w:val="95"/>
                      <w:sz w:val="21"/>
                      <w:szCs w:val="21"/>
                    </w:rPr>
                    <w:t>/</w:t>
                  </w:r>
                </w:p>
              </w:tc>
            </w:tr>
            <w:tr w14:paraId="661EF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1783" w:type="dxa"/>
                  <w:tcBorders>
                    <w:tl2br w:val="nil"/>
                    <w:tr2bl w:val="nil"/>
                  </w:tcBorders>
                  <w:noWrap w:val="0"/>
                  <w:vAlign w:val="center"/>
                </w:tcPr>
                <w:p w14:paraId="035AB7D8">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2:00</w:t>
                  </w:r>
                </w:p>
              </w:tc>
              <w:tc>
                <w:tcPr>
                  <w:tcW w:w="1779" w:type="dxa"/>
                  <w:tcBorders>
                    <w:tl2br w:val="nil"/>
                    <w:tr2bl w:val="nil"/>
                  </w:tcBorders>
                  <w:noWrap w:val="0"/>
                  <w:vAlign w:val="center"/>
                </w:tcPr>
                <w:p w14:paraId="0574C106">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c>
                <w:tcPr>
                  <w:tcW w:w="1779" w:type="dxa"/>
                  <w:tcBorders>
                    <w:tl2br w:val="nil"/>
                    <w:tr2bl w:val="nil"/>
                  </w:tcBorders>
                  <w:noWrap w:val="0"/>
                  <w:vAlign w:val="center"/>
                </w:tcPr>
                <w:p w14:paraId="4C6CB635">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准备进料</w:t>
                  </w:r>
                </w:p>
              </w:tc>
              <w:tc>
                <w:tcPr>
                  <w:tcW w:w="1779" w:type="dxa"/>
                  <w:tcBorders>
                    <w:tl2br w:val="nil"/>
                    <w:tr2bl w:val="nil"/>
                  </w:tcBorders>
                  <w:noWrap w:val="0"/>
                  <w:vAlign w:val="center"/>
                </w:tcPr>
                <w:p w14:paraId="034AA9A4">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w w:val="95"/>
                      <w:sz w:val="21"/>
                      <w:szCs w:val="21"/>
                    </w:rPr>
                    <w:t>/</w:t>
                  </w:r>
                </w:p>
              </w:tc>
              <w:tc>
                <w:tcPr>
                  <w:tcW w:w="1779" w:type="dxa"/>
                  <w:tcBorders>
                    <w:tl2br w:val="nil"/>
                    <w:tr2bl w:val="nil"/>
                  </w:tcBorders>
                  <w:noWrap w:val="0"/>
                  <w:vAlign w:val="center"/>
                </w:tcPr>
                <w:p w14:paraId="2373FB9D">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w w:val="95"/>
                      <w:sz w:val="21"/>
                      <w:szCs w:val="21"/>
                    </w:rPr>
                    <w:t>/</w:t>
                  </w:r>
                </w:p>
              </w:tc>
            </w:tr>
            <w:tr w14:paraId="1872E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7D73F018">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4:00</w:t>
                  </w:r>
                </w:p>
              </w:tc>
              <w:tc>
                <w:tcPr>
                  <w:tcW w:w="1779" w:type="dxa"/>
                  <w:tcBorders>
                    <w:tl2br w:val="nil"/>
                    <w:tr2bl w:val="nil"/>
                  </w:tcBorders>
                  <w:noWrap w:val="0"/>
                  <w:vAlign w:val="center"/>
                </w:tcPr>
                <w:p w14:paraId="283E482B">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c>
                <w:tcPr>
                  <w:tcW w:w="1779" w:type="dxa"/>
                  <w:tcBorders>
                    <w:tl2br w:val="nil"/>
                    <w:tr2bl w:val="nil"/>
                  </w:tcBorders>
                  <w:noWrap w:val="0"/>
                  <w:vAlign w:val="center"/>
                </w:tcPr>
                <w:p w14:paraId="18E45A32">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c>
                <w:tcPr>
                  <w:tcW w:w="1779" w:type="dxa"/>
                  <w:tcBorders>
                    <w:tl2br w:val="nil"/>
                    <w:tr2bl w:val="nil"/>
                  </w:tcBorders>
                  <w:noWrap w:val="0"/>
                  <w:vAlign w:val="center"/>
                </w:tcPr>
                <w:p w14:paraId="2A807976">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准备进料</w:t>
                  </w:r>
                </w:p>
              </w:tc>
              <w:tc>
                <w:tcPr>
                  <w:tcW w:w="1779" w:type="dxa"/>
                  <w:tcBorders>
                    <w:tl2br w:val="nil"/>
                    <w:tr2bl w:val="nil"/>
                  </w:tcBorders>
                  <w:noWrap w:val="0"/>
                  <w:vAlign w:val="center"/>
                </w:tcPr>
                <w:p w14:paraId="487B85AE">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w w:val="95"/>
                      <w:sz w:val="21"/>
                      <w:szCs w:val="21"/>
                    </w:rPr>
                    <w:t>/</w:t>
                  </w:r>
                </w:p>
              </w:tc>
            </w:tr>
            <w:tr w14:paraId="2B1F5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7" w:hRule="atLeast"/>
                <w:jc w:val="center"/>
              </w:trPr>
              <w:tc>
                <w:tcPr>
                  <w:tcW w:w="1783" w:type="dxa"/>
                  <w:tcBorders>
                    <w:tl2br w:val="nil"/>
                    <w:tr2bl w:val="nil"/>
                  </w:tcBorders>
                  <w:noWrap w:val="0"/>
                  <w:vAlign w:val="center"/>
                </w:tcPr>
                <w:p w14:paraId="375D9E5A">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10:00</w:t>
                  </w:r>
                </w:p>
              </w:tc>
              <w:tc>
                <w:tcPr>
                  <w:tcW w:w="1779" w:type="dxa"/>
                  <w:tcBorders>
                    <w:tl2br w:val="nil"/>
                    <w:tr2bl w:val="nil"/>
                  </w:tcBorders>
                  <w:noWrap w:val="0"/>
                  <w:vAlign w:val="center"/>
                </w:tcPr>
                <w:p w14:paraId="4BA26B00">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hint="eastAsia"/>
                      <w:sz w:val="21"/>
                      <w:szCs w:val="21"/>
                      <w:lang w:eastAsia="zh-CN"/>
                    </w:rPr>
                    <w:t>热解</w:t>
                  </w:r>
                  <w:r>
                    <w:rPr>
                      <w:sz w:val="21"/>
                      <w:szCs w:val="21"/>
                    </w:rPr>
                    <w:t>完成</w:t>
                  </w:r>
                </w:p>
              </w:tc>
              <w:tc>
                <w:tcPr>
                  <w:tcW w:w="1779" w:type="dxa"/>
                  <w:tcBorders>
                    <w:tl2br w:val="nil"/>
                    <w:tr2bl w:val="nil"/>
                  </w:tcBorders>
                  <w:noWrap w:val="0"/>
                  <w:vAlign w:val="center"/>
                </w:tcPr>
                <w:p w14:paraId="79149AB5">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c>
                <w:tcPr>
                  <w:tcW w:w="1779" w:type="dxa"/>
                  <w:tcBorders>
                    <w:tl2br w:val="nil"/>
                    <w:tr2bl w:val="nil"/>
                  </w:tcBorders>
                  <w:noWrap w:val="0"/>
                  <w:vAlign w:val="center"/>
                </w:tcPr>
                <w:p w14:paraId="0F68A272">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c>
                <w:tcPr>
                  <w:tcW w:w="1779" w:type="dxa"/>
                  <w:tcBorders>
                    <w:tl2br w:val="nil"/>
                    <w:tr2bl w:val="nil"/>
                  </w:tcBorders>
                  <w:noWrap w:val="0"/>
                  <w:vAlign w:val="center"/>
                </w:tcPr>
                <w:p w14:paraId="43C39897">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准备进料</w:t>
                  </w:r>
                </w:p>
              </w:tc>
            </w:tr>
            <w:tr w14:paraId="41D02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1AC6AD18">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15:00</w:t>
                  </w:r>
                </w:p>
              </w:tc>
              <w:tc>
                <w:tcPr>
                  <w:tcW w:w="1779" w:type="dxa"/>
                  <w:tcBorders>
                    <w:tl2br w:val="nil"/>
                    <w:tr2bl w:val="nil"/>
                  </w:tcBorders>
                  <w:noWrap w:val="0"/>
                  <w:vAlign w:val="center"/>
                </w:tcPr>
                <w:p w14:paraId="29354081">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冷却完成</w:t>
                  </w:r>
                </w:p>
              </w:tc>
              <w:tc>
                <w:tcPr>
                  <w:tcW w:w="1779" w:type="dxa"/>
                  <w:tcBorders>
                    <w:tl2br w:val="nil"/>
                    <w:tr2bl w:val="nil"/>
                  </w:tcBorders>
                  <w:noWrap w:val="0"/>
                  <w:vAlign w:val="center"/>
                </w:tcPr>
                <w:p w14:paraId="4CA6F4F6">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hint="eastAsia"/>
                      <w:sz w:val="21"/>
                      <w:szCs w:val="21"/>
                      <w:lang w:eastAsia="zh-CN"/>
                    </w:rPr>
                    <w:t>热解</w:t>
                  </w:r>
                  <w:r>
                    <w:rPr>
                      <w:sz w:val="21"/>
                      <w:szCs w:val="21"/>
                    </w:rPr>
                    <w:t>完成</w:t>
                  </w:r>
                </w:p>
              </w:tc>
              <w:tc>
                <w:tcPr>
                  <w:tcW w:w="1779" w:type="dxa"/>
                  <w:tcBorders>
                    <w:tl2br w:val="nil"/>
                    <w:tr2bl w:val="nil"/>
                  </w:tcBorders>
                  <w:noWrap w:val="0"/>
                  <w:vAlign w:val="center"/>
                </w:tcPr>
                <w:p w14:paraId="7C00EDE5">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c>
                <w:tcPr>
                  <w:tcW w:w="1779" w:type="dxa"/>
                  <w:tcBorders>
                    <w:tl2br w:val="nil"/>
                    <w:tr2bl w:val="nil"/>
                  </w:tcBorders>
                  <w:noWrap w:val="0"/>
                  <w:vAlign w:val="center"/>
                </w:tcPr>
                <w:p w14:paraId="08E21D57">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r>
            <w:tr w14:paraId="0DAAA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723C916A">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16:00</w:t>
                  </w:r>
                </w:p>
              </w:tc>
              <w:tc>
                <w:tcPr>
                  <w:tcW w:w="1779" w:type="dxa"/>
                  <w:tcBorders>
                    <w:tl2br w:val="nil"/>
                    <w:tr2bl w:val="nil"/>
                  </w:tcBorders>
                  <w:noWrap w:val="0"/>
                  <w:vAlign w:val="center"/>
                </w:tcPr>
                <w:p w14:paraId="6E7011A5">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出渣中</w:t>
                  </w:r>
                </w:p>
              </w:tc>
              <w:tc>
                <w:tcPr>
                  <w:tcW w:w="1779" w:type="dxa"/>
                  <w:tcBorders>
                    <w:tl2br w:val="nil"/>
                    <w:tr2bl w:val="nil"/>
                  </w:tcBorders>
                  <w:noWrap w:val="0"/>
                  <w:vAlign w:val="center"/>
                </w:tcPr>
                <w:p w14:paraId="53A92DEB">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冷却完成</w:t>
                  </w:r>
                </w:p>
              </w:tc>
              <w:tc>
                <w:tcPr>
                  <w:tcW w:w="1779" w:type="dxa"/>
                  <w:tcBorders>
                    <w:tl2br w:val="nil"/>
                    <w:tr2bl w:val="nil"/>
                  </w:tcBorders>
                  <w:noWrap w:val="0"/>
                  <w:vAlign w:val="center"/>
                </w:tcPr>
                <w:p w14:paraId="48350A60">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hint="eastAsia"/>
                      <w:sz w:val="21"/>
                      <w:szCs w:val="21"/>
                      <w:lang w:eastAsia="zh-CN"/>
                    </w:rPr>
                    <w:t>热解</w:t>
                  </w:r>
                  <w:r>
                    <w:rPr>
                      <w:sz w:val="21"/>
                      <w:szCs w:val="21"/>
                    </w:rPr>
                    <w:t>完成</w:t>
                  </w:r>
                </w:p>
              </w:tc>
              <w:tc>
                <w:tcPr>
                  <w:tcW w:w="1779" w:type="dxa"/>
                  <w:tcBorders>
                    <w:tl2br w:val="nil"/>
                    <w:tr2bl w:val="nil"/>
                  </w:tcBorders>
                  <w:noWrap w:val="0"/>
                  <w:vAlign w:val="center"/>
                </w:tcPr>
                <w:p w14:paraId="63EA18F7">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r>
            <w:tr w14:paraId="194BA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64F2B71C">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18:00</w:t>
                  </w:r>
                </w:p>
              </w:tc>
              <w:tc>
                <w:tcPr>
                  <w:tcW w:w="1779" w:type="dxa"/>
                  <w:tcBorders>
                    <w:tl2br w:val="nil"/>
                    <w:tr2bl w:val="nil"/>
                  </w:tcBorders>
                  <w:noWrap w:val="0"/>
                  <w:vAlign w:val="center"/>
                </w:tcPr>
                <w:p w14:paraId="15671B13">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出渣结束</w:t>
                  </w:r>
                </w:p>
              </w:tc>
              <w:tc>
                <w:tcPr>
                  <w:tcW w:w="1779" w:type="dxa"/>
                  <w:tcBorders>
                    <w:tl2br w:val="nil"/>
                    <w:tr2bl w:val="nil"/>
                  </w:tcBorders>
                  <w:noWrap w:val="0"/>
                  <w:vAlign w:val="center"/>
                </w:tcPr>
                <w:p w14:paraId="0AEEEABF">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出渣中</w:t>
                  </w:r>
                </w:p>
              </w:tc>
              <w:tc>
                <w:tcPr>
                  <w:tcW w:w="1779" w:type="dxa"/>
                  <w:tcBorders>
                    <w:tl2br w:val="nil"/>
                    <w:tr2bl w:val="nil"/>
                  </w:tcBorders>
                  <w:noWrap w:val="0"/>
                  <w:vAlign w:val="center"/>
                </w:tcPr>
                <w:p w14:paraId="4C3E254E">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冷却完成</w:t>
                  </w:r>
                </w:p>
              </w:tc>
              <w:tc>
                <w:tcPr>
                  <w:tcW w:w="1779" w:type="dxa"/>
                  <w:tcBorders>
                    <w:tl2br w:val="nil"/>
                    <w:tr2bl w:val="nil"/>
                  </w:tcBorders>
                  <w:noWrap w:val="0"/>
                  <w:vAlign w:val="center"/>
                </w:tcPr>
                <w:p w14:paraId="62B00426">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hint="eastAsia"/>
                      <w:sz w:val="21"/>
                      <w:szCs w:val="21"/>
                      <w:lang w:eastAsia="zh-CN"/>
                    </w:rPr>
                    <w:t>热解</w:t>
                  </w:r>
                  <w:r>
                    <w:rPr>
                      <w:sz w:val="21"/>
                      <w:szCs w:val="21"/>
                    </w:rPr>
                    <w:t>完成</w:t>
                  </w:r>
                </w:p>
              </w:tc>
            </w:tr>
            <w:tr w14:paraId="3E7F9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70EF9257">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19:00</w:t>
                  </w:r>
                </w:p>
              </w:tc>
              <w:tc>
                <w:tcPr>
                  <w:tcW w:w="1779" w:type="dxa"/>
                  <w:tcBorders>
                    <w:tl2br w:val="nil"/>
                    <w:tr2bl w:val="nil"/>
                  </w:tcBorders>
                  <w:noWrap w:val="0"/>
                  <w:vAlign w:val="center"/>
                </w:tcPr>
                <w:p w14:paraId="4F98355D">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进料中</w:t>
                  </w:r>
                </w:p>
              </w:tc>
              <w:tc>
                <w:tcPr>
                  <w:tcW w:w="1779" w:type="dxa"/>
                  <w:tcBorders>
                    <w:tl2br w:val="nil"/>
                    <w:tr2bl w:val="nil"/>
                  </w:tcBorders>
                  <w:noWrap w:val="0"/>
                  <w:vAlign w:val="center"/>
                </w:tcPr>
                <w:p w14:paraId="7EEA9405">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出渣结束</w:t>
                  </w:r>
                </w:p>
              </w:tc>
              <w:tc>
                <w:tcPr>
                  <w:tcW w:w="1779" w:type="dxa"/>
                  <w:tcBorders>
                    <w:tl2br w:val="nil"/>
                    <w:tr2bl w:val="nil"/>
                  </w:tcBorders>
                  <w:noWrap w:val="0"/>
                  <w:vAlign w:val="center"/>
                </w:tcPr>
                <w:p w14:paraId="4AB3AC0B">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出渣中</w:t>
                  </w:r>
                </w:p>
              </w:tc>
              <w:tc>
                <w:tcPr>
                  <w:tcW w:w="1779" w:type="dxa"/>
                  <w:tcBorders>
                    <w:tl2br w:val="nil"/>
                    <w:tr2bl w:val="nil"/>
                  </w:tcBorders>
                  <w:noWrap w:val="0"/>
                  <w:vAlign w:val="center"/>
                </w:tcPr>
                <w:p w14:paraId="51F4E3D7">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冷却完成</w:t>
                  </w:r>
                </w:p>
              </w:tc>
            </w:tr>
            <w:tr w14:paraId="430D5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7CE0DC3D">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20:00</w:t>
                  </w:r>
                </w:p>
              </w:tc>
              <w:tc>
                <w:tcPr>
                  <w:tcW w:w="1779" w:type="dxa"/>
                  <w:tcBorders>
                    <w:tl2br w:val="nil"/>
                    <w:tr2bl w:val="nil"/>
                  </w:tcBorders>
                  <w:noWrap w:val="0"/>
                  <w:vAlign w:val="center"/>
                </w:tcPr>
                <w:p w14:paraId="4B1F7B78">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c>
                <w:tcPr>
                  <w:tcW w:w="1779" w:type="dxa"/>
                  <w:tcBorders>
                    <w:tl2br w:val="nil"/>
                    <w:tr2bl w:val="nil"/>
                  </w:tcBorders>
                  <w:noWrap w:val="0"/>
                  <w:vAlign w:val="center"/>
                </w:tcPr>
                <w:p w14:paraId="58F7A215">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进料中</w:t>
                  </w:r>
                </w:p>
              </w:tc>
              <w:tc>
                <w:tcPr>
                  <w:tcW w:w="1779" w:type="dxa"/>
                  <w:tcBorders>
                    <w:tl2br w:val="nil"/>
                    <w:tr2bl w:val="nil"/>
                  </w:tcBorders>
                  <w:noWrap w:val="0"/>
                  <w:vAlign w:val="center"/>
                </w:tcPr>
                <w:p w14:paraId="7E15A369">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出渣结束</w:t>
                  </w:r>
                </w:p>
              </w:tc>
              <w:tc>
                <w:tcPr>
                  <w:tcW w:w="1779" w:type="dxa"/>
                  <w:tcBorders>
                    <w:tl2br w:val="nil"/>
                    <w:tr2bl w:val="nil"/>
                  </w:tcBorders>
                  <w:noWrap w:val="0"/>
                  <w:vAlign w:val="center"/>
                </w:tcPr>
                <w:p w14:paraId="4B9C6B4C">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出渣中</w:t>
                  </w:r>
                </w:p>
              </w:tc>
            </w:tr>
            <w:tr w14:paraId="1F759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609B653C">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sz w:val="21"/>
                      <w:szCs w:val="21"/>
                    </w:rPr>
                  </w:pPr>
                  <w:r>
                    <w:rPr>
                      <w:rFonts w:ascii="Times New Roman"/>
                      <w:sz w:val="21"/>
                      <w:szCs w:val="21"/>
                    </w:rPr>
                    <w:t>22:00</w:t>
                  </w:r>
                </w:p>
              </w:tc>
              <w:tc>
                <w:tcPr>
                  <w:tcW w:w="1779" w:type="dxa"/>
                  <w:tcBorders>
                    <w:tl2br w:val="nil"/>
                    <w:tr2bl w:val="nil"/>
                  </w:tcBorders>
                  <w:noWrap w:val="0"/>
                  <w:vAlign w:val="center"/>
                </w:tcPr>
                <w:p w14:paraId="537B0C11">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c>
                <w:tcPr>
                  <w:tcW w:w="1779" w:type="dxa"/>
                  <w:tcBorders>
                    <w:tl2br w:val="nil"/>
                    <w:tr2bl w:val="nil"/>
                  </w:tcBorders>
                  <w:noWrap w:val="0"/>
                  <w:vAlign w:val="center"/>
                </w:tcPr>
                <w:p w14:paraId="0E5B54F0">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c>
                <w:tcPr>
                  <w:tcW w:w="1779" w:type="dxa"/>
                  <w:tcBorders>
                    <w:tl2br w:val="nil"/>
                    <w:tr2bl w:val="nil"/>
                  </w:tcBorders>
                  <w:noWrap w:val="0"/>
                  <w:vAlign w:val="center"/>
                </w:tcPr>
                <w:p w14:paraId="539711A0">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进料中</w:t>
                  </w:r>
                </w:p>
              </w:tc>
              <w:tc>
                <w:tcPr>
                  <w:tcW w:w="1779" w:type="dxa"/>
                  <w:tcBorders>
                    <w:tl2br w:val="nil"/>
                    <w:tr2bl w:val="nil"/>
                  </w:tcBorders>
                  <w:noWrap w:val="0"/>
                  <w:vAlign w:val="center"/>
                </w:tcPr>
                <w:p w14:paraId="3BF17744">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出渣结束</w:t>
                  </w:r>
                </w:p>
              </w:tc>
            </w:tr>
            <w:tr w14:paraId="5ED2F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4D29F573">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eastAsia="Times New Roman"/>
                      <w:sz w:val="21"/>
                      <w:szCs w:val="21"/>
                    </w:rPr>
                  </w:pPr>
                  <w:r>
                    <w:rPr>
                      <w:sz w:val="21"/>
                      <w:szCs w:val="21"/>
                    </w:rPr>
                    <w:t xml:space="preserve">次日 </w:t>
                  </w:r>
                  <w:r>
                    <w:rPr>
                      <w:rFonts w:ascii="Times New Roman" w:eastAsia="Times New Roman"/>
                      <w:sz w:val="21"/>
                      <w:szCs w:val="21"/>
                    </w:rPr>
                    <w:t>4:00</w:t>
                  </w:r>
                </w:p>
              </w:tc>
              <w:tc>
                <w:tcPr>
                  <w:tcW w:w="1779" w:type="dxa"/>
                  <w:tcBorders>
                    <w:tl2br w:val="nil"/>
                    <w:tr2bl w:val="nil"/>
                  </w:tcBorders>
                  <w:noWrap w:val="0"/>
                  <w:vAlign w:val="center"/>
                </w:tcPr>
                <w:p w14:paraId="4536FAF0">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hint="eastAsia"/>
                      <w:sz w:val="21"/>
                      <w:szCs w:val="21"/>
                      <w:lang w:eastAsia="zh-CN"/>
                    </w:rPr>
                    <w:t>热解</w:t>
                  </w:r>
                  <w:r>
                    <w:rPr>
                      <w:sz w:val="21"/>
                      <w:szCs w:val="21"/>
                    </w:rPr>
                    <w:t>完成</w:t>
                  </w:r>
                </w:p>
              </w:tc>
              <w:tc>
                <w:tcPr>
                  <w:tcW w:w="1779" w:type="dxa"/>
                  <w:tcBorders>
                    <w:tl2br w:val="nil"/>
                    <w:tr2bl w:val="nil"/>
                  </w:tcBorders>
                  <w:noWrap w:val="0"/>
                  <w:vAlign w:val="center"/>
                </w:tcPr>
                <w:p w14:paraId="73E4BFBE">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c>
                <w:tcPr>
                  <w:tcW w:w="1779" w:type="dxa"/>
                  <w:tcBorders>
                    <w:tl2br w:val="nil"/>
                    <w:tr2bl w:val="nil"/>
                  </w:tcBorders>
                  <w:noWrap w:val="0"/>
                  <w:vAlign w:val="center"/>
                </w:tcPr>
                <w:p w14:paraId="3B160A34">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c>
                <w:tcPr>
                  <w:tcW w:w="1779" w:type="dxa"/>
                  <w:tcBorders>
                    <w:tl2br w:val="nil"/>
                    <w:tr2bl w:val="nil"/>
                  </w:tcBorders>
                  <w:noWrap w:val="0"/>
                  <w:vAlign w:val="center"/>
                </w:tcPr>
                <w:p w14:paraId="75DAE22F">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进料中</w:t>
                  </w:r>
                </w:p>
              </w:tc>
            </w:tr>
            <w:tr w14:paraId="372A5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16BA4F3B">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eastAsia="Times New Roman"/>
                      <w:sz w:val="21"/>
                      <w:szCs w:val="21"/>
                    </w:rPr>
                  </w:pPr>
                  <w:r>
                    <w:rPr>
                      <w:sz w:val="21"/>
                      <w:szCs w:val="21"/>
                    </w:rPr>
                    <w:t xml:space="preserve">次日 </w:t>
                  </w:r>
                  <w:r>
                    <w:rPr>
                      <w:rFonts w:ascii="Times New Roman" w:eastAsia="Times New Roman"/>
                      <w:sz w:val="21"/>
                      <w:szCs w:val="21"/>
                    </w:rPr>
                    <w:t>9:00</w:t>
                  </w:r>
                </w:p>
              </w:tc>
              <w:tc>
                <w:tcPr>
                  <w:tcW w:w="1779" w:type="dxa"/>
                  <w:tcBorders>
                    <w:tl2br w:val="nil"/>
                    <w:tr2bl w:val="nil"/>
                  </w:tcBorders>
                  <w:noWrap w:val="0"/>
                  <w:vAlign w:val="center"/>
                </w:tcPr>
                <w:p w14:paraId="636BBDD6">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冷却完成</w:t>
                  </w:r>
                </w:p>
              </w:tc>
              <w:tc>
                <w:tcPr>
                  <w:tcW w:w="1779" w:type="dxa"/>
                  <w:tcBorders>
                    <w:tl2br w:val="nil"/>
                    <w:tr2bl w:val="nil"/>
                  </w:tcBorders>
                  <w:noWrap w:val="0"/>
                  <w:vAlign w:val="center"/>
                </w:tcPr>
                <w:p w14:paraId="16E0FC90">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hint="eastAsia"/>
                      <w:sz w:val="21"/>
                      <w:szCs w:val="21"/>
                      <w:lang w:eastAsia="zh-CN"/>
                    </w:rPr>
                    <w:t>热解</w:t>
                  </w:r>
                  <w:r>
                    <w:rPr>
                      <w:sz w:val="21"/>
                      <w:szCs w:val="21"/>
                    </w:rPr>
                    <w:t>完成</w:t>
                  </w:r>
                </w:p>
              </w:tc>
              <w:tc>
                <w:tcPr>
                  <w:tcW w:w="1779" w:type="dxa"/>
                  <w:tcBorders>
                    <w:tl2br w:val="nil"/>
                    <w:tr2bl w:val="nil"/>
                  </w:tcBorders>
                  <w:noWrap w:val="0"/>
                  <w:vAlign w:val="center"/>
                </w:tcPr>
                <w:p w14:paraId="36A397EC">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c>
                <w:tcPr>
                  <w:tcW w:w="1779" w:type="dxa"/>
                  <w:tcBorders>
                    <w:tl2br w:val="nil"/>
                    <w:tr2bl w:val="nil"/>
                  </w:tcBorders>
                  <w:noWrap w:val="0"/>
                  <w:vAlign w:val="center"/>
                </w:tcPr>
                <w:p w14:paraId="300AB892">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r>
            <w:tr w14:paraId="672CC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4BFFCF6D">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eastAsia="Times New Roman"/>
                      <w:sz w:val="21"/>
                      <w:szCs w:val="21"/>
                    </w:rPr>
                  </w:pPr>
                  <w:r>
                    <w:rPr>
                      <w:sz w:val="21"/>
                      <w:szCs w:val="21"/>
                    </w:rPr>
                    <w:t xml:space="preserve">次日 </w:t>
                  </w:r>
                  <w:r>
                    <w:rPr>
                      <w:rFonts w:ascii="Times New Roman" w:eastAsia="Times New Roman"/>
                      <w:sz w:val="21"/>
                      <w:szCs w:val="21"/>
                    </w:rPr>
                    <w:t>10:00</w:t>
                  </w:r>
                </w:p>
              </w:tc>
              <w:tc>
                <w:tcPr>
                  <w:tcW w:w="1779" w:type="dxa"/>
                  <w:tcBorders>
                    <w:tl2br w:val="nil"/>
                    <w:tr2bl w:val="nil"/>
                  </w:tcBorders>
                  <w:noWrap w:val="0"/>
                  <w:vAlign w:val="center"/>
                </w:tcPr>
                <w:p w14:paraId="19540940">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出渣中</w:t>
                  </w:r>
                </w:p>
              </w:tc>
              <w:tc>
                <w:tcPr>
                  <w:tcW w:w="1779" w:type="dxa"/>
                  <w:tcBorders>
                    <w:tl2br w:val="nil"/>
                    <w:tr2bl w:val="nil"/>
                  </w:tcBorders>
                  <w:noWrap w:val="0"/>
                  <w:vAlign w:val="center"/>
                </w:tcPr>
                <w:p w14:paraId="289478A8">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冷却完成</w:t>
                  </w:r>
                </w:p>
              </w:tc>
              <w:tc>
                <w:tcPr>
                  <w:tcW w:w="1779" w:type="dxa"/>
                  <w:tcBorders>
                    <w:tl2br w:val="nil"/>
                    <w:tr2bl w:val="nil"/>
                  </w:tcBorders>
                  <w:noWrap w:val="0"/>
                  <w:vAlign w:val="center"/>
                </w:tcPr>
                <w:p w14:paraId="398DBD2E">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hint="eastAsia"/>
                      <w:sz w:val="21"/>
                      <w:szCs w:val="21"/>
                      <w:lang w:eastAsia="zh-CN"/>
                    </w:rPr>
                    <w:t>热解</w:t>
                  </w:r>
                  <w:r>
                    <w:rPr>
                      <w:sz w:val="21"/>
                      <w:szCs w:val="21"/>
                    </w:rPr>
                    <w:t>完成</w:t>
                  </w:r>
                </w:p>
              </w:tc>
              <w:tc>
                <w:tcPr>
                  <w:tcW w:w="1779" w:type="dxa"/>
                  <w:tcBorders>
                    <w:tl2br w:val="nil"/>
                    <w:tr2bl w:val="nil"/>
                  </w:tcBorders>
                  <w:noWrap w:val="0"/>
                  <w:vAlign w:val="center"/>
                </w:tcPr>
                <w:p w14:paraId="0DA94AAB">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r>
            <w:tr w14:paraId="53E21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4A9CB5FD">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eastAsia="Times New Roman"/>
                      <w:sz w:val="21"/>
                      <w:szCs w:val="21"/>
                    </w:rPr>
                  </w:pPr>
                  <w:r>
                    <w:rPr>
                      <w:sz w:val="21"/>
                      <w:szCs w:val="21"/>
                    </w:rPr>
                    <w:t xml:space="preserve">次日 </w:t>
                  </w:r>
                  <w:r>
                    <w:rPr>
                      <w:rFonts w:ascii="Times New Roman" w:eastAsia="Times New Roman"/>
                      <w:sz w:val="21"/>
                      <w:szCs w:val="21"/>
                    </w:rPr>
                    <w:t>12:00</w:t>
                  </w:r>
                </w:p>
              </w:tc>
              <w:tc>
                <w:tcPr>
                  <w:tcW w:w="1779" w:type="dxa"/>
                  <w:tcBorders>
                    <w:tl2br w:val="nil"/>
                    <w:tr2bl w:val="nil"/>
                  </w:tcBorders>
                  <w:noWrap w:val="0"/>
                  <w:vAlign w:val="center"/>
                </w:tcPr>
                <w:p w14:paraId="2C72A68C">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出渣结束</w:t>
                  </w:r>
                </w:p>
              </w:tc>
              <w:tc>
                <w:tcPr>
                  <w:tcW w:w="1779" w:type="dxa"/>
                  <w:tcBorders>
                    <w:tl2br w:val="nil"/>
                    <w:tr2bl w:val="nil"/>
                  </w:tcBorders>
                  <w:noWrap w:val="0"/>
                  <w:vAlign w:val="center"/>
                </w:tcPr>
                <w:p w14:paraId="7730298D">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出渣中</w:t>
                  </w:r>
                </w:p>
              </w:tc>
              <w:tc>
                <w:tcPr>
                  <w:tcW w:w="1779" w:type="dxa"/>
                  <w:tcBorders>
                    <w:tl2br w:val="nil"/>
                    <w:tr2bl w:val="nil"/>
                  </w:tcBorders>
                  <w:noWrap w:val="0"/>
                  <w:vAlign w:val="center"/>
                </w:tcPr>
                <w:p w14:paraId="3C24252B">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冷却完成</w:t>
                  </w:r>
                </w:p>
              </w:tc>
              <w:tc>
                <w:tcPr>
                  <w:tcW w:w="1779" w:type="dxa"/>
                  <w:tcBorders>
                    <w:tl2br w:val="nil"/>
                    <w:tr2bl w:val="nil"/>
                  </w:tcBorders>
                  <w:noWrap w:val="0"/>
                  <w:vAlign w:val="center"/>
                </w:tcPr>
                <w:p w14:paraId="5466C28F">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hint="eastAsia"/>
                      <w:sz w:val="21"/>
                      <w:szCs w:val="21"/>
                      <w:lang w:eastAsia="zh-CN"/>
                    </w:rPr>
                    <w:t>热解</w:t>
                  </w:r>
                  <w:r>
                    <w:rPr>
                      <w:sz w:val="21"/>
                      <w:szCs w:val="21"/>
                    </w:rPr>
                    <w:t>完成</w:t>
                  </w:r>
                </w:p>
              </w:tc>
            </w:tr>
            <w:tr w14:paraId="72D9C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4CDD6781">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eastAsia="Times New Roman"/>
                      <w:sz w:val="21"/>
                      <w:szCs w:val="21"/>
                    </w:rPr>
                  </w:pPr>
                  <w:r>
                    <w:rPr>
                      <w:sz w:val="21"/>
                      <w:szCs w:val="21"/>
                    </w:rPr>
                    <w:t xml:space="preserve">次日 </w:t>
                  </w:r>
                  <w:r>
                    <w:rPr>
                      <w:rFonts w:ascii="Times New Roman" w:eastAsia="Times New Roman"/>
                      <w:sz w:val="21"/>
                      <w:szCs w:val="21"/>
                    </w:rPr>
                    <w:t>13:00</w:t>
                  </w:r>
                </w:p>
              </w:tc>
              <w:tc>
                <w:tcPr>
                  <w:tcW w:w="1779" w:type="dxa"/>
                  <w:tcBorders>
                    <w:tl2br w:val="nil"/>
                    <w:tr2bl w:val="nil"/>
                  </w:tcBorders>
                  <w:noWrap w:val="0"/>
                  <w:vAlign w:val="center"/>
                </w:tcPr>
                <w:p w14:paraId="7AA64E16">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进料中</w:t>
                  </w:r>
                </w:p>
              </w:tc>
              <w:tc>
                <w:tcPr>
                  <w:tcW w:w="1779" w:type="dxa"/>
                  <w:tcBorders>
                    <w:tl2br w:val="nil"/>
                    <w:tr2bl w:val="nil"/>
                  </w:tcBorders>
                  <w:noWrap w:val="0"/>
                  <w:vAlign w:val="center"/>
                </w:tcPr>
                <w:p w14:paraId="52D3B1B6">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出渣结束</w:t>
                  </w:r>
                </w:p>
              </w:tc>
              <w:tc>
                <w:tcPr>
                  <w:tcW w:w="1779" w:type="dxa"/>
                  <w:tcBorders>
                    <w:tl2br w:val="nil"/>
                    <w:tr2bl w:val="nil"/>
                  </w:tcBorders>
                  <w:noWrap w:val="0"/>
                  <w:vAlign w:val="center"/>
                </w:tcPr>
                <w:p w14:paraId="35BFF7B1">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出渣中</w:t>
                  </w:r>
                </w:p>
              </w:tc>
              <w:tc>
                <w:tcPr>
                  <w:tcW w:w="1779" w:type="dxa"/>
                  <w:tcBorders>
                    <w:tl2br w:val="nil"/>
                    <w:tr2bl w:val="nil"/>
                  </w:tcBorders>
                  <w:noWrap w:val="0"/>
                  <w:vAlign w:val="center"/>
                </w:tcPr>
                <w:p w14:paraId="08F7C109">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冷却完成</w:t>
                  </w:r>
                </w:p>
              </w:tc>
            </w:tr>
            <w:tr w14:paraId="50A23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1A1FEA5F">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eastAsia="Times New Roman"/>
                      <w:sz w:val="21"/>
                      <w:szCs w:val="21"/>
                    </w:rPr>
                  </w:pPr>
                  <w:r>
                    <w:rPr>
                      <w:sz w:val="21"/>
                      <w:szCs w:val="21"/>
                    </w:rPr>
                    <w:t xml:space="preserve">次日 </w:t>
                  </w:r>
                  <w:r>
                    <w:rPr>
                      <w:rFonts w:ascii="Times New Roman" w:eastAsia="Times New Roman"/>
                      <w:sz w:val="21"/>
                      <w:szCs w:val="21"/>
                    </w:rPr>
                    <w:t>14:00</w:t>
                  </w:r>
                </w:p>
              </w:tc>
              <w:tc>
                <w:tcPr>
                  <w:tcW w:w="1779" w:type="dxa"/>
                  <w:tcBorders>
                    <w:tl2br w:val="nil"/>
                    <w:tr2bl w:val="nil"/>
                  </w:tcBorders>
                  <w:noWrap w:val="0"/>
                  <w:vAlign w:val="center"/>
                </w:tcPr>
                <w:p w14:paraId="59C8333E">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c>
                <w:tcPr>
                  <w:tcW w:w="1779" w:type="dxa"/>
                  <w:tcBorders>
                    <w:tl2br w:val="nil"/>
                    <w:tr2bl w:val="nil"/>
                  </w:tcBorders>
                  <w:noWrap w:val="0"/>
                  <w:vAlign w:val="center"/>
                </w:tcPr>
                <w:p w14:paraId="09B47360">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进料中</w:t>
                  </w:r>
                </w:p>
              </w:tc>
              <w:tc>
                <w:tcPr>
                  <w:tcW w:w="1779" w:type="dxa"/>
                  <w:tcBorders>
                    <w:tl2br w:val="nil"/>
                    <w:tr2bl w:val="nil"/>
                  </w:tcBorders>
                  <w:noWrap w:val="0"/>
                  <w:vAlign w:val="center"/>
                </w:tcPr>
                <w:p w14:paraId="3F863428">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出渣结束</w:t>
                  </w:r>
                </w:p>
              </w:tc>
              <w:tc>
                <w:tcPr>
                  <w:tcW w:w="1779" w:type="dxa"/>
                  <w:tcBorders>
                    <w:tl2br w:val="nil"/>
                    <w:tr2bl w:val="nil"/>
                  </w:tcBorders>
                  <w:noWrap w:val="0"/>
                  <w:vAlign w:val="center"/>
                </w:tcPr>
                <w:p w14:paraId="48ABAFFB">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出渣中</w:t>
                  </w:r>
                </w:p>
              </w:tc>
            </w:tr>
            <w:tr w14:paraId="3EF85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83" w:type="dxa"/>
                  <w:tcBorders>
                    <w:tl2br w:val="nil"/>
                    <w:tr2bl w:val="nil"/>
                  </w:tcBorders>
                  <w:noWrap w:val="0"/>
                  <w:vAlign w:val="center"/>
                </w:tcPr>
                <w:p w14:paraId="4AA52D39">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eastAsia="Times New Roman"/>
                      <w:sz w:val="21"/>
                      <w:szCs w:val="21"/>
                    </w:rPr>
                  </w:pPr>
                  <w:r>
                    <w:rPr>
                      <w:sz w:val="21"/>
                      <w:szCs w:val="21"/>
                    </w:rPr>
                    <w:t xml:space="preserve">次日 </w:t>
                  </w:r>
                  <w:r>
                    <w:rPr>
                      <w:rFonts w:ascii="Times New Roman" w:eastAsia="Times New Roman"/>
                      <w:sz w:val="21"/>
                      <w:szCs w:val="21"/>
                    </w:rPr>
                    <w:t>18:00</w:t>
                  </w:r>
                </w:p>
              </w:tc>
              <w:tc>
                <w:tcPr>
                  <w:tcW w:w="1779" w:type="dxa"/>
                  <w:tcBorders>
                    <w:tl2br w:val="nil"/>
                    <w:tr2bl w:val="nil"/>
                  </w:tcBorders>
                  <w:noWrap w:val="0"/>
                  <w:vAlign w:val="center"/>
                </w:tcPr>
                <w:p w14:paraId="2F6A05CD">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c>
                <w:tcPr>
                  <w:tcW w:w="1779" w:type="dxa"/>
                  <w:tcBorders>
                    <w:tl2br w:val="nil"/>
                    <w:tr2bl w:val="nil"/>
                  </w:tcBorders>
                  <w:noWrap w:val="0"/>
                  <w:vAlign w:val="center"/>
                </w:tcPr>
                <w:p w14:paraId="75B41F75">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c>
                <w:tcPr>
                  <w:tcW w:w="1779" w:type="dxa"/>
                  <w:tcBorders>
                    <w:tl2br w:val="nil"/>
                    <w:tr2bl w:val="nil"/>
                  </w:tcBorders>
                  <w:noWrap w:val="0"/>
                  <w:vAlign w:val="center"/>
                </w:tcPr>
                <w:p w14:paraId="55A17DF1">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进料中</w:t>
                  </w:r>
                </w:p>
              </w:tc>
              <w:tc>
                <w:tcPr>
                  <w:tcW w:w="1779" w:type="dxa"/>
                  <w:tcBorders>
                    <w:tl2br w:val="nil"/>
                    <w:tr2bl w:val="nil"/>
                  </w:tcBorders>
                  <w:noWrap w:val="0"/>
                  <w:vAlign w:val="center"/>
                </w:tcPr>
                <w:p w14:paraId="54F6F396">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出渣结束</w:t>
                  </w:r>
                </w:p>
              </w:tc>
            </w:tr>
            <w:tr w14:paraId="569D1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jc w:val="center"/>
              </w:trPr>
              <w:tc>
                <w:tcPr>
                  <w:tcW w:w="1783" w:type="dxa"/>
                  <w:tcBorders>
                    <w:tl2br w:val="nil"/>
                    <w:tr2bl w:val="nil"/>
                  </w:tcBorders>
                  <w:noWrap w:val="0"/>
                  <w:vAlign w:val="center"/>
                </w:tcPr>
                <w:p w14:paraId="55B3B0A9">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ascii="Times New Roman" w:eastAsia="Times New Roman"/>
                      <w:sz w:val="21"/>
                      <w:szCs w:val="21"/>
                    </w:rPr>
                  </w:pPr>
                  <w:r>
                    <w:rPr>
                      <w:sz w:val="21"/>
                      <w:szCs w:val="21"/>
                    </w:rPr>
                    <w:t xml:space="preserve">次日 </w:t>
                  </w:r>
                  <w:r>
                    <w:rPr>
                      <w:rFonts w:ascii="Times New Roman" w:eastAsia="Times New Roman"/>
                      <w:sz w:val="21"/>
                      <w:szCs w:val="21"/>
                    </w:rPr>
                    <w:t>24:00</w:t>
                  </w:r>
                </w:p>
              </w:tc>
              <w:tc>
                <w:tcPr>
                  <w:tcW w:w="1779" w:type="dxa"/>
                  <w:tcBorders>
                    <w:tl2br w:val="nil"/>
                    <w:tr2bl w:val="nil"/>
                  </w:tcBorders>
                  <w:noWrap w:val="0"/>
                  <w:vAlign w:val="center"/>
                </w:tcPr>
                <w:p w14:paraId="7FD37648">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rFonts w:hint="eastAsia"/>
                      <w:sz w:val="21"/>
                      <w:szCs w:val="21"/>
                      <w:lang w:eastAsia="zh-CN"/>
                    </w:rPr>
                    <w:t>热解</w:t>
                  </w:r>
                  <w:r>
                    <w:rPr>
                      <w:sz w:val="21"/>
                      <w:szCs w:val="21"/>
                    </w:rPr>
                    <w:t>完成</w:t>
                  </w:r>
                </w:p>
              </w:tc>
              <w:tc>
                <w:tcPr>
                  <w:tcW w:w="1779" w:type="dxa"/>
                  <w:tcBorders>
                    <w:tl2br w:val="nil"/>
                    <w:tr2bl w:val="nil"/>
                  </w:tcBorders>
                  <w:noWrap w:val="0"/>
                  <w:vAlign w:val="center"/>
                </w:tcPr>
                <w:p w14:paraId="58F200F3">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稳定产气</w:t>
                  </w:r>
                </w:p>
              </w:tc>
              <w:tc>
                <w:tcPr>
                  <w:tcW w:w="1779" w:type="dxa"/>
                  <w:tcBorders>
                    <w:tl2br w:val="nil"/>
                    <w:tr2bl w:val="nil"/>
                  </w:tcBorders>
                  <w:noWrap w:val="0"/>
                  <w:vAlign w:val="center"/>
                </w:tcPr>
                <w:p w14:paraId="5A9C7004">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eastAsia="仿宋"/>
                      <w:sz w:val="21"/>
                      <w:szCs w:val="21"/>
                      <w:lang w:eastAsia="zh-CN"/>
                    </w:rPr>
                  </w:pPr>
                  <w:r>
                    <w:rPr>
                      <w:sz w:val="21"/>
                      <w:szCs w:val="21"/>
                    </w:rPr>
                    <w:t>开始</w:t>
                  </w:r>
                  <w:r>
                    <w:rPr>
                      <w:rFonts w:hint="eastAsia"/>
                      <w:sz w:val="21"/>
                      <w:szCs w:val="21"/>
                      <w:lang w:eastAsia="zh-CN"/>
                    </w:rPr>
                    <w:t>热解</w:t>
                  </w:r>
                </w:p>
              </w:tc>
              <w:tc>
                <w:tcPr>
                  <w:tcW w:w="1779" w:type="dxa"/>
                  <w:tcBorders>
                    <w:tl2br w:val="nil"/>
                    <w:tr2bl w:val="nil"/>
                  </w:tcBorders>
                  <w:noWrap w:val="0"/>
                  <w:vAlign w:val="center"/>
                </w:tcPr>
                <w:p w14:paraId="6B152EE2">
                  <w:pPr>
                    <w:pStyle w:val="49"/>
                    <w:keepNext w:val="0"/>
                    <w:keepLines w:val="0"/>
                    <w:pageBreakBefore w:val="0"/>
                    <w:widowControl w:val="0"/>
                    <w:kinsoku/>
                    <w:wordWrap/>
                    <w:overflowPunct/>
                    <w:topLinePunct w:val="0"/>
                    <w:autoSpaceDE/>
                    <w:autoSpaceDN/>
                    <w:bidi w:val="0"/>
                    <w:adjustRightInd/>
                    <w:snapToGrid/>
                    <w:ind w:left="0" w:right="0"/>
                    <w:jc w:val="center"/>
                    <w:textAlignment w:val="auto"/>
                    <w:rPr>
                      <w:sz w:val="21"/>
                      <w:szCs w:val="21"/>
                    </w:rPr>
                  </w:pPr>
                  <w:r>
                    <w:rPr>
                      <w:sz w:val="21"/>
                      <w:szCs w:val="21"/>
                    </w:rPr>
                    <w:t>进料中</w:t>
                  </w:r>
                </w:p>
              </w:tc>
            </w:tr>
          </w:tbl>
          <w:p w14:paraId="4D90B949">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cs="Times New Roman"/>
                <w:b w:val="0"/>
                <w:bCs w:val="0"/>
                <w:color w:val="auto"/>
                <w:spacing w:val="0"/>
                <w:position w:val="0"/>
                <w:lang w:val="en-US" w:eastAsia="zh-CN"/>
              </w:rPr>
            </w:pPr>
            <w:r>
              <w:rPr>
                <w:rFonts w:hint="eastAsia" w:ascii="Times New Roman" w:cs="Times New Roman"/>
                <w:b w:val="0"/>
                <w:bCs w:val="0"/>
                <w:color w:val="auto"/>
                <w:spacing w:val="0"/>
                <w:position w:val="0"/>
                <w:lang w:val="en-US" w:eastAsia="zh-CN"/>
              </w:rPr>
              <w:t>根据上表，项目每4台热解炉串联，24h连续生产可出渣8次，即每天热解批次为16批次。热解炉最大热解能力为6t/批次，年工作300天，则年热解量≤28800t/a，根据物料平衡，年需热解物料量26610t/a＜28800t/a，因此项目设置8台热解炉，可满足处理需求。</w:t>
            </w:r>
          </w:p>
          <w:p w14:paraId="43AEB601">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Times New Roman" w:hAnsi="Times New Roman" w:cs="Times New Roman"/>
                <w:b/>
                <w:bCs/>
                <w:color w:val="auto"/>
                <w:spacing w:val="0"/>
                <w:position w:val="0"/>
                <w:lang w:val="en-US" w:eastAsia="zh-CN"/>
              </w:rPr>
            </w:pPr>
            <w:r>
              <w:rPr>
                <w:rFonts w:hint="eastAsia" w:ascii="Times New Roman" w:hAnsi="Times New Roman" w:cs="Times New Roman"/>
                <w:b/>
                <w:bCs/>
                <w:color w:val="auto"/>
                <w:spacing w:val="0"/>
                <w:position w:val="0"/>
                <w:lang w:val="en-US" w:eastAsia="zh-CN"/>
              </w:rPr>
              <w:t>5、主要原辅料</w:t>
            </w:r>
          </w:p>
          <w:p w14:paraId="27FC7A33">
            <w:pPr>
              <w:pStyle w:val="9"/>
              <w:spacing w:line="480" w:lineRule="atLeast"/>
              <w:ind w:firstLine="0"/>
              <w:jc w:val="center"/>
              <w:rPr>
                <w:rFonts w:hint="default" w:ascii="Times New Roman" w:hAnsi="Times New Roman" w:eastAsia="宋体" w:cs="Times New Roman"/>
                <w:b/>
                <w:color w:val="auto"/>
                <w:spacing w:val="0"/>
                <w:sz w:val="21"/>
                <w:szCs w:val="21"/>
                <w:lang w:val="en-US" w:eastAsia="zh-CN"/>
              </w:rPr>
            </w:pPr>
            <w:r>
              <w:rPr>
                <w:rFonts w:hint="eastAsia" w:ascii="Times New Roman" w:hAnsi="Times New Roman" w:eastAsia="宋体" w:cs="Times New Roman"/>
                <w:b/>
                <w:color w:val="auto"/>
                <w:spacing w:val="0"/>
                <w:sz w:val="21"/>
                <w:szCs w:val="21"/>
                <w:lang w:val="en-US" w:eastAsia="zh-CN"/>
              </w:rPr>
              <w:t>表2-</w:t>
            </w:r>
            <w:r>
              <w:rPr>
                <w:rFonts w:hint="eastAsia" w:cs="Times New Roman"/>
                <w:b/>
                <w:color w:val="auto"/>
                <w:spacing w:val="0"/>
                <w:sz w:val="21"/>
                <w:szCs w:val="21"/>
                <w:lang w:val="en-US" w:eastAsia="zh-CN"/>
              </w:rPr>
              <w:t>6</w:t>
            </w:r>
            <w:r>
              <w:rPr>
                <w:rFonts w:hint="eastAsia" w:ascii="Times New Roman" w:hAnsi="Times New Roman" w:eastAsia="宋体" w:cs="Times New Roman"/>
                <w:b/>
                <w:color w:val="auto"/>
                <w:spacing w:val="0"/>
                <w:sz w:val="21"/>
                <w:szCs w:val="21"/>
                <w:lang w:val="en-US" w:eastAsia="zh-CN"/>
              </w:rPr>
              <w:t xml:space="preserve">  项目主要原辅料一览表</w:t>
            </w:r>
          </w:p>
          <w:tbl>
            <w:tblPr>
              <w:tblStyle w:val="26"/>
              <w:tblW w:w="88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3"/>
              <w:gridCol w:w="1309"/>
              <w:gridCol w:w="901"/>
              <w:gridCol w:w="901"/>
              <w:gridCol w:w="1067"/>
              <w:gridCol w:w="733"/>
              <w:gridCol w:w="1018"/>
              <w:gridCol w:w="1156"/>
              <w:gridCol w:w="1317"/>
            </w:tblGrid>
            <w:tr w14:paraId="2ACB3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6DB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A5C2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原料名称</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7500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消耗量</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397A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最大贮存量</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40F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1BA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原料形态</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E6C9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包装方式及规格</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215D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贮存地点</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6E4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6088D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E06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20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单玻废旧光伏组件</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B0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9000</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F8D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900</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C5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t/a</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32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固态</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CF5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1</w:t>
                  </w:r>
                  <w:r>
                    <w:rPr>
                      <w:rFonts w:hint="default" w:ascii="Times New Roman" w:hAnsi="Times New Roman" w:eastAsia="宋体" w:cs="Times New Roman"/>
                      <w:i w:val="0"/>
                      <w:iCs w:val="0"/>
                      <w:color w:val="000000"/>
                      <w:kern w:val="0"/>
                      <w:sz w:val="21"/>
                      <w:szCs w:val="21"/>
                      <w:u w:val="none"/>
                      <w:lang w:val="en-US" w:eastAsia="zh-CN" w:bidi="ar"/>
                    </w:rPr>
                    <w:t>t/</w:t>
                  </w:r>
                  <w:r>
                    <w:rPr>
                      <w:rFonts w:hint="eastAsia" w:ascii="宋体" w:hAnsi="宋体" w:eastAsia="宋体" w:cs="宋体"/>
                      <w:i w:val="0"/>
                      <w:iCs w:val="0"/>
                      <w:color w:val="000000"/>
                      <w:kern w:val="0"/>
                      <w:sz w:val="21"/>
                      <w:szCs w:val="21"/>
                      <w:u w:val="none"/>
                      <w:lang w:val="en-US" w:eastAsia="zh-CN" w:bidi="ar"/>
                    </w:rPr>
                    <w:t>捆</w:t>
                  </w:r>
                </w:p>
              </w:tc>
              <w:tc>
                <w:tcPr>
                  <w:tcW w:w="1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1D2B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color w:val="auto"/>
                      <w:spacing w:val="0"/>
                      <w:kern w:val="2"/>
                      <w:position w:val="0"/>
                      <w:sz w:val="21"/>
                      <w:szCs w:val="21"/>
                      <w:lang w:val="en-US" w:eastAsia="zh-CN" w:bidi="ar-SA"/>
                    </w:rPr>
                    <w:t>待加工原料区</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0A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单片重约</w:t>
                  </w:r>
                  <w:r>
                    <w:rPr>
                      <w:rFonts w:hint="default" w:ascii="Times New Roman" w:hAnsi="Times New Roman" w:eastAsia="宋体" w:cs="Times New Roman"/>
                      <w:i w:val="0"/>
                      <w:iCs w:val="0"/>
                      <w:color w:val="000000"/>
                      <w:kern w:val="0"/>
                      <w:sz w:val="21"/>
                      <w:szCs w:val="21"/>
                      <w:u w:val="none"/>
                      <w:lang w:val="en-US" w:eastAsia="zh-CN" w:bidi="ar"/>
                    </w:rPr>
                    <w:t>27kg</w:t>
                  </w:r>
                  <w:r>
                    <w:rPr>
                      <w:rFonts w:hint="eastAsia" w:cs="Times New Roman"/>
                      <w:i w:val="0"/>
                      <w:iCs w:val="0"/>
                      <w:color w:val="000000"/>
                      <w:kern w:val="0"/>
                      <w:sz w:val="21"/>
                      <w:szCs w:val="21"/>
                      <w:u w:val="none"/>
                      <w:lang w:val="en-US" w:eastAsia="zh-CN" w:bidi="ar"/>
                    </w:rPr>
                    <w:t>。尺寸1640*992*40</w:t>
                  </w:r>
                </w:p>
              </w:tc>
            </w:tr>
            <w:tr w14:paraId="1AD23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424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1B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双玻废旧光伏组件</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3CE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21000</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417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2100</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268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t/a</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7C1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固态</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8F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1</w:t>
                  </w:r>
                  <w:r>
                    <w:rPr>
                      <w:rFonts w:hint="default" w:ascii="Times New Roman" w:hAnsi="Times New Roman" w:eastAsia="宋体" w:cs="Times New Roman"/>
                      <w:i w:val="0"/>
                      <w:iCs w:val="0"/>
                      <w:color w:val="000000"/>
                      <w:kern w:val="0"/>
                      <w:sz w:val="21"/>
                      <w:szCs w:val="21"/>
                      <w:u w:val="none"/>
                      <w:lang w:val="en-US" w:eastAsia="zh-CN" w:bidi="ar"/>
                    </w:rPr>
                    <w:t>t/</w:t>
                  </w:r>
                  <w:r>
                    <w:rPr>
                      <w:rFonts w:hint="eastAsia" w:ascii="宋体" w:hAnsi="宋体" w:eastAsia="宋体" w:cs="宋体"/>
                      <w:i w:val="0"/>
                      <w:iCs w:val="0"/>
                      <w:color w:val="000000"/>
                      <w:kern w:val="0"/>
                      <w:sz w:val="21"/>
                      <w:szCs w:val="21"/>
                      <w:u w:val="none"/>
                      <w:lang w:val="en-US" w:eastAsia="zh-CN" w:bidi="ar"/>
                    </w:rPr>
                    <w:t>捆</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B4F5C">
                  <w:pPr>
                    <w:jc w:val="center"/>
                    <w:rPr>
                      <w:rFonts w:hint="default" w:ascii="Times New Roman" w:hAnsi="Times New Roman" w:eastAsia="宋体" w:cs="Times New Roman"/>
                      <w:i w:val="0"/>
                      <w:iCs w:val="0"/>
                      <w:color w:val="000000"/>
                      <w:sz w:val="21"/>
                      <w:szCs w:val="21"/>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525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单片重约</w:t>
                  </w:r>
                  <w:r>
                    <w:rPr>
                      <w:rFonts w:hint="default" w:ascii="Times New Roman" w:hAnsi="Times New Roman" w:eastAsia="宋体" w:cs="Times New Roman"/>
                      <w:i w:val="0"/>
                      <w:iCs w:val="0"/>
                      <w:color w:val="000000"/>
                      <w:kern w:val="0"/>
                      <w:sz w:val="21"/>
                      <w:szCs w:val="21"/>
                      <w:u w:val="none"/>
                      <w:lang w:val="en-US" w:eastAsia="zh-CN" w:bidi="ar"/>
                    </w:rPr>
                    <w:t>32kg</w:t>
                  </w:r>
                  <w:r>
                    <w:rPr>
                      <w:rFonts w:hint="eastAsia" w:cs="Times New Roman"/>
                      <w:i w:val="0"/>
                      <w:iCs w:val="0"/>
                      <w:color w:val="000000"/>
                      <w:kern w:val="0"/>
                      <w:sz w:val="21"/>
                      <w:szCs w:val="21"/>
                      <w:u w:val="none"/>
                      <w:lang w:val="en-US" w:eastAsia="zh-CN" w:bidi="ar"/>
                    </w:rPr>
                    <w:t>。尺寸2230*1130*30</w:t>
                  </w:r>
                </w:p>
              </w:tc>
            </w:tr>
            <w:tr w14:paraId="516C5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899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E0F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柴油</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F3B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0.32</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C82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38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t/a</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96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液态</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FA0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20kg/</w:t>
                  </w:r>
                  <w:r>
                    <w:rPr>
                      <w:rFonts w:hint="eastAsia" w:ascii="宋体" w:hAnsi="宋体" w:eastAsia="宋体" w:cs="宋体"/>
                      <w:i w:val="0"/>
                      <w:iCs w:val="0"/>
                      <w:color w:val="000000"/>
                      <w:kern w:val="0"/>
                      <w:sz w:val="21"/>
                      <w:szCs w:val="21"/>
                      <w:u w:val="none"/>
                      <w:lang w:val="en-US" w:eastAsia="zh-CN" w:bidi="ar"/>
                    </w:rPr>
                    <w:t>桶</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D3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不贮存，直接使用</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3E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热解炉第一次运行点火用。</w:t>
                  </w:r>
                </w:p>
              </w:tc>
            </w:tr>
            <w:tr w14:paraId="066C9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2CE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4</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D3C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片碱</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C6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144.2</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81C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3</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27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t/a</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52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固态</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0C8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25kg/</w:t>
                  </w:r>
                  <w:r>
                    <w:rPr>
                      <w:rFonts w:hint="eastAsia" w:ascii="宋体" w:hAnsi="宋体" w:eastAsia="宋体" w:cs="宋体"/>
                      <w:i w:val="0"/>
                      <w:iCs w:val="0"/>
                      <w:color w:val="000000"/>
                      <w:kern w:val="0"/>
                      <w:sz w:val="21"/>
                      <w:szCs w:val="21"/>
                      <w:u w:val="none"/>
                      <w:lang w:val="en-US" w:eastAsia="zh-CN" w:bidi="ar"/>
                    </w:rPr>
                    <w:t>袋</w:t>
                  </w:r>
                </w:p>
              </w:tc>
              <w:tc>
                <w:tcPr>
                  <w:tcW w:w="1156" w:type="dxa"/>
                  <w:vMerge w:val="restart"/>
                  <w:tcBorders>
                    <w:top w:val="single" w:color="000000" w:sz="4" w:space="0"/>
                    <w:left w:val="single" w:color="000000" w:sz="4" w:space="0"/>
                    <w:right w:val="single" w:color="000000" w:sz="4" w:space="0"/>
                  </w:tcBorders>
                  <w:shd w:val="clear" w:color="auto" w:fill="auto"/>
                  <w:vAlign w:val="center"/>
                </w:tcPr>
                <w:p w14:paraId="4878CB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片碱</w:t>
                  </w:r>
                  <w:r>
                    <w:rPr>
                      <w:rFonts w:hint="eastAsia" w:ascii="宋体" w:hAnsi="宋体" w:eastAsia="宋体" w:cs="宋体"/>
                      <w:i w:val="0"/>
                      <w:iCs w:val="0"/>
                      <w:color w:val="000000"/>
                      <w:kern w:val="0"/>
                      <w:sz w:val="21"/>
                      <w:szCs w:val="21"/>
                      <w:u w:val="none"/>
                      <w:lang w:val="en-US" w:eastAsia="zh-CN" w:bidi="ar"/>
                    </w:rPr>
                    <w:t>库</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97CD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碱洗、污水处理</w:t>
                  </w:r>
                </w:p>
              </w:tc>
            </w:tr>
            <w:tr w14:paraId="10871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F85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5</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AD4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脱色剂（过氧化氢）</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B67D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0.25</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0D65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0.05</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63A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t/a</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A16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液态</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376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25kg/桶</w:t>
                  </w:r>
                </w:p>
              </w:tc>
              <w:tc>
                <w:tcPr>
                  <w:tcW w:w="1156" w:type="dxa"/>
                  <w:vMerge w:val="continue"/>
                  <w:tcBorders>
                    <w:left w:val="single" w:color="000000" w:sz="4" w:space="0"/>
                    <w:right w:val="single" w:color="000000" w:sz="4" w:space="0"/>
                  </w:tcBorders>
                  <w:shd w:val="clear" w:color="auto" w:fill="auto"/>
                  <w:vAlign w:val="center"/>
                </w:tcPr>
                <w:p w14:paraId="7957A4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317" w:type="dxa"/>
                  <w:vMerge w:val="restart"/>
                  <w:tcBorders>
                    <w:top w:val="single" w:color="000000" w:sz="4" w:space="0"/>
                    <w:left w:val="single" w:color="000000" w:sz="4" w:space="0"/>
                    <w:right w:val="single" w:color="000000" w:sz="4" w:space="0"/>
                  </w:tcBorders>
                  <w:shd w:val="clear" w:color="auto" w:fill="auto"/>
                  <w:vAlign w:val="center"/>
                </w:tcPr>
                <w:p w14:paraId="5D2ABBE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污水处理</w:t>
                  </w:r>
                </w:p>
              </w:tc>
            </w:tr>
            <w:tr w14:paraId="66AA0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4E63">
                  <w:pPr>
                    <w:keepNext w:val="0"/>
                    <w:keepLines w:val="0"/>
                    <w:widowControl/>
                    <w:suppressLineNumbers w:val="0"/>
                    <w:jc w:val="center"/>
                    <w:textAlignment w:val="center"/>
                    <w:rPr>
                      <w:rFonts w:hint="default"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6</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5C3A1">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絮凝剂/混凝剂</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1161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1.2</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D05E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710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t/a</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BDDD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袋装</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41E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25kg/</w:t>
                  </w:r>
                  <w:r>
                    <w:rPr>
                      <w:rFonts w:hint="eastAsia" w:ascii="宋体" w:hAnsi="宋体" w:eastAsia="宋体" w:cs="宋体"/>
                      <w:i w:val="0"/>
                      <w:iCs w:val="0"/>
                      <w:color w:val="000000"/>
                      <w:kern w:val="0"/>
                      <w:sz w:val="21"/>
                      <w:szCs w:val="21"/>
                      <w:u w:val="none"/>
                      <w:lang w:val="en-US" w:eastAsia="zh-CN" w:bidi="ar"/>
                    </w:rPr>
                    <w:t>袋</w:t>
                  </w:r>
                </w:p>
              </w:tc>
              <w:tc>
                <w:tcPr>
                  <w:tcW w:w="1156" w:type="dxa"/>
                  <w:vMerge w:val="continue"/>
                  <w:tcBorders>
                    <w:left w:val="single" w:color="000000" w:sz="4" w:space="0"/>
                    <w:bottom w:val="single" w:color="000000" w:sz="4" w:space="0"/>
                    <w:right w:val="single" w:color="000000" w:sz="4" w:space="0"/>
                  </w:tcBorders>
                  <w:shd w:val="clear" w:color="auto" w:fill="auto"/>
                  <w:vAlign w:val="center"/>
                </w:tcPr>
                <w:p w14:paraId="2190D9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317" w:type="dxa"/>
                  <w:vMerge w:val="continue"/>
                  <w:tcBorders>
                    <w:left w:val="single" w:color="000000" w:sz="4" w:space="0"/>
                    <w:bottom w:val="single" w:color="000000" w:sz="4" w:space="0"/>
                    <w:right w:val="single" w:color="000000" w:sz="4" w:space="0"/>
                  </w:tcBorders>
                  <w:shd w:val="clear" w:color="auto" w:fill="auto"/>
                  <w:vAlign w:val="center"/>
                </w:tcPr>
                <w:p w14:paraId="1E2CDE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F4FD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C014">
                  <w:pPr>
                    <w:keepNext w:val="0"/>
                    <w:keepLines w:val="0"/>
                    <w:widowControl/>
                    <w:suppressLineNumbers w:val="0"/>
                    <w:jc w:val="center"/>
                    <w:textAlignment w:val="center"/>
                    <w:rPr>
                      <w:rFonts w:hint="default"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7</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D147">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润滑油</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536F">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0.2</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2C6D8">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0.02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13A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t/a</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B64F6">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液态</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509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25kg/桶</w:t>
                  </w:r>
                </w:p>
              </w:tc>
              <w:tc>
                <w:tcPr>
                  <w:tcW w:w="1156" w:type="dxa"/>
                  <w:vMerge w:val="restart"/>
                  <w:tcBorders>
                    <w:left w:val="single" w:color="000000" w:sz="4" w:space="0"/>
                    <w:right w:val="single" w:color="000000" w:sz="4" w:space="0"/>
                  </w:tcBorders>
                  <w:shd w:val="clear" w:color="auto" w:fill="auto"/>
                  <w:vAlign w:val="center"/>
                </w:tcPr>
                <w:p w14:paraId="46420FA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备用仓库</w:t>
                  </w:r>
                </w:p>
              </w:tc>
              <w:tc>
                <w:tcPr>
                  <w:tcW w:w="1317" w:type="dxa"/>
                  <w:vMerge w:val="restart"/>
                  <w:tcBorders>
                    <w:left w:val="single" w:color="000000" w:sz="4" w:space="0"/>
                    <w:right w:val="single" w:color="000000" w:sz="4" w:space="0"/>
                  </w:tcBorders>
                  <w:shd w:val="clear" w:color="auto" w:fill="auto"/>
                  <w:vAlign w:val="center"/>
                </w:tcPr>
                <w:p w14:paraId="3BD51CD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设备维修</w:t>
                  </w:r>
                </w:p>
              </w:tc>
            </w:tr>
            <w:tr w14:paraId="556DC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A3C6">
                  <w:pPr>
                    <w:keepNext w:val="0"/>
                    <w:keepLines w:val="0"/>
                    <w:widowControl/>
                    <w:suppressLineNumbers w:val="0"/>
                    <w:jc w:val="center"/>
                    <w:textAlignment w:val="center"/>
                    <w:rPr>
                      <w:rFonts w:hint="default"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8</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5B7B6">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液压油</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8DF3A">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1</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7EEF2">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0.1</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F9B6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t/a</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5D7D9">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液态</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B40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25kg/桶</w:t>
                  </w:r>
                </w:p>
              </w:tc>
              <w:tc>
                <w:tcPr>
                  <w:tcW w:w="1156" w:type="dxa"/>
                  <w:vMerge w:val="continue"/>
                  <w:tcBorders>
                    <w:left w:val="single" w:color="000000" w:sz="4" w:space="0"/>
                    <w:bottom w:val="single" w:color="000000" w:sz="4" w:space="0"/>
                    <w:right w:val="single" w:color="000000" w:sz="4" w:space="0"/>
                  </w:tcBorders>
                  <w:shd w:val="clear" w:color="auto" w:fill="auto"/>
                  <w:vAlign w:val="center"/>
                </w:tcPr>
                <w:p w14:paraId="13AAFD4E">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c>
                <w:tcPr>
                  <w:tcW w:w="1317" w:type="dxa"/>
                  <w:vMerge w:val="continue"/>
                  <w:tcBorders>
                    <w:left w:val="single" w:color="000000" w:sz="4" w:space="0"/>
                    <w:bottom w:val="single" w:color="000000" w:sz="4" w:space="0"/>
                    <w:right w:val="single" w:color="000000" w:sz="4" w:space="0"/>
                  </w:tcBorders>
                  <w:shd w:val="clear" w:color="auto" w:fill="auto"/>
                  <w:vAlign w:val="center"/>
                </w:tcPr>
                <w:p w14:paraId="5AAEEC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2388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B37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9</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1F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C42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5737.2</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E06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DCB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t/a</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B4C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34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A8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66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12421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661E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10</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8A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3AD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140</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8E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07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万度</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年</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B7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3B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04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751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bl>
          <w:p w14:paraId="560B655E">
            <w:pPr>
              <w:adjustRightInd w:val="0"/>
              <w:snapToGrid w:val="0"/>
              <w:spacing w:line="480" w:lineRule="exact"/>
              <w:ind w:firstLine="482" w:firstLineChars="200"/>
              <w:rPr>
                <w:rFonts w:hint="default" w:cs="Times New Roman"/>
                <w:b/>
                <w:bCs/>
                <w:color w:val="auto"/>
                <w:spacing w:val="0"/>
                <w:kern w:val="2"/>
                <w:position w:val="0"/>
                <w:sz w:val="24"/>
                <w:szCs w:val="24"/>
                <w:lang w:val="en-US" w:eastAsia="zh-CN" w:bidi="ar-SA"/>
              </w:rPr>
            </w:pPr>
            <w:r>
              <w:rPr>
                <w:rFonts w:hint="eastAsia" w:cs="Times New Roman"/>
                <w:b/>
                <w:bCs/>
                <w:color w:val="auto"/>
                <w:spacing w:val="0"/>
                <w:kern w:val="2"/>
                <w:position w:val="0"/>
                <w:sz w:val="24"/>
                <w:szCs w:val="24"/>
                <w:lang w:val="en-US" w:eastAsia="zh-CN" w:bidi="ar-SA"/>
              </w:rPr>
              <w:t>（1）废旧光伏组件来源及类型</w:t>
            </w:r>
          </w:p>
          <w:p w14:paraId="005E4E2A">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本项目原料为报废、损坏的废旧光伏组件。来源主要为：①光伏组件生产过程中产生的不合格品、残次品；②光伏组件运输及安装过程中造成损坏的光伏组件；③由于狂风、暴雨等恶劣天气造成损坏的光伏组件；④达到报废年限的光伏组件。</w:t>
            </w:r>
          </w:p>
          <w:p w14:paraId="0C3B3871">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本项目所回收利用的光伏组件仅为晶体硅光伏组件，不回收利用铜铟镓硒光伏组件、硅基薄膜光伏组件等其他光伏组件，不含重金属等其他物质。</w:t>
            </w:r>
          </w:p>
          <w:p w14:paraId="60CE250A">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本项目接收的废旧光伏组件中的焊带均为无铅焊带，本项目严禁接收含铅焊带的光伏组件。废光伏板未列入《国家危险废物名录》（2025年版），且无反应性、腐蚀性、易燃性、感染性和不含《危险废物鉴别标准毒性物质含量鉴别》中物质，因此，废光伏板不属于危险废物。</w:t>
            </w:r>
          </w:p>
          <w:p w14:paraId="534EDE56">
            <w:pPr>
              <w:adjustRightInd w:val="0"/>
              <w:snapToGrid w:val="0"/>
              <w:spacing w:line="480" w:lineRule="exact"/>
              <w:ind w:firstLine="482" w:firstLineChars="200"/>
              <w:rPr>
                <w:rFonts w:hint="eastAsia" w:cs="Times New Roman"/>
                <w:b/>
                <w:bCs/>
                <w:color w:val="auto"/>
                <w:spacing w:val="0"/>
                <w:kern w:val="2"/>
                <w:position w:val="0"/>
                <w:sz w:val="24"/>
                <w:szCs w:val="24"/>
                <w:lang w:val="en-US" w:eastAsia="zh-CN" w:bidi="ar-SA"/>
              </w:rPr>
            </w:pPr>
            <w:r>
              <w:rPr>
                <w:rFonts w:hint="eastAsia" w:cs="Times New Roman"/>
                <w:b/>
                <w:bCs/>
                <w:color w:val="auto"/>
                <w:spacing w:val="0"/>
                <w:kern w:val="2"/>
                <w:position w:val="0"/>
                <w:sz w:val="24"/>
                <w:szCs w:val="24"/>
                <w:lang w:val="en-US" w:eastAsia="zh-CN" w:bidi="ar-SA"/>
              </w:rPr>
              <w:t>（2）废旧光伏组件介绍</w:t>
            </w:r>
          </w:p>
          <w:p w14:paraId="29BF9DAC">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本项目处理的废旧光伏组件为单玻光伏组件以及双玻光伏组件。</w:t>
            </w:r>
          </w:p>
          <w:p w14:paraId="040C4A67">
            <w:pPr>
              <w:adjustRightInd w:val="0"/>
              <w:snapToGrid w:val="0"/>
              <w:spacing w:line="480" w:lineRule="exact"/>
              <w:ind w:firstLine="480" w:firstLineChars="200"/>
              <w:rPr>
                <w:rFonts w:hint="eastAsia" w:cs="Times New Roman"/>
                <w:color w:val="auto"/>
                <w:spacing w:val="0"/>
                <w:kern w:val="2"/>
                <w:position w:val="0"/>
                <w:sz w:val="24"/>
                <w:szCs w:val="24"/>
                <w:lang w:val="en-US" w:eastAsia="en-US" w:bidi="ar-SA"/>
              </w:rPr>
            </w:pPr>
            <w:r>
              <w:rPr>
                <w:rFonts w:hint="eastAsia" w:cs="Times New Roman"/>
                <w:color w:val="auto"/>
                <w:spacing w:val="0"/>
                <w:kern w:val="2"/>
                <w:position w:val="0"/>
                <w:sz w:val="24"/>
                <w:szCs w:val="24"/>
                <w:lang w:val="en-US" w:eastAsia="zh-CN" w:bidi="ar-SA"/>
              </w:rPr>
              <w:t>单玻光伏组件是由钢化玻璃、EVA、TPT 背板、焊带、铝合金等组成。其比重为：玻璃 70%；铝边框 18%；硅片 4%；接线盒 1%；焊带 0.7%；EVA5.2%；</w:t>
            </w:r>
            <w:r>
              <w:rPr>
                <w:rFonts w:hint="eastAsia" w:cs="Times New Roman"/>
                <w:color w:val="auto"/>
                <w:spacing w:val="0"/>
                <w:kern w:val="2"/>
                <w:position w:val="0"/>
                <w:sz w:val="24"/>
                <w:szCs w:val="24"/>
                <w:lang w:val="en-US" w:eastAsia="en-US" w:bidi="ar-SA"/>
              </w:rPr>
              <w:t>TPT 背板</w:t>
            </w:r>
            <w:r>
              <w:rPr>
                <w:rFonts w:hint="eastAsia" w:cs="Times New Roman"/>
                <w:color w:val="auto"/>
                <w:spacing w:val="0"/>
                <w:kern w:val="2"/>
                <w:position w:val="0"/>
                <w:sz w:val="24"/>
                <w:szCs w:val="24"/>
                <w:lang w:val="en-US" w:eastAsia="zh-CN" w:bidi="ar-SA"/>
              </w:rPr>
              <w:t>（</w:t>
            </w:r>
            <w:r>
              <w:rPr>
                <w:rFonts w:hint="eastAsia" w:cs="Times New Roman"/>
                <w:color w:val="auto"/>
                <w:spacing w:val="0"/>
                <w:kern w:val="2"/>
                <w:position w:val="0"/>
                <w:sz w:val="24"/>
                <w:szCs w:val="24"/>
                <w:lang w:val="en-US" w:eastAsia="en-US" w:bidi="ar-SA"/>
              </w:rPr>
              <w:t>氟膜</w:t>
            </w:r>
            <w:r>
              <w:rPr>
                <w:rFonts w:hint="eastAsia" w:cs="Times New Roman"/>
                <w:color w:val="auto"/>
                <w:spacing w:val="0"/>
                <w:kern w:val="2"/>
                <w:position w:val="0"/>
                <w:sz w:val="24"/>
                <w:szCs w:val="24"/>
                <w:lang w:val="en-US" w:eastAsia="zh-CN" w:bidi="ar-SA"/>
              </w:rPr>
              <w:t>：</w:t>
            </w:r>
            <w:r>
              <w:rPr>
                <w:rFonts w:hint="eastAsia" w:cs="Times New Roman"/>
                <w:color w:val="auto"/>
                <w:spacing w:val="0"/>
                <w:kern w:val="2"/>
                <w:position w:val="0"/>
                <w:sz w:val="24"/>
                <w:szCs w:val="24"/>
                <w:lang w:val="en-US" w:eastAsia="en-US" w:bidi="ar-SA"/>
              </w:rPr>
              <w:t>聚氟乙烯PVF0.05%</w:t>
            </w:r>
            <w:r>
              <w:rPr>
                <w:rFonts w:hint="eastAsia" w:cs="Times New Roman"/>
                <w:color w:val="auto"/>
                <w:spacing w:val="0"/>
                <w:kern w:val="2"/>
                <w:position w:val="0"/>
                <w:sz w:val="24"/>
                <w:szCs w:val="24"/>
                <w:lang w:val="en-US" w:eastAsia="zh-CN" w:bidi="ar-SA"/>
              </w:rPr>
              <w:t>；</w:t>
            </w:r>
            <w:r>
              <w:rPr>
                <w:rFonts w:hint="eastAsia" w:cs="Times New Roman"/>
                <w:color w:val="auto"/>
                <w:spacing w:val="0"/>
                <w:kern w:val="2"/>
                <w:position w:val="0"/>
                <w:sz w:val="24"/>
                <w:szCs w:val="24"/>
                <w:lang w:val="en-US" w:eastAsia="en-US" w:bidi="ar-SA"/>
              </w:rPr>
              <w:t>其他背板材料 PET1.05%）1.1%。</w:t>
            </w:r>
          </w:p>
          <w:p w14:paraId="0C06E335">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双玻光伏组件与单玻光伏组件区别是无 TPT背板，多一层玻璃。其比重为：玻璃 83%；铝边框 7.5%；硅片 3.5%；接线盒 0.5%；焊带 0.5%；EVA5%。</w:t>
            </w:r>
          </w:p>
          <w:p w14:paraId="1899E19D">
            <w:pPr>
              <w:keepNext w:val="0"/>
              <w:keepLines w:val="0"/>
              <w:pageBreakBefore w:val="0"/>
              <w:widowControl w:val="0"/>
              <w:kinsoku/>
              <w:wordWrap/>
              <w:overflowPunct/>
              <w:topLinePunct w:val="0"/>
              <w:autoSpaceDE/>
              <w:autoSpaceDN/>
              <w:bidi w:val="0"/>
              <w:adjustRightInd w:val="0"/>
              <w:snapToGrid w:val="0"/>
              <w:spacing w:line="480" w:lineRule="exact"/>
              <w:ind w:firstLine="0" w:firstLineChars="0"/>
              <w:jc w:val="center"/>
              <w:textAlignment w:val="auto"/>
              <w:rPr>
                <w:rFonts w:hint="default" w:cs="Times New Roman"/>
                <w:b/>
                <w:bCs/>
                <w:color w:val="auto"/>
                <w:spacing w:val="0"/>
                <w:kern w:val="2"/>
                <w:position w:val="0"/>
                <w:sz w:val="21"/>
                <w:szCs w:val="21"/>
                <w:lang w:val="en-US" w:eastAsia="zh-CN" w:bidi="ar-SA"/>
              </w:rPr>
            </w:pPr>
            <w:r>
              <w:rPr>
                <w:rFonts w:hint="eastAsia" w:cs="Times New Roman"/>
                <w:b/>
                <w:bCs/>
                <w:color w:val="auto"/>
                <w:spacing w:val="0"/>
                <w:kern w:val="2"/>
                <w:position w:val="0"/>
                <w:sz w:val="21"/>
                <w:szCs w:val="21"/>
                <w:lang w:val="en-US" w:eastAsia="zh-CN" w:bidi="ar-SA"/>
              </w:rPr>
              <w:t xml:space="preserve">表2-7  </w:t>
            </w:r>
            <w:r>
              <w:rPr>
                <w:rFonts w:hint="eastAsia" w:cs="Times New Roman"/>
                <w:b/>
                <w:bCs/>
                <w:color w:val="auto"/>
                <w:spacing w:val="0"/>
                <w:position w:val="0"/>
                <w:sz w:val="21"/>
                <w:szCs w:val="21"/>
                <w:lang w:eastAsia="zh-CN"/>
              </w:rPr>
              <w:t>废旧光伏组件</w:t>
            </w:r>
            <w:r>
              <w:rPr>
                <w:rFonts w:hint="eastAsia" w:cs="Times New Roman"/>
                <w:b/>
                <w:bCs/>
                <w:color w:val="auto"/>
                <w:spacing w:val="0"/>
                <w:position w:val="0"/>
                <w:sz w:val="21"/>
                <w:szCs w:val="21"/>
                <w:lang w:val="en-US" w:eastAsia="zh-CN"/>
              </w:rPr>
              <w:t>组成结构一览表</w:t>
            </w:r>
          </w:p>
          <w:tbl>
            <w:tblPr>
              <w:tblStyle w:val="26"/>
              <w:tblW w:w="88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9"/>
              <w:gridCol w:w="772"/>
              <w:gridCol w:w="1218"/>
              <w:gridCol w:w="1046"/>
              <w:gridCol w:w="1376"/>
              <w:gridCol w:w="1129"/>
              <w:gridCol w:w="1613"/>
              <w:gridCol w:w="985"/>
            </w:tblGrid>
            <w:tr w14:paraId="104C8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AE8EC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序号</w:t>
                  </w:r>
                </w:p>
              </w:tc>
              <w:tc>
                <w:tcPr>
                  <w:tcW w:w="199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C9B65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Times New Roman" w:hAnsi="Times New Roman" w:eastAsia="宋体" w:cs="Times New Roman"/>
                      <w:b/>
                      <w:bCs/>
                      <w:i w:val="0"/>
                      <w:iCs w:val="0"/>
                      <w:color w:val="000000"/>
                      <w:kern w:val="0"/>
                      <w:sz w:val="21"/>
                      <w:szCs w:val="21"/>
                      <w:u w:val="none"/>
                      <w:lang w:val="en-US" w:eastAsia="zh-CN" w:bidi="ar"/>
                    </w:rPr>
                    <w:t>组成</w:t>
                  </w:r>
                  <w:r>
                    <w:rPr>
                      <w:rFonts w:hint="default" w:ascii="Times New Roman" w:hAnsi="Times New Roman" w:eastAsia="宋体" w:cs="Times New Roman"/>
                      <w:b/>
                      <w:bCs/>
                      <w:i w:val="0"/>
                      <w:iCs w:val="0"/>
                      <w:color w:val="000000"/>
                      <w:kern w:val="0"/>
                      <w:sz w:val="21"/>
                      <w:szCs w:val="21"/>
                      <w:u w:val="none"/>
                      <w:lang w:val="en-US" w:eastAsia="zh-CN" w:bidi="ar"/>
                    </w:rPr>
                    <w:t>物料名称</w:t>
                  </w:r>
                </w:p>
              </w:tc>
              <w:tc>
                <w:tcPr>
                  <w:tcW w:w="24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01673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单玻</w:t>
                  </w:r>
                  <w:r>
                    <w:rPr>
                      <w:rFonts w:hint="eastAsia" w:cs="Times New Roman"/>
                      <w:b/>
                      <w:bCs/>
                      <w:color w:val="auto"/>
                      <w:spacing w:val="0"/>
                      <w:kern w:val="2"/>
                      <w:position w:val="0"/>
                      <w:sz w:val="21"/>
                      <w:szCs w:val="21"/>
                      <w:lang w:val="en-US" w:eastAsia="zh-CN" w:bidi="ar-SA"/>
                    </w:rPr>
                    <w:t>光伏组件</w:t>
                  </w:r>
                </w:p>
              </w:tc>
              <w:tc>
                <w:tcPr>
                  <w:tcW w:w="27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C5277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双玻</w:t>
                  </w:r>
                  <w:r>
                    <w:rPr>
                      <w:rFonts w:hint="eastAsia" w:cs="Times New Roman"/>
                      <w:b/>
                      <w:bCs/>
                      <w:color w:val="auto"/>
                      <w:spacing w:val="0"/>
                      <w:kern w:val="2"/>
                      <w:position w:val="0"/>
                      <w:sz w:val="21"/>
                      <w:szCs w:val="21"/>
                      <w:lang w:val="en-US" w:eastAsia="zh-CN" w:bidi="ar-SA"/>
                    </w:rPr>
                    <w:t>光伏组件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00F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合计</w:t>
                  </w:r>
                </w:p>
              </w:tc>
            </w:tr>
            <w:tr w14:paraId="3C39C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DC3CC">
                  <w:pPr>
                    <w:jc w:val="center"/>
                    <w:rPr>
                      <w:rFonts w:hint="default" w:ascii="Times New Roman" w:hAnsi="Times New Roman" w:eastAsia="宋体" w:cs="Times New Roman"/>
                      <w:b/>
                      <w:bCs/>
                      <w:i w:val="0"/>
                      <w:iCs w:val="0"/>
                      <w:color w:val="000000"/>
                      <w:sz w:val="21"/>
                      <w:szCs w:val="21"/>
                      <w:u w:val="none"/>
                    </w:rPr>
                  </w:pPr>
                </w:p>
              </w:tc>
              <w:tc>
                <w:tcPr>
                  <w:tcW w:w="199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BB152">
                  <w:pPr>
                    <w:jc w:val="center"/>
                    <w:rPr>
                      <w:rFonts w:hint="default" w:ascii="Times New Roman" w:hAnsi="Times New Roman" w:eastAsia="宋体" w:cs="Times New Roman"/>
                      <w:b/>
                      <w:bCs/>
                      <w:i w:val="0"/>
                      <w:iCs w:val="0"/>
                      <w:color w:val="000000"/>
                      <w:sz w:val="21"/>
                      <w:szCs w:val="21"/>
                      <w:u w:val="none"/>
                    </w:rPr>
                  </w:pPr>
                </w:p>
              </w:tc>
              <w:tc>
                <w:tcPr>
                  <w:tcW w:w="1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893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lang w:val="en-US"/>
                    </w:rPr>
                  </w:pPr>
                  <w:r>
                    <w:rPr>
                      <w:rFonts w:hint="default" w:ascii="Times New Roman" w:hAnsi="Times New Roman" w:eastAsia="宋体" w:cs="Times New Roman"/>
                      <w:b/>
                      <w:bCs/>
                      <w:i w:val="0"/>
                      <w:iCs w:val="0"/>
                      <w:color w:val="000000"/>
                      <w:kern w:val="0"/>
                      <w:sz w:val="21"/>
                      <w:szCs w:val="21"/>
                      <w:u w:val="none"/>
                      <w:lang w:val="en-US" w:eastAsia="zh-CN" w:bidi="ar"/>
                    </w:rPr>
                    <w:t>占比%</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2B36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lang w:val="en-US"/>
                    </w:rPr>
                  </w:pPr>
                  <w:r>
                    <w:rPr>
                      <w:rFonts w:hint="default" w:ascii="Times New Roman" w:hAnsi="Times New Roman" w:eastAsia="宋体" w:cs="Times New Roman"/>
                      <w:b/>
                      <w:bCs/>
                      <w:i w:val="0"/>
                      <w:iCs w:val="0"/>
                      <w:color w:val="000000"/>
                      <w:kern w:val="0"/>
                      <w:sz w:val="21"/>
                      <w:szCs w:val="21"/>
                      <w:u w:val="none"/>
                      <w:lang w:val="en-US" w:eastAsia="zh-CN" w:bidi="ar"/>
                    </w:rPr>
                    <w:t>年处理量t/a</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6F4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占比%</w:t>
                  </w: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E179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年处理量t/a</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F5E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t/a</w:t>
                  </w:r>
                </w:p>
              </w:tc>
            </w:tr>
            <w:tr w14:paraId="53BC4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54D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9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F154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玻璃</w:t>
                  </w:r>
                </w:p>
              </w:tc>
              <w:tc>
                <w:tcPr>
                  <w:tcW w:w="1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7D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2B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6300</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CA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83</w:t>
                  </w: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C1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17430</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CC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23730</w:t>
                  </w:r>
                </w:p>
              </w:tc>
            </w:tr>
            <w:tr w14:paraId="2EDF5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D3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9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1947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铝边框</w:t>
                  </w:r>
                </w:p>
              </w:tc>
              <w:tc>
                <w:tcPr>
                  <w:tcW w:w="1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EC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DDA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1620</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B4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F8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1575</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F68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3195</w:t>
                  </w:r>
                </w:p>
              </w:tc>
            </w:tr>
            <w:tr w14:paraId="0B38B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CF0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19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1B5C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硅片</w:t>
                  </w:r>
                </w:p>
              </w:tc>
              <w:tc>
                <w:tcPr>
                  <w:tcW w:w="1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A7F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2E3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360</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B1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w:t>
                  </w: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D5E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735</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981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1095</w:t>
                  </w:r>
                </w:p>
              </w:tc>
            </w:tr>
            <w:tr w14:paraId="0812E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71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9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C0DB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接线盒</w:t>
                  </w:r>
                </w:p>
              </w:tc>
              <w:tc>
                <w:tcPr>
                  <w:tcW w:w="1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5BD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0B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E6E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6C8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105</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002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195</w:t>
                  </w:r>
                </w:p>
              </w:tc>
            </w:tr>
            <w:tr w14:paraId="73988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47F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19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8295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焊带</w:t>
                  </w:r>
                </w:p>
              </w:tc>
              <w:tc>
                <w:tcPr>
                  <w:tcW w:w="1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5B3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0.7</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6D3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5DA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EBD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105</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A4B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168</w:t>
                  </w:r>
                </w:p>
              </w:tc>
            </w:tr>
            <w:tr w14:paraId="1F9DD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62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19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1952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EVA</w:t>
                  </w:r>
                </w:p>
              </w:tc>
              <w:tc>
                <w:tcPr>
                  <w:tcW w:w="1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8A1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5.2</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C37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468</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D5E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91E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1050</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ED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1518</w:t>
                  </w:r>
                </w:p>
              </w:tc>
            </w:tr>
            <w:tr w14:paraId="57207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B8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77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12E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TPT</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B3B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氟膜</w:t>
                  </w: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PVDF</w:t>
                  </w:r>
                  <w:r>
                    <w:rPr>
                      <w:rFonts w:hint="eastAsia" w:cs="Times New Roman"/>
                      <w:i w:val="0"/>
                      <w:iCs w:val="0"/>
                      <w:color w:val="000000"/>
                      <w:kern w:val="0"/>
                      <w:sz w:val="21"/>
                      <w:szCs w:val="21"/>
                      <w:u w:val="none"/>
                      <w:lang w:val="en-US" w:eastAsia="zh-CN" w:bidi="ar"/>
                    </w:rPr>
                    <w:t>）</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F97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0.05</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02E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3A1F">
                  <w:pPr>
                    <w:jc w:val="center"/>
                    <w:rPr>
                      <w:rFonts w:hint="default" w:ascii="Times New Roman" w:hAnsi="Times New Roman" w:eastAsia="宋体" w:cs="Times New Roman"/>
                      <w:i w:val="0"/>
                      <w:iCs w:val="0"/>
                      <w:color w:val="000000"/>
                      <w:sz w:val="21"/>
                      <w:szCs w:val="21"/>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DBC4">
                  <w:pPr>
                    <w:jc w:val="center"/>
                    <w:rPr>
                      <w:rFonts w:hint="default" w:ascii="Times New Roman" w:hAnsi="Times New Roman" w:eastAsia="宋体" w:cs="Times New Roman"/>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FBF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r>
            <w:tr w14:paraId="668B7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024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7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B4541">
                  <w:pPr>
                    <w:jc w:val="center"/>
                    <w:rPr>
                      <w:rFonts w:hint="default" w:ascii="Times New Roman" w:hAnsi="Times New Roman" w:eastAsia="宋体" w:cs="Times New Roman"/>
                      <w:i w:val="0"/>
                      <w:iCs w:val="0"/>
                      <w:color w:val="000000"/>
                      <w:sz w:val="21"/>
                      <w:szCs w:val="21"/>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CA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其他背板材料PET</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86F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1.05</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A1B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94.5</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16BB">
                  <w:pPr>
                    <w:jc w:val="center"/>
                    <w:rPr>
                      <w:rFonts w:hint="default" w:ascii="Times New Roman" w:hAnsi="Times New Roman" w:eastAsia="宋体" w:cs="Times New Roman"/>
                      <w:i w:val="0"/>
                      <w:iCs w:val="0"/>
                      <w:color w:val="000000"/>
                      <w:sz w:val="21"/>
                      <w:szCs w:val="21"/>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30969">
                  <w:pPr>
                    <w:jc w:val="center"/>
                    <w:rPr>
                      <w:rFonts w:hint="default" w:ascii="Times New Roman" w:hAnsi="Times New Roman" w:eastAsia="宋体" w:cs="Times New Roman"/>
                      <w:i w:val="0"/>
                      <w:iCs w:val="0"/>
                      <w:color w:val="000000"/>
                      <w:sz w:val="21"/>
                      <w:szCs w:val="21"/>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C7D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94.5</w:t>
                  </w:r>
                </w:p>
              </w:tc>
            </w:tr>
            <w:tr w14:paraId="2D2B2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 w:hRule="atLeast"/>
                <w:jc w:val="center"/>
              </w:trPr>
              <w:tc>
                <w:tcPr>
                  <w:tcW w:w="27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5DF9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合计</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7C77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100</w:t>
                  </w:r>
                </w:p>
              </w:tc>
              <w:tc>
                <w:tcPr>
                  <w:tcW w:w="13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CF03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9000</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DB03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100</w:t>
                  </w:r>
                </w:p>
              </w:tc>
              <w:tc>
                <w:tcPr>
                  <w:tcW w:w="1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E09E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21000</w:t>
                  </w: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684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30000</w:t>
                  </w:r>
                </w:p>
              </w:tc>
            </w:tr>
          </w:tbl>
          <w:p w14:paraId="47D43151">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default" w:cs="Times New Roman"/>
                <w:color w:val="auto"/>
                <w:spacing w:val="0"/>
                <w:kern w:val="2"/>
                <w:position w:val="0"/>
                <w:sz w:val="24"/>
                <w:szCs w:val="24"/>
                <w:lang w:val="en-US" w:eastAsia="zh-CN" w:bidi="ar-SA"/>
              </w:rPr>
              <w:t>单玻</w:t>
            </w:r>
            <w:r>
              <w:rPr>
                <w:rFonts w:hint="eastAsia" w:cs="Times New Roman"/>
                <w:color w:val="auto"/>
                <w:spacing w:val="0"/>
                <w:kern w:val="2"/>
                <w:position w:val="0"/>
                <w:sz w:val="24"/>
                <w:szCs w:val="24"/>
                <w:lang w:val="en-US" w:eastAsia="zh-CN" w:bidi="ar-SA"/>
              </w:rPr>
              <w:t>光伏组件组成结构示意图如下：</w:t>
            </w:r>
          </w:p>
          <w:p w14:paraId="3A427C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pPr>
          </w:p>
          <w:p w14:paraId="69624D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pacing w:val="0"/>
                <w:kern w:val="2"/>
                <w:position w:val="0"/>
                <w:sz w:val="24"/>
                <w:szCs w:val="24"/>
                <w:lang w:val="en-US" w:eastAsia="zh-CN" w:bidi="ar-SA"/>
              </w:rPr>
            </w:pPr>
            <w:r>
              <w:drawing>
                <wp:inline distT="0" distB="0" distL="114300" distR="114300">
                  <wp:extent cx="3098165" cy="3360420"/>
                  <wp:effectExtent l="0" t="0" r="10795" b="762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1"/>
                          <a:stretch>
                            <a:fillRect/>
                          </a:stretch>
                        </pic:blipFill>
                        <pic:spPr>
                          <a:xfrm>
                            <a:off x="0" y="0"/>
                            <a:ext cx="3098165" cy="3360420"/>
                          </a:xfrm>
                          <a:prstGeom prst="rect">
                            <a:avLst/>
                          </a:prstGeom>
                          <a:noFill/>
                          <a:ln>
                            <a:noFill/>
                          </a:ln>
                        </pic:spPr>
                      </pic:pic>
                    </a:graphicData>
                  </a:graphic>
                </wp:inline>
              </w:drawing>
            </w:r>
          </w:p>
          <w:p w14:paraId="06DD55CF">
            <w:pPr>
              <w:keepNext w:val="0"/>
              <w:keepLines w:val="0"/>
              <w:pageBreakBefore w:val="0"/>
              <w:widowControl w:val="0"/>
              <w:kinsoku/>
              <w:wordWrap/>
              <w:overflowPunct/>
              <w:topLinePunct w:val="0"/>
              <w:autoSpaceDE/>
              <w:autoSpaceDN/>
              <w:bidi w:val="0"/>
              <w:adjustRightInd w:val="0"/>
              <w:snapToGrid w:val="0"/>
              <w:spacing w:line="480" w:lineRule="exact"/>
              <w:ind w:firstLine="0" w:firstLineChars="0"/>
              <w:jc w:val="center"/>
              <w:textAlignment w:val="auto"/>
              <w:rPr>
                <w:rFonts w:hint="default" w:cs="Times New Roman"/>
                <w:b/>
                <w:bCs/>
                <w:color w:val="auto"/>
                <w:spacing w:val="0"/>
                <w:kern w:val="2"/>
                <w:position w:val="0"/>
                <w:sz w:val="21"/>
                <w:szCs w:val="21"/>
                <w:lang w:val="en-US" w:eastAsia="zh-CN" w:bidi="ar-SA"/>
              </w:rPr>
            </w:pPr>
            <w:r>
              <w:rPr>
                <w:rFonts w:hint="eastAsia" w:cs="Times New Roman"/>
                <w:b/>
                <w:bCs/>
                <w:color w:val="auto"/>
                <w:spacing w:val="0"/>
                <w:kern w:val="2"/>
                <w:position w:val="0"/>
                <w:sz w:val="21"/>
                <w:szCs w:val="21"/>
                <w:lang w:val="en-US" w:eastAsia="zh-CN" w:bidi="ar-SA"/>
              </w:rPr>
              <w:t xml:space="preserve">图2-1  </w:t>
            </w:r>
            <w:r>
              <w:rPr>
                <w:rFonts w:hint="default" w:cs="Times New Roman"/>
                <w:b/>
                <w:bCs/>
                <w:color w:val="auto"/>
                <w:spacing w:val="0"/>
                <w:kern w:val="2"/>
                <w:position w:val="0"/>
                <w:sz w:val="21"/>
                <w:szCs w:val="21"/>
                <w:lang w:val="en-US" w:eastAsia="zh-CN" w:bidi="ar-SA"/>
              </w:rPr>
              <w:t>单玻</w:t>
            </w:r>
            <w:r>
              <w:rPr>
                <w:rFonts w:hint="eastAsia" w:cs="Times New Roman"/>
                <w:b/>
                <w:bCs/>
                <w:color w:val="auto"/>
                <w:spacing w:val="0"/>
                <w:kern w:val="2"/>
                <w:position w:val="0"/>
                <w:sz w:val="21"/>
                <w:szCs w:val="21"/>
                <w:lang w:val="en-US" w:eastAsia="zh-CN" w:bidi="ar-SA"/>
              </w:rPr>
              <w:t>光伏组件组成结构示意图</w:t>
            </w:r>
          </w:p>
          <w:p w14:paraId="5C614ECC">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双</w:t>
            </w:r>
            <w:r>
              <w:rPr>
                <w:rFonts w:hint="default" w:cs="Times New Roman"/>
                <w:color w:val="auto"/>
                <w:spacing w:val="0"/>
                <w:kern w:val="2"/>
                <w:position w:val="0"/>
                <w:sz w:val="24"/>
                <w:szCs w:val="24"/>
                <w:lang w:val="en-US" w:eastAsia="zh-CN" w:bidi="ar-SA"/>
              </w:rPr>
              <w:t>玻</w:t>
            </w:r>
            <w:r>
              <w:rPr>
                <w:rFonts w:hint="eastAsia" w:cs="Times New Roman"/>
                <w:color w:val="auto"/>
                <w:spacing w:val="0"/>
                <w:kern w:val="2"/>
                <w:position w:val="0"/>
                <w:sz w:val="24"/>
                <w:szCs w:val="24"/>
                <w:lang w:val="en-US" w:eastAsia="zh-CN" w:bidi="ar-SA"/>
              </w:rPr>
              <w:t>光伏组件组成结构示意图如下：</w:t>
            </w:r>
          </w:p>
          <w:p w14:paraId="03AA23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pPr>
          </w:p>
          <w:p w14:paraId="2563F8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pPr>
          </w:p>
          <w:p w14:paraId="0518FD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pacing w:val="0"/>
                <w:kern w:val="2"/>
                <w:position w:val="0"/>
                <w:sz w:val="24"/>
                <w:szCs w:val="24"/>
                <w:lang w:val="en-US" w:eastAsia="zh-CN" w:bidi="ar-SA"/>
              </w:rPr>
            </w:pPr>
            <w:r>
              <w:drawing>
                <wp:inline distT="0" distB="0" distL="114300" distR="114300">
                  <wp:extent cx="3568700" cy="2738755"/>
                  <wp:effectExtent l="0" t="0" r="12700" b="444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2"/>
                          <a:stretch>
                            <a:fillRect/>
                          </a:stretch>
                        </pic:blipFill>
                        <pic:spPr>
                          <a:xfrm>
                            <a:off x="0" y="0"/>
                            <a:ext cx="3568700" cy="2738755"/>
                          </a:xfrm>
                          <a:prstGeom prst="rect">
                            <a:avLst/>
                          </a:prstGeom>
                          <a:noFill/>
                          <a:ln>
                            <a:noFill/>
                          </a:ln>
                        </pic:spPr>
                      </pic:pic>
                    </a:graphicData>
                  </a:graphic>
                </wp:inline>
              </w:drawing>
            </w:r>
          </w:p>
          <w:p w14:paraId="28FE3AC7">
            <w:pPr>
              <w:adjustRightInd w:val="0"/>
              <w:snapToGrid w:val="0"/>
              <w:spacing w:line="480" w:lineRule="exact"/>
              <w:ind w:firstLine="422" w:firstLineChars="200"/>
              <w:jc w:val="center"/>
              <w:rPr>
                <w:rFonts w:hint="eastAsia" w:cs="Times New Roman"/>
                <w:color w:val="auto"/>
                <w:spacing w:val="0"/>
                <w:kern w:val="2"/>
                <w:position w:val="0"/>
                <w:sz w:val="24"/>
                <w:szCs w:val="24"/>
                <w:lang w:val="en-US" w:eastAsia="zh-CN" w:bidi="ar-SA"/>
              </w:rPr>
            </w:pPr>
            <w:r>
              <w:rPr>
                <w:rFonts w:hint="eastAsia" w:cs="Times New Roman"/>
                <w:b/>
                <w:bCs/>
                <w:color w:val="auto"/>
                <w:spacing w:val="0"/>
                <w:kern w:val="2"/>
                <w:position w:val="0"/>
                <w:sz w:val="21"/>
                <w:szCs w:val="21"/>
                <w:lang w:val="en-US" w:eastAsia="zh-CN" w:bidi="ar-SA"/>
              </w:rPr>
              <w:t>图2-2  双</w:t>
            </w:r>
            <w:r>
              <w:rPr>
                <w:rFonts w:hint="default" w:cs="Times New Roman"/>
                <w:b/>
                <w:bCs/>
                <w:color w:val="auto"/>
                <w:spacing w:val="0"/>
                <w:kern w:val="2"/>
                <w:position w:val="0"/>
                <w:sz w:val="21"/>
                <w:szCs w:val="21"/>
                <w:lang w:val="en-US" w:eastAsia="zh-CN" w:bidi="ar-SA"/>
              </w:rPr>
              <w:t>玻</w:t>
            </w:r>
            <w:r>
              <w:rPr>
                <w:rFonts w:hint="eastAsia" w:cs="Times New Roman"/>
                <w:b/>
                <w:bCs/>
                <w:color w:val="auto"/>
                <w:spacing w:val="0"/>
                <w:kern w:val="2"/>
                <w:position w:val="0"/>
                <w:sz w:val="21"/>
                <w:szCs w:val="21"/>
                <w:lang w:val="en-US" w:eastAsia="zh-CN" w:bidi="ar-SA"/>
              </w:rPr>
              <w:t>光伏组件组成结构示意图</w:t>
            </w:r>
          </w:p>
          <w:p w14:paraId="5028702D">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①钢化玻璃：主要为超白钢化玻璃，用于支撑光伏组件结构，增强光伏组件的承重和载荷，具有透光、减反射透光、阻水、阻气和防腐蚀的作用。</w:t>
            </w:r>
          </w:p>
          <w:p w14:paraId="0527753F">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②铝合金边框：主要应用在光伏板边框和光伏板支架等，主要起到固定、密封电池组件、增强组件强度、便于运输和安装等作用，其性能将影响到光伏组件的寿命。</w:t>
            </w:r>
          </w:p>
          <w:p w14:paraId="7F129598">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③EVA分装胶膜：乙烯-醋酸乙烯共聚物，熔点99℃，沸点170.6C，分解温度约为230C~250℃，分解本品可燃，燃烧气味无刺激性。EVA粉体与空气可形成爆炸性混合物，当达到一定浓度时，遇火星会发生爆炸。加热分解产生易燃气体。乙烯-醋酸乙烯共聚物一般醋酸乙烯（VA）含量在5%~40%。与聚乙烯相比，EVA由于在分子链中引入了醋酸乙烯单体，从而降低了高结晶度，提高了柔韧性、抗冲击性、填料相容性和热密封性能，被广泛应用于发泡鞋料、功能性棚膜、包装膜、热熔胶、电线电缆及玩具等领域。一般来说，EVA树脂的性能主要取决于分子链上醋酸乙烯的含量。</w:t>
            </w:r>
          </w:p>
          <w:p w14:paraId="6CC8C2A4">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④电池片：用于把太阳的光能直接转化为电能。地面光伏系统大量使用的是以硅为基底的硅太阳能电池，可分为单晶硅、多晶硅、非晶硅太阳能电池。在能量转换效率和使用寿命等综合性能方面，单晶硅和多晶硅电池优于非晶硅电池。多晶硅比单晶硅转换效率低，但价格更便宜。其中非晶硅电池是用沉积在导电玻璃或不锈钢衬底上的非晶硅薄膜制成的太阳能电池，是以玻璃、不锈钢及特种塑料为衬底的薄膜太阳电池。</w:t>
            </w:r>
          </w:p>
          <w:p w14:paraId="6AE971E6">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fldChar w:fldCharType="begin"/>
            </w:r>
            <w:r>
              <w:rPr>
                <w:rFonts w:hint="eastAsia" w:cs="Times New Roman"/>
                <w:color w:val="auto"/>
                <w:spacing w:val="0"/>
                <w:kern w:val="2"/>
                <w:position w:val="0"/>
                <w:sz w:val="24"/>
                <w:szCs w:val="24"/>
                <w:lang w:val="en-US" w:eastAsia="zh-CN" w:bidi="ar-SA"/>
              </w:rPr>
              <w:instrText xml:space="preserve"> = 5 \* GB3 \* MERGEFORMAT </w:instrText>
            </w:r>
            <w:r>
              <w:rPr>
                <w:rFonts w:hint="eastAsia" w:cs="Times New Roman"/>
                <w:color w:val="auto"/>
                <w:spacing w:val="0"/>
                <w:kern w:val="2"/>
                <w:position w:val="0"/>
                <w:sz w:val="24"/>
                <w:szCs w:val="24"/>
                <w:lang w:val="en-US" w:eastAsia="zh-CN" w:bidi="ar-SA"/>
              </w:rPr>
              <w:fldChar w:fldCharType="separate"/>
            </w:r>
            <w:r>
              <w:rPr>
                <w:rFonts w:hint="eastAsia" w:cs="Times New Roman"/>
                <w:color w:val="auto"/>
                <w:spacing w:val="0"/>
                <w:kern w:val="2"/>
                <w:position w:val="0"/>
                <w:sz w:val="24"/>
                <w:szCs w:val="24"/>
                <w:lang w:val="en-US" w:eastAsia="zh-CN" w:bidi="ar-SA"/>
              </w:rPr>
              <w:t>⑤</w:t>
            </w:r>
            <w:r>
              <w:rPr>
                <w:rFonts w:hint="eastAsia" w:cs="Times New Roman"/>
                <w:color w:val="auto"/>
                <w:spacing w:val="0"/>
                <w:kern w:val="2"/>
                <w:position w:val="0"/>
                <w:sz w:val="24"/>
                <w:szCs w:val="24"/>
                <w:lang w:val="en-US" w:eastAsia="zh-CN" w:bidi="ar-SA"/>
              </w:rPr>
              <w:fldChar w:fldCharType="end"/>
            </w:r>
            <w:r>
              <w:rPr>
                <w:rFonts w:hint="eastAsia" w:cs="Times New Roman"/>
                <w:color w:val="auto"/>
                <w:spacing w:val="0"/>
                <w:kern w:val="2"/>
                <w:position w:val="0"/>
                <w:sz w:val="24"/>
                <w:szCs w:val="24"/>
                <w:lang w:val="en-US" w:eastAsia="zh-CN" w:bidi="ar-SA"/>
              </w:rPr>
              <w:t>背板层：位于电池板的背面，对电池片起保护和支撑作用，具有可靠的绝缘性、阻水性、耐老化性。外层保护层PVF（聚氟乙烯）具有良好的抗环境侵蚀能力，分解温度为210℃以上，中间层为PET聚酯薄膜具有良好的绝缘性能，内层EVA具有良好的粘接性能。</w:t>
            </w:r>
          </w:p>
          <w:p w14:paraId="2DE8D0F0">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⑥焊带：又称镀锡铜带或涂锡铜带，分汇流带和互连条，应用于光伏组件电池片之间的连接，发挥导电聚电的重要作用。焊带是光伏组件焊接过程中的重要原材料，焊带质量的好坏将直接影响到光伏组件电流的收集效率，对光伏组件的功率影响很大。焊带在串联电池片的过程中一定要做到焊接牢固，避免虚焊、假焊现象的发生。</w:t>
            </w:r>
          </w:p>
          <w:p w14:paraId="4708A886">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本项目接收的废光伏板中的焊带均为无铅焊带，本项目严禁接收含铅焊带的光伏组件。废光伏板未列入《国家危险废物名录》（2025年版），且无反应性、腐蚀性、易燃性、感染性和不含《危险废物鉴别标准毒性物质含量鉴别》中物质，废光伏板不属于危险废物。</w:t>
            </w:r>
          </w:p>
          <w:p w14:paraId="6F572344">
            <w:pPr>
              <w:adjustRightInd w:val="0"/>
              <w:snapToGrid w:val="0"/>
              <w:spacing w:line="480" w:lineRule="exact"/>
              <w:ind w:firstLine="480" w:firstLineChars="200"/>
              <w:rPr>
                <w:rFonts w:hint="eastAsia"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fldChar w:fldCharType="begin"/>
            </w:r>
            <w:r>
              <w:rPr>
                <w:rFonts w:hint="eastAsia" w:cs="Times New Roman"/>
                <w:color w:val="auto"/>
                <w:spacing w:val="0"/>
                <w:kern w:val="2"/>
                <w:position w:val="0"/>
                <w:sz w:val="24"/>
                <w:szCs w:val="24"/>
                <w:lang w:val="en-US" w:eastAsia="zh-CN" w:bidi="ar-SA"/>
              </w:rPr>
              <w:instrText xml:space="preserve"> = 7 \* GB3 \* MERGEFORMAT </w:instrText>
            </w:r>
            <w:r>
              <w:rPr>
                <w:rFonts w:hint="eastAsia" w:cs="Times New Roman"/>
                <w:color w:val="auto"/>
                <w:spacing w:val="0"/>
                <w:kern w:val="2"/>
                <w:position w:val="0"/>
                <w:sz w:val="24"/>
                <w:szCs w:val="24"/>
                <w:lang w:val="en-US" w:eastAsia="zh-CN" w:bidi="ar-SA"/>
              </w:rPr>
              <w:fldChar w:fldCharType="separate"/>
            </w:r>
            <w:r>
              <w:rPr>
                <w:sz w:val="24"/>
                <w:szCs w:val="24"/>
              </w:rPr>
              <w:t>⑦</w:t>
            </w:r>
            <w:r>
              <w:rPr>
                <w:rFonts w:hint="eastAsia" w:cs="Times New Roman"/>
                <w:color w:val="auto"/>
                <w:spacing w:val="0"/>
                <w:kern w:val="2"/>
                <w:position w:val="0"/>
                <w:sz w:val="24"/>
                <w:szCs w:val="24"/>
                <w:lang w:val="en-US" w:eastAsia="zh-CN" w:bidi="ar-SA"/>
              </w:rPr>
              <w:fldChar w:fldCharType="end"/>
            </w:r>
            <w:r>
              <w:rPr>
                <w:rFonts w:hint="eastAsia" w:cs="Times New Roman"/>
                <w:color w:val="auto"/>
                <w:spacing w:val="0"/>
                <w:kern w:val="2"/>
                <w:position w:val="0"/>
                <w:sz w:val="24"/>
                <w:szCs w:val="24"/>
                <w:lang w:val="en-US" w:eastAsia="zh-CN" w:bidi="ar-SA"/>
              </w:rPr>
              <w:t>接线盒：介于光伏组件构成的电池方阵和充电控制装置之间的连接装置，其主要作用是连接和保护光伏组件，将电池产生的电力与外部线路连接，传导光伏组件所产生的电流。</w:t>
            </w:r>
          </w:p>
          <w:p w14:paraId="5849FA0B">
            <w:pPr>
              <w:adjustRightInd w:val="0"/>
              <w:snapToGrid w:val="0"/>
              <w:spacing w:line="480" w:lineRule="exact"/>
              <w:ind w:firstLine="482" w:firstLineChars="200"/>
              <w:rPr>
                <w:rFonts w:hint="default" w:cs="Times New Roman"/>
                <w:color w:val="auto"/>
                <w:spacing w:val="0"/>
                <w:kern w:val="2"/>
                <w:position w:val="0"/>
                <w:sz w:val="24"/>
                <w:szCs w:val="24"/>
                <w:lang w:val="en-US" w:eastAsia="zh-CN" w:bidi="ar-SA"/>
              </w:rPr>
            </w:pPr>
            <w:r>
              <w:rPr>
                <w:rFonts w:hint="eastAsia" w:cs="Times New Roman"/>
                <w:b/>
                <w:bCs/>
                <w:color w:val="auto"/>
                <w:spacing w:val="0"/>
                <w:kern w:val="2"/>
                <w:position w:val="0"/>
                <w:sz w:val="24"/>
                <w:szCs w:val="24"/>
                <w:lang w:val="en-US" w:eastAsia="zh-CN" w:bidi="ar-SA"/>
              </w:rPr>
              <w:t>（3）物料平衡</w:t>
            </w:r>
          </w:p>
          <w:p w14:paraId="41449707">
            <w:pPr>
              <w:adjustRightInd w:val="0"/>
              <w:snapToGrid w:val="0"/>
              <w:spacing w:line="480" w:lineRule="exact"/>
              <w:ind w:firstLine="482" w:firstLineChars="200"/>
              <w:rPr>
                <w:rFonts w:hint="default" w:cs="Times New Roman"/>
                <w:b/>
                <w:bCs/>
                <w:color w:val="auto"/>
                <w:spacing w:val="0"/>
                <w:kern w:val="2"/>
                <w:position w:val="0"/>
                <w:sz w:val="24"/>
                <w:szCs w:val="24"/>
                <w:lang w:val="en-US" w:eastAsia="zh-CN" w:bidi="ar-SA"/>
              </w:rPr>
            </w:pPr>
            <w:r>
              <w:rPr>
                <w:rFonts w:hint="eastAsia" w:cs="Times New Roman"/>
                <w:b/>
                <w:bCs/>
                <w:color w:val="auto"/>
                <w:spacing w:val="0"/>
                <w:kern w:val="2"/>
                <w:position w:val="0"/>
                <w:sz w:val="24"/>
                <w:szCs w:val="24"/>
                <w:lang w:val="en-US" w:eastAsia="zh-CN" w:bidi="ar-SA"/>
              </w:rPr>
              <w:t>1）拆框区、热解区物料平衡</w:t>
            </w:r>
          </w:p>
          <w:p w14:paraId="636EDC3B">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jc w:val="both"/>
              <w:textAlignment w:val="auto"/>
              <w:rPr>
                <w:rFonts w:hint="default" w:ascii="Times New Roman" w:hAnsi="Times New Roman" w:cs="Times New Roman"/>
                <w:b w:val="0"/>
                <w:bCs w:val="0"/>
                <w:color w:val="auto"/>
                <w:spacing w:val="0"/>
                <w:kern w:val="10"/>
                <w:position w:val="0"/>
                <w:sz w:val="24"/>
                <w:lang w:val="en-US" w:eastAsia="zh-CN"/>
              </w:rPr>
            </w:pPr>
            <w:r>
              <w:rPr>
                <w:rFonts w:hint="default" w:ascii="Times New Roman" w:hAnsi="Times New Roman" w:cs="Times New Roman"/>
                <w:b w:val="0"/>
                <w:bCs w:val="0"/>
                <w:color w:val="auto"/>
                <w:spacing w:val="0"/>
                <w:kern w:val="10"/>
                <w:position w:val="0"/>
                <w:sz w:val="24"/>
                <w:lang w:val="en-US" w:eastAsia="zh-CN"/>
              </w:rPr>
              <w:t>项目热解工序主要是去除电池片上的EVA胶膜、背板层PET等有机物，项目热解温度约为380℃左右，在此温度下电池片上的有机物几乎全部热解。根据建设单位工艺研发阶段自行分析，热解产物包括</w:t>
            </w:r>
            <w:r>
              <w:rPr>
                <w:rFonts w:hint="eastAsia" w:ascii="Times New Roman" w:cs="Times New Roman"/>
                <w:b w:val="0"/>
                <w:bCs w:val="0"/>
                <w:color w:val="auto"/>
                <w:spacing w:val="0"/>
                <w:kern w:val="10"/>
                <w:position w:val="0"/>
                <w:sz w:val="24"/>
                <w:lang w:val="en-US" w:eastAsia="zh-CN"/>
              </w:rPr>
              <w:t>：</w:t>
            </w:r>
          </w:p>
          <w:p w14:paraId="66ED727A">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jc w:val="both"/>
              <w:textAlignment w:val="auto"/>
              <w:rPr>
                <w:rFonts w:hint="eastAsia" w:ascii="Times New Roman" w:cs="Times New Roman"/>
                <w:b w:val="0"/>
                <w:bCs w:val="0"/>
                <w:color w:val="auto"/>
                <w:spacing w:val="0"/>
                <w:kern w:val="10"/>
                <w:position w:val="0"/>
                <w:sz w:val="24"/>
                <w:lang w:val="en-US" w:eastAsia="zh-CN"/>
              </w:rPr>
            </w:pPr>
            <w:r>
              <w:rPr>
                <w:rFonts w:hint="default" w:ascii="Times New Roman" w:hAnsi="Times New Roman" w:cs="Times New Roman"/>
                <w:b w:val="0"/>
                <w:bCs w:val="0"/>
                <w:color w:val="auto"/>
                <w:spacing w:val="0"/>
                <w:kern w:val="10"/>
                <w:position w:val="0"/>
                <w:sz w:val="24"/>
                <w:lang w:val="en-US" w:eastAsia="zh-CN"/>
              </w:rPr>
              <w:t>①</w:t>
            </w:r>
            <w:r>
              <w:rPr>
                <w:rFonts w:hint="eastAsia" w:ascii="Times New Roman" w:hAnsi="Times New Roman" w:cs="Times New Roman"/>
                <w:b w:val="0"/>
                <w:bCs w:val="0"/>
                <w:color w:val="auto"/>
                <w:spacing w:val="0"/>
                <w:kern w:val="10"/>
                <w:position w:val="0"/>
                <w:sz w:val="24"/>
                <w:lang w:val="en-US" w:eastAsia="zh-CN"/>
              </w:rPr>
              <w:t>不凝</w:t>
            </w:r>
            <w:r>
              <w:rPr>
                <w:rFonts w:hint="default" w:ascii="Times New Roman" w:hAnsi="Times New Roman" w:cs="Times New Roman"/>
                <w:b w:val="0"/>
                <w:bCs w:val="0"/>
                <w:color w:val="auto"/>
                <w:spacing w:val="0"/>
                <w:kern w:val="10"/>
                <w:position w:val="0"/>
                <w:sz w:val="24"/>
                <w:lang w:val="en-US" w:eastAsia="zh-CN"/>
              </w:rPr>
              <w:t>气体：主要组分为</w:t>
            </w:r>
            <w:r>
              <w:rPr>
                <w:rFonts w:hint="eastAsia" w:ascii="Times New Roman" w:hAnsi="Times New Roman" w:cs="Times New Roman"/>
                <w:b w:val="0"/>
                <w:bCs w:val="0"/>
                <w:color w:val="auto"/>
                <w:spacing w:val="0"/>
                <w:kern w:val="10"/>
                <w:position w:val="0"/>
                <w:sz w:val="24"/>
                <w:lang w:val="en-US" w:eastAsia="zh-CN"/>
              </w:rPr>
              <w:t>二氧化碳及C</w:t>
            </w:r>
            <w:r>
              <w:rPr>
                <w:rFonts w:hint="eastAsia" w:ascii="Times New Roman" w:hAnsi="Times New Roman" w:cs="Times New Roman"/>
                <w:b w:val="0"/>
                <w:bCs w:val="0"/>
                <w:color w:val="auto"/>
                <w:spacing w:val="0"/>
                <w:kern w:val="10"/>
                <w:position w:val="0"/>
                <w:sz w:val="24"/>
                <w:vertAlign w:val="subscript"/>
                <w:lang w:val="en-US" w:eastAsia="zh-CN"/>
              </w:rPr>
              <w:t>1</w:t>
            </w:r>
            <w:r>
              <w:rPr>
                <w:rFonts w:hint="eastAsia" w:ascii="Times New Roman" w:hAnsi="Times New Roman" w:cs="Times New Roman"/>
                <w:b w:val="0"/>
                <w:bCs w:val="0"/>
                <w:color w:val="auto"/>
                <w:spacing w:val="0"/>
                <w:kern w:val="10"/>
                <w:position w:val="0"/>
                <w:sz w:val="24"/>
                <w:lang w:val="en-US" w:eastAsia="zh-CN"/>
              </w:rPr>
              <w:t>~C</w:t>
            </w:r>
            <w:r>
              <w:rPr>
                <w:rFonts w:hint="eastAsia" w:ascii="Times New Roman" w:hAnsi="Times New Roman" w:cs="Times New Roman"/>
                <w:b w:val="0"/>
                <w:bCs w:val="0"/>
                <w:color w:val="auto"/>
                <w:spacing w:val="0"/>
                <w:kern w:val="10"/>
                <w:position w:val="0"/>
                <w:sz w:val="24"/>
                <w:vertAlign w:val="subscript"/>
                <w:lang w:val="en-US" w:eastAsia="zh-CN"/>
              </w:rPr>
              <w:t>5</w:t>
            </w:r>
            <w:r>
              <w:rPr>
                <w:rFonts w:hint="eastAsia" w:ascii="Times New Roman" w:hAnsi="Times New Roman" w:cs="Times New Roman"/>
                <w:b w:val="0"/>
                <w:bCs w:val="0"/>
                <w:color w:val="auto"/>
                <w:spacing w:val="0"/>
                <w:kern w:val="10"/>
                <w:position w:val="0"/>
                <w:sz w:val="24"/>
                <w:lang w:val="en-US" w:eastAsia="zh-CN"/>
              </w:rPr>
              <w:t>以下的可燃气体。</w:t>
            </w:r>
            <w:r>
              <w:rPr>
                <w:rFonts w:hint="default" w:ascii="Times New Roman" w:hAnsi="Times New Roman" w:cs="Times New Roman"/>
                <w:b w:val="0"/>
                <w:bCs w:val="0"/>
                <w:color w:val="auto"/>
                <w:spacing w:val="0"/>
                <w:kern w:val="10"/>
                <w:position w:val="0"/>
                <w:sz w:val="24"/>
                <w:lang w:val="en-US" w:eastAsia="zh-CN"/>
              </w:rPr>
              <w:t>二氧化碳、甲烷、氮气、一氧化碳、乙烷、乙烯、丙烯、丙烷</w:t>
            </w:r>
            <w:r>
              <w:rPr>
                <w:rFonts w:hint="eastAsia" w:ascii="Times New Roman" w:hAnsi="Times New Roman" w:cs="Times New Roman"/>
                <w:b w:val="0"/>
                <w:bCs w:val="0"/>
                <w:color w:val="auto"/>
                <w:spacing w:val="0"/>
                <w:kern w:val="10"/>
                <w:position w:val="0"/>
                <w:sz w:val="24"/>
                <w:lang w:val="en-US" w:eastAsia="zh-CN"/>
              </w:rPr>
              <w:t>等</w:t>
            </w:r>
            <w:r>
              <w:rPr>
                <w:rFonts w:hint="default" w:ascii="Times New Roman" w:hAnsi="Times New Roman" w:cs="Times New Roman"/>
                <w:b w:val="0"/>
                <w:bCs w:val="0"/>
                <w:color w:val="auto"/>
                <w:spacing w:val="0"/>
                <w:kern w:val="10"/>
                <w:position w:val="0"/>
                <w:sz w:val="24"/>
                <w:lang w:val="en-US" w:eastAsia="zh-CN"/>
              </w:rPr>
              <w:t>占总体积的97.5819%，其余少量组分为烯烃、烷烃、炔烃、氟化物等。</w:t>
            </w:r>
            <w:r>
              <w:rPr>
                <w:rFonts w:hint="eastAsia" w:ascii="Times New Roman" w:hAnsi="Times New Roman" w:cs="Times New Roman"/>
                <w:b w:val="0"/>
                <w:bCs w:val="0"/>
                <w:color w:val="auto"/>
                <w:spacing w:val="0"/>
                <w:kern w:val="10"/>
                <w:position w:val="0"/>
                <w:sz w:val="24"/>
                <w:lang w:val="en-US" w:eastAsia="zh-CN"/>
              </w:rPr>
              <w:t>不凝气</w:t>
            </w:r>
            <w:r>
              <w:rPr>
                <w:rFonts w:hint="default" w:ascii="Times New Roman" w:hAnsi="Times New Roman" w:cs="Times New Roman"/>
                <w:b w:val="0"/>
                <w:bCs w:val="0"/>
                <w:color w:val="auto"/>
                <w:spacing w:val="0"/>
                <w:kern w:val="10"/>
                <w:position w:val="0"/>
                <w:sz w:val="24"/>
                <w:lang w:val="en-US" w:eastAsia="zh-CN"/>
              </w:rPr>
              <w:t>密度约为1.022kg/m²，产生量约占可热解物料量的15%</w:t>
            </w:r>
            <w:r>
              <w:rPr>
                <w:rFonts w:hint="eastAsia" w:ascii="Times New Roman" w:cs="Times New Roman"/>
                <w:b w:val="0"/>
                <w:bCs w:val="0"/>
                <w:color w:val="auto"/>
                <w:spacing w:val="0"/>
                <w:kern w:val="10"/>
                <w:position w:val="0"/>
                <w:sz w:val="24"/>
                <w:lang w:val="en-US" w:eastAsia="zh-CN"/>
              </w:rPr>
              <w:t>；</w:t>
            </w:r>
          </w:p>
          <w:p w14:paraId="5F782CF4">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jc w:val="both"/>
              <w:textAlignment w:val="auto"/>
              <w:rPr>
                <w:rFonts w:hint="default" w:ascii="Times New Roman" w:hAnsi="Times New Roman" w:cs="Times New Roman"/>
                <w:b w:val="0"/>
                <w:bCs w:val="0"/>
                <w:color w:val="auto"/>
                <w:spacing w:val="0"/>
                <w:kern w:val="10"/>
                <w:position w:val="0"/>
                <w:sz w:val="24"/>
                <w:lang w:val="en-US" w:eastAsia="zh-CN"/>
              </w:rPr>
            </w:pPr>
            <w:r>
              <w:rPr>
                <w:rFonts w:hint="default" w:ascii="Times New Roman" w:hAnsi="Times New Roman" w:cs="Times New Roman"/>
                <w:b w:val="0"/>
                <w:bCs w:val="0"/>
                <w:color w:val="auto"/>
                <w:spacing w:val="0"/>
                <w:kern w:val="10"/>
                <w:position w:val="0"/>
                <w:sz w:val="24"/>
                <w:lang w:val="en-US" w:eastAsia="zh-CN"/>
              </w:rPr>
              <w:t>②液体：可以被冷凝成热解油的气体，主要成分是C</w:t>
            </w:r>
            <w:r>
              <w:rPr>
                <w:rFonts w:hint="eastAsia" w:ascii="Times New Roman" w:hAnsi="Times New Roman" w:cs="Times New Roman"/>
                <w:b w:val="0"/>
                <w:bCs w:val="0"/>
                <w:color w:val="auto"/>
                <w:spacing w:val="0"/>
                <w:kern w:val="10"/>
                <w:position w:val="0"/>
                <w:sz w:val="24"/>
                <w:vertAlign w:val="subscript"/>
                <w:lang w:val="en-US" w:eastAsia="zh-CN"/>
              </w:rPr>
              <w:t>6</w:t>
            </w:r>
            <w:r>
              <w:rPr>
                <w:rFonts w:hint="eastAsia" w:ascii="Times New Roman" w:hAnsi="Times New Roman" w:cs="Times New Roman"/>
                <w:b w:val="0"/>
                <w:bCs w:val="0"/>
                <w:color w:val="auto"/>
                <w:spacing w:val="0"/>
                <w:kern w:val="10"/>
                <w:position w:val="0"/>
                <w:sz w:val="24"/>
                <w:lang w:val="en-US" w:eastAsia="zh-CN"/>
              </w:rPr>
              <w:t>~</w:t>
            </w:r>
            <w:r>
              <w:rPr>
                <w:rFonts w:hint="default" w:ascii="Times New Roman" w:hAnsi="Times New Roman" w:cs="Times New Roman"/>
                <w:b w:val="0"/>
                <w:bCs w:val="0"/>
                <w:color w:val="auto"/>
                <w:spacing w:val="0"/>
                <w:kern w:val="10"/>
                <w:position w:val="0"/>
                <w:sz w:val="24"/>
                <w:lang w:val="en-US" w:eastAsia="zh-CN"/>
              </w:rPr>
              <w:t>C</w:t>
            </w:r>
            <w:r>
              <w:rPr>
                <w:rFonts w:hint="default" w:ascii="Times New Roman" w:hAnsi="Times New Roman" w:cs="Times New Roman"/>
                <w:b w:val="0"/>
                <w:bCs w:val="0"/>
                <w:color w:val="auto"/>
                <w:spacing w:val="0"/>
                <w:kern w:val="10"/>
                <w:position w:val="0"/>
                <w:sz w:val="24"/>
                <w:vertAlign w:val="subscript"/>
                <w:lang w:val="en-US" w:eastAsia="zh-CN"/>
              </w:rPr>
              <w:t>18</w:t>
            </w:r>
            <w:r>
              <w:rPr>
                <w:rFonts w:hint="default" w:ascii="Times New Roman" w:hAnsi="Times New Roman" w:cs="Times New Roman"/>
                <w:b w:val="0"/>
                <w:bCs w:val="0"/>
                <w:color w:val="auto"/>
                <w:spacing w:val="0"/>
                <w:kern w:val="10"/>
                <w:position w:val="0"/>
                <w:sz w:val="24"/>
                <w:lang w:val="en-US" w:eastAsia="zh-CN"/>
              </w:rPr>
              <w:t>的有机物</w:t>
            </w:r>
            <w:r>
              <w:rPr>
                <w:rFonts w:hint="eastAsia" w:ascii="Times New Roman" w:hAnsi="Times New Roman" w:cs="Times New Roman"/>
                <w:b w:val="0"/>
                <w:bCs w:val="0"/>
                <w:color w:val="auto"/>
                <w:spacing w:val="0"/>
                <w:kern w:val="10"/>
                <w:position w:val="0"/>
                <w:sz w:val="24"/>
                <w:lang w:val="en-US" w:eastAsia="zh-CN"/>
              </w:rPr>
              <w:t>，</w:t>
            </w:r>
            <w:r>
              <w:rPr>
                <w:rFonts w:hint="default" w:ascii="Times New Roman" w:hAnsi="Times New Roman" w:cs="Times New Roman"/>
                <w:b w:val="0"/>
                <w:bCs w:val="0"/>
                <w:color w:val="auto"/>
                <w:spacing w:val="0"/>
                <w:kern w:val="10"/>
                <w:position w:val="0"/>
                <w:sz w:val="24"/>
                <w:lang w:val="en-US" w:eastAsia="zh-CN"/>
              </w:rPr>
              <w:t>精加工后可制成溶剂油、热解油或汽柴油调配油，大约占比为75%</w:t>
            </w:r>
            <w:r>
              <w:rPr>
                <w:rFonts w:hint="eastAsia" w:ascii="Times New Roman" w:cs="Times New Roman"/>
                <w:b w:val="0"/>
                <w:bCs w:val="0"/>
                <w:color w:val="auto"/>
                <w:spacing w:val="0"/>
                <w:kern w:val="10"/>
                <w:position w:val="0"/>
                <w:sz w:val="24"/>
                <w:lang w:val="en-US" w:eastAsia="zh-CN"/>
              </w:rPr>
              <w:t>；</w:t>
            </w:r>
            <w:r>
              <w:rPr>
                <w:rFonts w:hint="default" w:ascii="Times New Roman" w:hAnsi="Times New Roman" w:cs="Times New Roman"/>
                <w:b w:val="0"/>
                <w:bCs w:val="0"/>
                <w:color w:val="auto"/>
                <w:spacing w:val="0"/>
                <w:kern w:val="10"/>
                <w:position w:val="0"/>
                <w:sz w:val="24"/>
                <w:lang w:val="en-US" w:eastAsia="zh-CN"/>
              </w:rPr>
              <w:t>③固体：热解后产生的残渣，主要成分为炭黑，大约占比10%。</w:t>
            </w:r>
          </w:p>
          <w:p w14:paraId="6082BE29">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default" w:ascii="Times New Roman" w:hAnsi="Times New Roman" w:cs="Times New Roman"/>
                <w:b/>
                <w:bCs/>
                <w:color w:val="auto"/>
                <w:spacing w:val="0"/>
                <w:position w:val="0"/>
                <w:sz w:val="21"/>
                <w:szCs w:val="21"/>
                <w:lang w:val="en-US" w:eastAsia="zh-CN"/>
              </w:rPr>
            </w:pPr>
            <w:r>
              <w:rPr>
                <w:rFonts w:hint="eastAsia" w:ascii="Times New Roman" w:cs="Times New Roman"/>
                <w:b/>
                <w:bCs/>
                <w:color w:val="auto"/>
                <w:spacing w:val="0"/>
                <w:position w:val="0"/>
                <w:sz w:val="21"/>
                <w:szCs w:val="21"/>
                <w:lang w:val="en-US" w:eastAsia="zh-CN"/>
              </w:rPr>
              <w:t>表2-8  拆框区、热解区物料平衡表</w:t>
            </w:r>
          </w:p>
          <w:tbl>
            <w:tblPr>
              <w:tblStyle w:val="26"/>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502"/>
              <w:gridCol w:w="1234"/>
              <w:gridCol w:w="788"/>
              <w:gridCol w:w="1205"/>
              <w:gridCol w:w="786"/>
              <w:gridCol w:w="1796"/>
              <w:gridCol w:w="1048"/>
            </w:tblGrid>
            <w:tr w14:paraId="43A86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213" w:hRule="atLeast"/>
                <w:jc w:val="center"/>
              </w:trPr>
              <w:tc>
                <w:tcPr>
                  <w:tcW w:w="2736" w:type="dxa"/>
                  <w:gridSpan w:val="2"/>
                  <w:tcBorders>
                    <w:tl2br w:val="nil"/>
                    <w:tr2bl w:val="nil"/>
                  </w:tcBorders>
                  <w:shd w:val="clear" w:color="auto" w:fill="auto"/>
                  <w:vAlign w:val="center"/>
                </w:tcPr>
                <w:p w14:paraId="1F01833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投入</w:t>
                  </w:r>
                </w:p>
              </w:tc>
              <w:tc>
                <w:tcPr>
                  <w:tcW w:w="5623" w:type="dxa"/>
                  <w:gridSpan w:val="5"/>
                  <w:tcBorders>
                    <w:tl2br w:val="nil"/>
                    <w:tr2bl w:val="nil"/>
                  </w:tcBorders>
                  <w:shd w:val="clear" w:color="auto" w:fill="auto"/>
                  <w:vAlign w:val="center"/>
                </w:tcPr>
                <w:p w14:paraId="1EC6A5D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产出</w:t>
                  </w:r>
                </w:p>
              </w:tc>
            </w:tr>
            <w:tr w14:paraId="44412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0C5F81F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物料名称</w:t>
                  </w:r>
                </w:p>
              </w:tc>
              <w:tc>
                <w:tcPr>
                  <w:tcW w:w="1234" w:type="dxa"/>
                  <w:tcBorders>
                    <w:tl2br w:val="nil"/>
                    <w:tr2bl w:val="nil"/>
                  </w:tcBorders>
                  <w:shd w:val="clear" w:color="auto" w:fill="auto"/>
                  <w:vAlign w:val="center"/>
                </w:tcPr>
                <w:p w14:paraId="5E759A5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c>
                <w:tcPr>
                  <w:tcW w:w="1993" w:type="dxa"/>
                  <w:gridSpan w:val="2"/>
                  <w:tcBorders>
                    <w:tl2br w:val="nil"/>
                    <w:tr2bl w:val="nil"/>
                  </w:tcBorders>
                  <w:shd w:val="clear" w:color="auto" w:fill="auto"/>
                  <w:vAlign w:val="center"/>
                </w:tcPr>
                <w:p w14:paraId="30BB173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物料名称</w:t>
                  </w:r>
                </w:p>
              </w:tc>
              <w:tc>
                <w:tcPr>
                  <w:tcW w:w="3630" w:type="dxa"/>
                  <w:gridSpan w:val="3"/>
                  <w:tcBorders>
                    <w:tl2br w:val="nil"/>
                    <w:tr2bl w:val="nil"/>
                  </w:tcBorders>
                  <w:shd w:val="clear" w:color="auto" w:fill="auto"/>
                  <w:vAlign w:val="center"/>
                </w:tcPr>
                <w:p w14:paraId="0C5541B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r>
            <w:tr w14:paraId="54836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 w:hRule="atLeast"/>
                <w:jc w:val="center"/>
              </w:trPr>
              <w:tc>
                <w:tcPr>
                  <w:tcW w:w="2736" w:type="dxa"/>
                  <w:gridSpan w:val="2"/>
                  <w:tcBorders>
                    <w:tl2br w:val="nil"/>
                    <w:tr2bl w:val="nil"/>
                  </w:tcBorders>
                  <w:shd w:val="clear" w:color="auto" w:fill="auto"/>
                  <w:vAlign w:val="center"/>
                </w:tcPr>
                <w:p w14:paraId="7C0C98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废旧光伏组件</w:t>
                  </w:r>
                </w:p>
              </w:tc>
              <w:tc>
                <w:tcPr>
                  <w:tcW w:w="1993" w:type="dxa"/>
                  <w:gridSpan w:val="2"/>
                  <w:tcBorders>
                    <w:tl2br w:val="nil"/>
                    <w:tr2bl w:val="nil"/>
                  </w:tcBorders>
                  <w:shd w:val="clear" w:color="auto" w:fill="auto"/>
                  <w:vAlign w:val="center"/>
                </w:tcPr>
                <w:p w14:paraId="7A74299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3630" w:type="dxa"/>
                  <w:gridSpan w:val="3"/>
                  <w:tcBorders>
                    <w:tl2br w:val="nil"/>
                    <w:tr2bl w:val="nil"/>
                  </w:tcBorders>
                  <w:shd w:val="clear" w:color="auto" w:fill="auto"/>
                  <w:vAlign w:val="center"/>
                </w:tcPr>
                <w:p w14:paraId="363DB5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23730</w:t>
                  </w:r>
                </w:p>
              </w:tc>
            </w:tr>
            <w:tr w14:paraId="3479E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0AC3B0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单玻光伏板</w:t>
                  </w:r>
                </w:p>
              </w:tc>
              <w:tc>
                <w:tcPr>
                  <w:tcW w:w="1234" w:type="dxa"/>
                  <w:tcBorders>
                    <w:tl2br w:val="nil"/>
                    <w:tr2bl w:val="nil"/>
                  </w:tcBorders>
                  <w:shd w:val="clear" w:color="auto" w:fill="auto"/>
                  <w:vAlign w:val="center"/>
                </w:tcPr>
                <w:p w14:paraId="4FD42E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9000</w:t>
                  </w:r>
                </w:p>
              </w:tc>
              <w:tc>
                <w:tcPr>
                  <w:tcW w:w="1993" w:type="dxa"/>
                  <w:gridSpan w:val="2"/>
                  <w:tcBorders>
                    <w:tl2br w:val="nil"/>
                    <w:tr2bl w:val="nil"/>
                  </w:tcBorders>
                  <w:shd w:val="clear" w:color="auto" w:fill="auto"/>
                  <w:vAlign w:val="center"/>
                </w:tcPr>
                <w:p w14:paraId="2A53ED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铝合金边框</w:t>
                  </w:r>
                </w:p>
              </w:tc>
              <w:tc>
                <w:tcPr>
                  <w:tcW w:w="3630" w:type="dxa"/>
                  <w:gridSpan w:val="3"/>
                  <w:tcBorders>
                    <w:tl2br w:val="nil"/>
                    <w:tr2bl w:val="nil"/>
                  </w:tcBorders>
                  <w:shd w:val="clear" w:color="auto" w:fill="auto"/>
                  <w:vAlign w:val="center"/>
                </w:tcPr>
                <w:p w14:paraId="56C900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3195</w:t>
                  </w:r>
                </w:p>
              </w:tc>
            </w:tr>
            <w:tr w14:paraId="5D1BD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26F2EF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双玻光伏板</w:t>
                  </w:r>
                </w:p>
              </w:tc>
              <w:tc>
                <w:tcPr>
                  <w:tcW w:w="1234" w:type="dxa"/>
                  <w:tcBorders>
                    <w:tl2br w:val="nil"/>
                    <w:tr2bl w:val="nil"/>
                  </w:tcBorders>
                  <w:shd w:val="clear" w:color="auto" w:fill="auto"/>
                  <w:vAlign w:val="center"/>
                </w:tcPr>
                <w:p w14:paraId="51F6B4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21000</w:t>
                  </w:r>
                </w:p>
              </w:tc>
              <w:tc>
                <w:tcPr>
                  <w:tcW w:w="1993" w:type="dxa"/>
                  <w:gridSpan w:val="2"/>
                  <w:tcBorders>
                    <w:tl2br w:val="nil"/>
                    <w:tr2bl w:val="nil"/>
                  </w:tcBorders>
                  <w:shd w:val="clear" w:color="auto" w:fill="auto"/>
                  <w:vAlign w:val="center"/>
                </w:tcPr>
                <w:p w14:paraId="7CD85CA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硅片</w:t>
                  </w:r>
                </w:p>
              </w:tc>
              <w:tc>
                <w:tcPr>
                  <w:tcW w:w="3630" w:type="dxa"/>
                  <w:gridSpan w:val="3"/>
                  <w:tcBorders>
                    <w:tl2br w:val="nil"/>
                    <w:tr2bl w:val="nil"/>
                  </w:tcBorders>
                  <w:shd w:val="clear" w:color="auto" w:fill="auto"/>
                  <w:vAlign w:val="center"/>
                </w:tcPr>
                <w:p w14:paraId="039F67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1095</w:t>
                  </w:r>
                </w:p>
              </w:tc>
            </w:tr>
            <w:tr w14:paraId="36F22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79DCE8C7">
                  <w:pPr>
                    <w:jc w:val="center"/>
                    <w:rPr>
                      <w:rFonts w:hint="default" w:ascii="Times New Roman" w:hAnsi="Times New Roman" w:eastAsia="宋体" w:cs="Times New Roman"/>
                      <w:i w:val="0"/>
                      <w:iCs w:val="0"/>
                      <w:color w:val="000000"/>
                      <w:sz w:val="21"/>
                      <w:szCs w:val="21"/>
                      <w:u w:val="none"/>
                    </w:rPr>
                  </w:pPr>
                </w:p>
              </w:tc>
              <w:tc>
                <w:tcPr>
                  <w:tcW w:w="1234" w:type="dxa"/>
                  <w:tcBorders>
                    <w:tl2br w:val="nil"/>
                    <w:tr2bl w:val="nil"/>
                  </w:tcBorders>
                  <w:shd w:val="clear" w:color="auto" w:fill="auto"/>
                  <w:vAlign w:val="center"/>
                </w:tcPr>
                <w:p w14:paraId="1EDBAA10">
                  <w:pPr>
                    <w:jc w:val="center"/>
                    <w:rPr>
                      <w:rFonts w:hint="default" w:ascii="Times New Roman" w:hAnsi="Times New Roman" w:eastAsia="宋体" w:cs="Times New Roman"/>
                      <w:i w:val="0"/>
                      <w:iCs w:val="0"/>
                      <w:color w:val="000000"/>
                      <w:sz w:val="21"/>
                      <w:szCs w:val="21"/>
                      <w:u w:val="none"/>
                    </w:rPr>
                  </w:pPr>
                </w:p>
              </w:tc>
              <w:tc>
                <w:tcPr>
                  <w:tcW w:w="1993" w:type="dxa"/>
                  <w:gridSpan w:val="2"/>
                  <w:vMerge w:val="restart"/>
                  <w:tcBorders>
                    <w:tl2br w:val="nil"/>
                    <w:tr2bl w:val="nil"/>
                  </w:tcBorders>
                  <w:shd w:val="clear" w:color="auto" w:fill="auto"/>
                  <w:vAlign w:val="center"/>
                </w:tcPr>
                <w:p w14:paraId="5E94F48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接线盒</w:t>
                  </w:r>
                </w:p>
              </w:tc>
              <w:tc>
                <w:tcPr>
                  <w:tcW w:w="786" w:type="dxa"/>
                  <w:vMerge w:val="restart"/>
                  <w:tcBorders>
                    <w:tl2br w:val="nil"/>
                    <w:tr2bl w:val="nil"/>
                  </w:tcBorders>
                  <w:shd w:val="clear" w:color="auto" w:fill="auto"/>
                  <w:vAlign w:val="center"/>
                </w:tcPr>
                <w:p w14:paraId="6DA9D7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195</w:t>
                  </w:r>
                </w:p>
              </w:tc>
              <w:tc>
                <w:tcPr>
                  <w:tcW w:w="1796" w:type="dxa"/>
                  <w:tcBorders>
                    <w:tl2br w:val="nil"/>
                    <w:tr2bl w:val="nil"/>
                  </w:tcBorders>
                  <w:shd w:val="clear" w:color="auto" w:fill="auto"/>
                  <w:vAlign w:val="center"/>
                </w:tcPr>
                <w:p w14:paraId="54EA75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w:t>
                  </w:r>
                </w:p>
              </w:tc>
              <w:tc>
                <w:tcPr>
                  <w:tcW w:w="1048" w:type="dxa"/>
                  <w:tcBorders>
                    <w:tl2br w:val="nil"/>
                    <w:tr2bl w:val="nil"/>
                  </w:tcBorders>
                  <w:shd w:val="clear" w:color="auto" w:fill="auto"/>
                  <w:vAlign w:val="center"/>
                </w:tcPr>
                <w:p w14:paraId="24524D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117.556 </w:t>
                  </w:r>
                </w:p>
              </w:tc>
            </w:tr>
            <w:tr w14:paraId="6D0C7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04907D90">
                  <w:pPr>
                    <w:jc w:val="center"/>
                    <w:rPr>
                      <w:rFonts w:hint="default" w:ascii="Times New Roman" w:hAnsi="Times New Roman" w:eastAsia="宋体" w:cs="Times New Roman"/>
                      <w:i w:val="0"/>
                      <w:iCs w:val="0"/>
                      <w:color w:val="000000"/>
                      <w:sz w:val="21"/>
                      <w:szCs w:val="21"/>
                      <w:u w:val="none"/>
                    </w:rPr>
                  </w:pPr>
                </w:p>
              </w:tc>
              <w:tc>
                <w:tcPr>
                  <w:tcW w:w="1234" w:type="dxa"/>
                  <w:tcBorders>
                    <w:tl2br w:val="nil"/>
                    <w:tr2bl w:val="nil"/>
                  </w:tcBorders>
                  <w:shd w:val="clear" w:color="auto" w:fill="auto"/>
                  <w:vAlign w:val="center"/>
                </w:tcPr>
                <w:p w14:paraId="50DBCD4D">
                  <w:pPr>
                    <w:jc w:val="center"/>
                    <w:rPr>
                      <w:rFonts w:hint="default" w:ascii="Times New Roman" w:hAnsi="Times New Roman" w:eastAsia="宋体" w:cs="Times New Roman"/>
                      <w:i w:val="0"/>
                      <w:iCs w:val="0"/>
                      <w:color w:val="000000"/>
                      <w:sz w:val="21"/>
                      <w:szCs w:val="21"/>
                      <w:u w:val="none"/>
                    </w:rPr>
                  </w:pPr>
                </w:p>
              </w:tc>
              <w:tc>
                <w:tcPr>
                  <w:tcW w:w="1993" w:type="dxa"/>
                  <w:gridSpan w:val="2"/>
                  <w:vMerge w:val="continue"/>
                  <w:tcBorders>
                    <w:tl2br w:val="nil"/>
                    <w:tr2bl w:val="nil"/>
                  </w:tcBorders>
                  <w:shd w:val="clear" w:color="auto" w:fill="auto"/>
                  <w:vAlign w:val="center"/>
                </w:tcPr>
                <w:p w14:paraId="6F61C862">
                  <w:pPr>
                    <w:jc w:val="center"/>
                    <w:rPr>
                      <w:rFonts w:hint="eastAsia" w:ascii="宋体" w:hAnsi="宋体" w:eastAsia="宋体" w:cs="宋体"/>
                      <w:b/>
                      <w:bCs/>
                      <w:i w:val="0"/>
                      <w:iCs w:val="0"/>
                      <w:color w:val="000000"/>
                      <w:sz w:val="21"/>
                      <w:szCs w:val="21"/>
                      <w:u w:val="none"/>
                    </w:rPr>
                  </w:pPr>
                </w:p>
              </w:tc>
              <w:tc>
                <w:tcPr>
                  <w:tcW w:w="786" w:type="dxa"/>
                  <w:vMerge w:val="continue"/>
                  <w:tcBorders>
                    <w:tl2br w:val="nil"/>
                    <w:tr2bl w:val="nil"/>
                  </w:tcBorders>
                  <w:shd w:val="clear" w:color="auto" w:fill="auto"/>
                  <w:vAlign w:val="center"/>
                </w:tcPr>
                <w:p w14:paraId="316E8886">
                  <w:pPr>
                    <w:jc w:val="center"/>
                    <w:rPr>
                      <w:rFonts w:hint="default" w:ascii="Times New Roman" w:hAnsi="Times New Roman" w:eastAsia="宋体" w:cs="Times New Roman"/>
                      <w:i w:val="0"/>
                      <w:iCs w:val="0"/>
                      <w:color w:val="000000"/>
                      <w:sz w:val="21"/>
                      <w:szCs w:val="21"/>
                      <w:u w:val="none"/>
                    </w:rPr>
                  </w:pPr>
                </w:p>
              </w:tc>
              <w:tc>
                <w:tcPr>
                  <w:tcW w:w="1796" w:type="dxa"/>
                  <w:tcBorders>
                    <w:tl2br w:val="nil"/>
                    <w:tr2bl w:val="nil"/>
                  </w:tcBorders>
                  <w:shd w:val="clear" w:color="auto" w:fill="auto"/>
                  <w:vAlign w:val="center"/>
                </w:tcPr>
                <w:p w14:paraId="5B309B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铜丝</w:t>
                  </w:r>
                </w:p>
              </w:tc>
              <w:tc>
                <w:tcPr>
                  <w:tcW w:w="1048" w:type="dxa"/>
                  <w:tcBorders>
                    <w:tl2br w:val="nil"/>
                    <w:tr2bl w:val="nil"/>
                  </w:tcBorders>
                  <w:shd w:val="clear" w:color="auto" w:fill="auto"/>
                  <w:vAlign w:val="center"/>
                </w:tcPr>
                <w:p w14:paraId="787499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77.400 </w:t>
                  </w:r>
                </w:p>
              </w:tc>
            </w:tr>
            <w:tr w14:paraId="34ED2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3788A497">
                  <w:pPr>
                    <w:jc w:val="center"/>
                    <w:rPr>
                      <w:rFonts w:hint="default" w:ascii="Times New Roman" w:hAnsi="Times New Roman" w:eastAsia="宋体" w:cs="Times New Roman"/>
                      <w:i w:val="0"/>
                      <w:iCs w:val="0"/>
                      <w:color w:val="000000"/>
                      <w:sz w:val="21"/>
                      <w:szCs w:val="21"/>
                      <w:u w:val="none"/>
                    </w:rPr>
                  </w:pPr>
                </w:p>
              </w:tc>
              <w:tc>
                <w:tcPr>
                  <w:tcW w:w="1234" w:type="dxa"/>
                  <w:tcBorders>
                    <w:tl2br w:val="nil"/>
                    <w:tr2bl w:val="nil"/>
                  </w:tcBorders>
                  <w:shd w:val="clear" w:color="auto" w:fill="auto"/>
                  <w:vAlign w:val="center"/>
                </w:tcPr>
                <w:p w14:paraId="24E94EC8">
                  <w:pPr>
                    <w:jc w:val="center"/>
                    <w:rPr>
                      <w:rFonts w:hint="default" w:ascii="Times New Roman" w:hAnsi="Times New Roman" w:eastAsia="宋体" w:cs="Times New Roman"/>
                      <w:i w:val="0"/>
                      <w:iCs w:val="0"/>
                      <w:color w:val="000000"/>
                      <w:sz w:val="21"/>
                      <w:szCs w:val="21"/>
                      <w:u w:val="none"/>
                    </w:rPr>
                  </w:pPr>
                </w:p>
              </w:tc>
              <w:tc>
                <w:tcPr>
                  <w:tcW w:w="1993" w:type="dxa"/>
                  <w:gridSpan w:val="2"/>
                  <w:vMerge w:val="continue"/>
                  <w:tcBorders>
                    <w:tl2br w:val="nil"/>
                    <w:tr2bl w:val="nil"/>
                  </w:tcBorders>
                  <w:shd w:val="clear" w:color="auto" w:fill="auto"/>
                  <w:vAlign w:val="center"/>
                </w:tcPr>
                <w:p w14:paraId="50C2FD39">
                  <w:pPr>
                    <w:jc w:val="center"/>
                    <w:rPr>
                      <w:rFonts w:hint="eastAsia" w:ascii="宋体" w:hAnsi="宋体" w:eastAsia="宋体" w:cs="宋体"/>
                      <w:b/>
                      <w:bCs/>
                      <w:i w:val="0"/>
                      <w:iCs w:val="0"/>
                      <w:color w:val="000000"/>
                      <w:sz w:val="21"/>
                      <w:szCs w:val="21"/>
                      <w:u w:val="none"/>
                    </w:rPr>
                  </w:pPr>
                </w:p>
              </w:tc>
              <w:tc>
                <w:tcPr>
                  <w:tcW w:w="786" w:type="dxa"/>
                  <w:vMerge w:val="continue"/>
                  <w:tcBorders>
                    <w:tl2br w:val="nil"/>
                    <w:tr2bl w:val="nil"/>
                  </w:tcBorders>
                  <w:shd w:val="clear" w:color="auto" w:fill="auto"/>
                  <w:vAlign w:val="center"/>
                </w:tcPr>
                <w:p w14:paraId="64161771">
                  <w:pPr>
                    <w:jc w:val="center"/>
                    <w:rPr>
                      <w:rFonts w:hint="default" w:ascii="Times New Roman" w:hAnsi="Times New Roman" w:eastAsia="宋体" w:cs="Times New Roman"/>
                      <w:i w:val="0"/>
                      <w:iCs w:val="0"/>
                      <w:color w:val="000000"/>
                      <w:sz w:val="21"/>
                      <w:szCs w:val="21"/>
                      <w:u w:val="none"/>
                    </w:rPr>
                  </w:pPr>
                </w:p>
              </w:tc>
              <w:tc>
                <w:tcPr>
                  <w:tcW w:w="1796" w:type="dxa"/>
                  <w:tcBorders>
                    <w:tl2br w:val="nil"/>
                    <w:tr2bl w:val="nil"/>
                  </w:tcBorders>
                  <w:shd w:val="clear" w:color="auto" w:fill="auto"/>
                  <w:vAlign w:val="center"/>
                </w:tcPr>
                <w:p w14:paraId="0A60A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分选粉尘</w:t>
                  </w:r>
                  <w:r>
                    <w:rPr>
                      <w:rFonts w:hint="default" w:ascii="Times New Roman" w:hAnsi="Times New Roman" w:eastAsia="宋体" w:cs="Times New Roman"/>
                      <w:i w:val="0"/>
                      <w:iCs w:val="0"/>
                      <w:color w:val="000000"/>
                      <w:kern w:val="0"/>
                      <w:sz w:val="21"/>
                      <w:szCs w:val="21"/>
                      <w:u w:val="none"/>
                      <w:lang w:val="en-US" w:eastAsia="zh-CN" w:bidi="ar"/>
                    </w:rPr>
                    <w:t>G1-1</w:t>
                  </w:r>
                </w:p>
              </w:tc>
              <w:tc>
                <w:tcPr>
                  <w:tcW w:w="1048" w:type="dxa"/>
                  <w:tcBorders>
                    <w:tl2br w:val="nil"/>
                    <w:tr2bl w:val="nil"/>
                  </w:tcBorders>
                  <w:shd w:val="clear" w:color="auto" w:fill="auto"/>
                  <w:vAlign w:val="center"/>
                </w:tcPr>
                <w:p w14:paraId="2E2E1A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0.044 </w:t>
                  </w:r>
                </w:p>
              </w:tc>
            </w:tr>
            <w:tr w14:paraId="74A8E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01055683">
                  <w:pPr>
                    <w:jc w:val="center"/>
                    <w:rPr>
                      <w:rFonts w:hint="default" w:ascii="Times New Roman" w:hAnsi="Times New Roman" w:eastAsia="宋体" w:cs="Times New Roman"/>
                      <w:i w:val="0"/>
                      <w:iCs w:val="0"/>
                      <w:color w:val="000000"/>
                      <w:sz w:val="21"/>
                      <w:szCs w:val="21"/>
                      <w:u w:val="none"/>
                    </w:rPr>
                  </w:pPr>
                </w:p>
              </w:tc>
              <w:tc>
                <w:tcPr>
                  <w:tcW w:w="1234" w:type="dxa"/>
                  <w:tcBorders>
                    <w:tl2br w:val="nil"/>
                    <w:tr2bl w:val="nil"/>
                  </w:tcBorders>
                  <w:shd w:val="clear" w:color="auto" w:fill="auto"/>
                  <w:vAlign w:val="center"/>
                </w:tcPr>
                <w:p w14:paraId="69FE8D8B">
                  <w:pPr>
                    <w:jc w:val="center"/>
                    <w:rPr>
                      <w:rFonts w:hint="default" w:ascii="Times New Roman" w:hAnsi="Times New Roman" w:eastAsia="宋体" w:cs="Times New Roman"/>
                      <w:i w:val="0"/>
                      <w:iCs w:val="0"/>
                      <w:color w:val="000000"/>
                      <w:sz w:val="21"/>
                      <w:szCs w:val="21"/>
                      <w:u w:val="none"/>
                    </w:rPr>
                  </w:pPr>
                </w:p>
              </w:tc>
              <w:tc>
                <w:tcPr>
                  <w:tcW w:w="1993" w:type="dxa"/>
                  <w:gridSpan w:val="2"/>
                  <w:tcBorders>
                    <w:tl2br w:val="nil"/>
                    <w:tr2bl w:val="nil"/>
                  </w:tcBorders>
                  <w:shd w:val="clear" w:color="auto" w:fill="auto"/>
                  <w:vAlign w:val="center"/>
                </w:tcPr>
                <w:p w14:paraId="74C354B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焊带</w:t>
                  </w:r>
                </w:p>
              </w:tc>
              <w:tc>
                <w:tcPr>
                  <w:tcW w:w="3630" w:type="dxa"/>
                  <w:gridSpan w:val="3"/>
                  <w:tcBorders>
                    <w:tl2br w:val="nil"/>
                    <w:tr2bl w:val="nil"/>
                  </w:tcBorders>
                  <w:shd w:val="clear" w:color="auto" w:fill="auto"/>
                  <w:vAlign w:val="center"/>
                </w:tcPr>
                <w:p w14:paraId="4934D9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168</w:t>
                  </w:r>
                </w:p>
              </w:tc>
            </w:tr>
            <w:tr w14:paraId="37D3F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6913452A">
                  <w:pPr>
                    <w:jc w:val="center"/>
                    <w:rPr>
                      <w:rFonts w:hint="default" w:ascii="Times New Roman" w:hAnsi="Times New Roman" w:eastAsia="宋体" w:cs="Times New Roman"/>
                      <w:i w:val="0"/>
                      <w:iCs w:val="0"/>
                      <w:color w:val="000000"/>
                      <w:sz w:val="21"/>
                      <w:szCs w:val="21"/>
                      <w:u w:val="none"/>
                    </w:rPr>
                  </w:pPr>
                </w:p>
              </w:tc>
              <w:tc>
                <w:tcPr>
                  <w:tcW w:w="1234" w:type="dxa"/>
                  <w:tcBorders>
                    <w:tl2br w:val="nil"/>
                    <w:tr2bl w:val="nil"/>
                  </w:tcBorders>
                  <w:shd w:val="clear" w:color="auto" w:fill="auto"/>
                  <w:vAlign w:val="center"/>
                </w:tcPr>
                <w:p w14:paraId="1A3942CC">
                  <w:pPr>
                    <w:jc w:val="center"/>
                    <w:rPr>
                      <w:rFonts w:hint="default" w:ascii="Times New Roman" w:hAnsi="Times New Roman" w:eastAsia="宋体" w:cs="Times New Roman"/>
                      <w:i w:val="0"/>
                      <w:iCs w:val="0"/>
                      <w:color w:val="000000"/>
                      <w:sz w:val="21"/>
                      <w:szCs w:val="21"/>
                      <w:u w:val="none"/>
                    </w:rPr>
                  </w:pPr>
                </w:p>
              </w:tc>
              <w:tc>
                <w:tcPr>
                  <w:tcW w:w="788" w:type="dxa"/>
                  <w:vMerge w:val="restart"/>
                  <w:tcBorders>
                    <w:tl2br w:val="nil"/>
                    <w:tr2bl w:val="nil"/>
                  </w:tcBorders>
                  <w:shd w:val="clear" w:color="auto" w:fill="auto"/>
                  <w:vAlign w:val="center"/>
                </w:tcPr>
                <w:p w14:paraId="0E9324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热解产物</w:t>
                  </w:r>
                </w:p>
              </w:tc>
              <w:tc>
                <w:tcPr>
                  <w:tcW w:w="1205" w:type="dxa"/>
                  <w:tcBorders>
                    <w:tl2br w:val="nil"/>
                    <w:tr2bl w:val="nil"/>
                  </w:tcBorders>
                  <w:shd w:val="clear" w:color="auto" w:fill="auto"/>
                  <w:vAlign w:val="center"/>
                </w:tcPr>
                <w:p w14:paraId="34F9C8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热解油</w:t>
                  </w:r>
                </w:p>
              </w:tc>
              <w:tc>
                <w:tcPr>
                  <w:tcW w:w="3630" w:type="dxa"/>
                  <w:gridSpan w:val="3"/>
                  <w:tcBorders>
                    <w:tl2br w:val="nil"/>
                    <w:tr2bl w:val="nil"/>
                  </w:tcBorders>
                  <w:shd w:val="clear" w:color="auto" w:fill="auto"/>
                  <w:vAlign w:val="center"/>
                </w:tcPr>
                <w:p w14:paraId="5103681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2"/>
                      <w:szCs w:val="22"/>
                      <w:u w:val="none"/>
                      <w:lang w:val="en-US" w:eastAsia="zh-CN" w:bidi="ar"/>
                    </w:rPr>
                    <w:t>1212.75</w:t>
                  </w:r>
                </w:p>
              </w:tc>
            </w:tr>
            <w:tr w14:paraId="6E283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23B24731">
                  <w:pPr>
                    <w:jc w:val="center"/>
                    <w:rPr>
                      <w:rFonts w:hint="default" w:ascii="Times New Roman" w:hAnsi="Times New Roman" w:eastAsia="宋体" w:cs="Times New Roman"/>
                      <w:i w:val="0"/>
                      <w:iCs w:val="0"/>
                      <w:color w:val="000000"/>
                      <w:sz w:val="21"/>
                      <w:szCs w:val="21"/>
                      <w:u w:val="none"/>
                    </w:rPr>
                  </w:pPr>
                </w:p>
              </w:tc>
              <w:tc>
                <w:tcPr>
                  <w:tcW w:w="1234" w:type="dxa"/>
                  <w:tcBorders>
                    <w:tl2br w:val="nil"/>
                    <w:tr2bl w:val="nil"/>
                  </w:tcBorders>
                  <w:shd w:val="clear" w:color="auto" w:fill="auto"/>
                  <w:vAlign w:val="center"/>
                </w:tcPr>
                <w:p w14:paraId="7048F6F8">
                  <w:pPr>
                    <w:jc w:val="center"/>
                    <w:rPr>
                      <w:rFonts w:hint="default" w:ascii="Times New Roman" w:hAnsi="Times New Roman" w:eastAsia="宋体" w:cs="Times New Roman"/>
                      <w:i w:val="0"/>
                      <w:iCs w:val="0"/>
                      <w:color w:val="000000"/>
                      <w:sz w:val="21"/>
                      <w:szCs w:val="21"/>
                      <w:u w:val="none"/>
                    </w:rPr>
                  </w:pPr>
                </w:p>
              </w:tc>
              <w:tc>
                <w:tcPr>
                  <w:tcW w:w="788" w:type="dxa"/>
                  <w:vMerge w:val="continue"/>
                  <w:tcBorders>
                    <w:tl2br w:val="nil"/>
                    <w:tr2bl w:val="nil"/>
                  </w:tcBorders>
                  <w:shd w:val="clear" w:color="auto" w:fill="auto"/>
                  <w:vAlign w:val="center"/>
                </w:tcPr>
                <w:p w14:paraId="27636436">
                  <w:pPr>
                    <w:jc w:val="center"/>
                    <w:rPr>
                      <w:rFonts w:hint="default" w:ascii="Times New Roman" w:hAnsi="Times New Roman" w:eastAsia="宋体" w:cs="Times New Roman"/>
                      <w:i w:val="0"/>
                      <w:iCs w:val="0"/>
                      <w:color w:val="000000"/>
                      <w:sz w:val="21"/>
                      <w:szCs w:val="21"/>
                      <w:u w:val="none"/>
                    </w:rPr>
                  </w:pPr>
                </w:p>
              </w:tc>
              <w:tc>
                <w:tcPr>
                  <w:tcW w:w="1205" w:type="dxa"/>
                  <w:tcBorders>
                    <w:tl2br w:val="nil"/>
                    <w:tr2bl w:val="nil"/>
                  </w:tcBorders>
                  <w:shd w:val="clear" w:color="auto" w:fill="auto"/>
                  <w:vAlign w:val="center"/>
                </w:tcPr>
                <w:p w14:paraId="5A13ED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不凝气</w:t>
                  </w:r>
                </w:p>
              </w:tc>
              <w:tc>
                <w:tcPr>
                  <w:tcW w:w="3630" w:type="dxa"/>
                  <w:gridSpan w:val="3"/>
                  <w:tcBorders>
                    <w:tl2br w:val="nil"/>
                    <w:tr2bl w:val="nil"/>
                  </w:tcBorders>
                  <w:shd w:val="clear" w:color="auto" w:fill="auto"/>
                  <w:vAlign w:val="center"/>
                </w:tcPr>
                <w:p w14:paraId="50E6A5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2"/>
                      <w:szCs w:val="22"/>
                      <w:u w:val="none"/>
                      <w:lang w:val="en-US" w:eastAsia="zh-CN" w:bidi="ar"/>
                    </w:rPr>
                    <w:t>242.55</w:t>
                  </w:r>
                </w:p>
              </w:tc>
            </w:tr>
            <w:tr w14:paraId="0DAB0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3" w:hRule="atLeast"/>
                <w:jc w:val="center"/>
              </w:trPr>
              <w:tc>
                <w:tcPr>
                  <w:tcW w:w="1502" w:type="dxa"/>
                  <w:tcBorders>
                    <w:tl2br w:val="nil"/>
                    <w:tr2bl w:val="nil"/>
                  </w:tcBorders>
                  <w:shd w:val="clear" w:color="auto" w:fill="auto"/>
                  <w:vAlign w:val="center"/>
                </w:tcPr>
                <w:p w14:paraId="6AF700EA">
                  <w:pPr>
                    <w:jc w:val="center"/>
                    <w:rPr>
                      <w:rFonts w:hint="eastAsia" w:ascii="宋体" w:hAnsi="宋体" w:eastAsia="宋体" w:cs="宋体"/>
                      <w:b/>
                      <w:bCs/>
                      <w:i w:val="0"/>
                      <w:iCs w:val="0"/>
                      <w:color w:val="000000"/>
                      <w:sz w:val="21"/>
                      <w:szCs w:val="21"/>
                      <w:u w:val="none"/>
                    </w:rPr>
                  </w:pPr>
                </w:p>
              </w:tc>
              <w:tc>
                <w:tcPr>
                  <w:tcW w:w="1234" w:type="dxa"/>
                  <w:tcBorders>
                    <w:tl2br w:val="nil"/>
                    <w:tr2bl w:val="nil"/>
                  </w:tcBorders>
                  <w:shd w:val="clear" w:color="auto" w:fill="auto"/>
                  <w:vAlign w:val="center"/>
                </w:tcPr>
                <w:p w14:paraId="5974522D">
                  <w:pPr>
                    <w:jc w:val="center"/>
                    <w:rPr>
                      <w:rFonts w:hint="default" w:ascii="Times New Roman" w:hAnsi="Times New Roman" w:eastAsia="宋体" w:cs="Times New Roman"/>
                      <w:b/>
                      <w:bCs/>
                      <w:i w:val="0"/>
                      <w:iCs w:val="0"/>
                      <w:color w:val="000000"/>
                      <w:sz w:val="21"/>
                      <w:szCs w:val="21"/>
                      <w:u w:val="none"/>
                    </w:rPr>
                  </w:pPr>
                </w:p>
              </w:tc>
              <w:tc>
                <w:tcPr>
                  <w:tcW w:w="788" w:type="dxa"/>
                  <w:vMerge w:val="continue"/>
                  <w:tcBorders>
                    <w:tl2br w:val="nil"/>
                    <w:tr2bl w:val="nil"/>
                  </w:tcBorders>
                  <w:shd w:val="clear" w:color="auto" w:fill="auto"/>
                  <w:vAlign w:val="center"/>
                </w:tcPr>
                <w:p w14:paraId="621E6372">
                  <w:pPr>
                    <w:jc w:val="center"/>
                    <w:rPr>
                      <w:rFonts w:hint="default" w:ascii="Times New Roman" w:hAnsi="Times New Roman" w:eastAsia="宋体" w:cs="Times New Roman"/>
                      <w:i w:val="0"/>
                      <w:iCs w:val="0"/>
                      <w:color w:val="000000"/>
                      <w:sz w:val="21"/>
                      <w:szCs w:val="21"/>
                      <w:u w:val="none"/>
                    </w:rPr>
                  </w:pPr>
                </w:p>
              </w:tc>
              <w:tc>
                <w:tcPr>
                  <w:tcW w:w="1205" w:type="dxa"/>
                  <w:tcBorders>
                    <w:tl2br w:val="nil"/>
                    <w:tr2bl w:val="nil"/>
                  </w:tcBorders>
                  <w:shd w:val="clear" w:color="auto" w:fill="auto"/>
                  <w:vAlign w:val="center"/>
                </w:tcPr>
                <w:p w14:paraId="28C071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炭黑</w:t>
                  </w:r>
                </w:p>
              </w:tc>
              <w:tc>
                <w:tcPr>
                  <w:tcW w:w="3630" w:type="dxa"/>
                  <w:gridSpan w:val="3"/>
                  <w:tcBorders>
                    <w:tl2br w:val="nil"/>
                    <w:tr2bl w:val="nil"/>
                  </w:tcBorders>
                  <w:shd w:val="clear" w:color="auto" w:fill="auto"/>
                  <w:vAlign w:val="center"/>
                </w:tcPr>
                <w:p w14:paraId="3E2962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2"/>
                      <w:szCs w:val="22"/>
                      <w:u w:val="none"/>
                      <w:lang w:val="en-US" w:eastAsia="zh-CN" w:bidi="ar"/>
                    </w:rPr>
                    <w:t>161.7</w:t>
                  </w:r>
                </w:p>
              </w:tc>
            </w:tr>
            <w:tr w14:paraId="77002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1502" w:type="dxa"/>
                  <w:tcBorders>
                    <w:tl2br w:val="nil"/>
                    <w:tr2bl w:val="nil"/>
                  </w:tcBorders>
                  <w:shd w:val="clear" w:color="auto" w:fill="auto"/>
                  <w:vAlign w:val="center"/>
                </w:tcPr>
                <w:p w14:paraId="118ED8C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c>
                <w:tcPr>
                  <w:tcW w:w="1234" w:type="dxa"/>
                  <w:tcBorders>
                    <w:tl2br w:val="nil"/>
                    <w:tr2bl w:val="nil"/>
                  </w:tcBorders>
                  <w:shd w:val="clear" w:color="auto" w:fill="auto"/>
                  <w:vAlign w:val="center"/>
                </w:tcPr>
                <w:p w14:paraId="1E32DCB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30000</w:t>
                  </w:r>
                </w:p>
              </w:tc>
              <w:tc>
                <w:tcPr>
                  <w:tcW w:w="788" w:type="dxa"/>
                  <w:tcBorders>
                    <w:tl2br w:val="nil"/>
                    <w:tr2bl w:val="nil"/>
                  </w:tcBorders>
                  <w:shd w:val="clear" w:color="auto" w:fill="auto"/>
                  <w:vAlign w:val="center"/>
                </w:tcPr>
                <w:p w14:paraId="599A5757">
                  <w:pPr>
                    <w:jc w:val="center"/>
                    <w:rPr>
                      <w:rFonts w:hint="default" w:ascii="Times New Roman" w:hAnsi="Times New Roman" w:eastAsia="宋体" w:cs="Times New Roman"/>
                      <w:i w:val="0"/>
                      <w:iCs w:val="0"/>
                      <w:color w:val="000000"/>
                      <w:sz w:val="21"/>
                      <w:szCs w:val="21"/>
                      <w:u w:val="none"/>
                    </w:rPr>
                  </w:pPr>
                </w:p>
              </w:tc>
              <w:tc>
                <w:tcPr>
                  <w:tcW w:w="1205" w:type="dxa"/>
                  <w:tcBorders>
                    <w:tl2br w:val="nil"/>
                    <w:tr2bl w:val="nil"/>
                  </w:tcBorders>
                  <w:shd w:val="clear" w:color="auto" w:fill="auto"/>
                  <w:vAlign w:val="center"/>
                </w:tcPr>
                <w:p w14:paraId="50EB00B8">
                  <w:pPr>
                    <w:jc w:val="center"/>
                    <w:rPr>
                      <w:rFonts w:hint="default" w:ascii="Times New Roman" w:hAnsi="Times New Roman" w:eastAsia="宋体" w:cs="Times New Roman"/>
                      <w:b/>
                      <w:bCs/>
                      <w:i w:val="0"/>
                      <w:iCs w:val="0"/>
                      <w:color w:val="000000"/>
                      <w:sz w:val="21"/>
                      <w:szCs w:val="21"/>
                      <w:u w:val="none"/>
                    </w:rPr>
                  </w:pPr>
                </w:p>
              </w:tc>
              <w:tc>
                <w:tcPr>
                  <w:tcW w:w="3630" w:type="dxa"/>
                  <w:gridSpan w:val="3"/>
                  <w:tcBorders>
                    <w:tl2br w:val="nil"/>
                    <w:tr2bl w:val="nil"/>
                  </w:tcBorders>
                  <w:shd w:val="clear" w:color="auto" w:fill="auto"/>
                  <w:vAlign w:val="center"/>
                </w:tcPr>
                <w:p w14:paraId="15B3192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30000</w:t>
                  </w:r>
                </w:p>
              </w:tc>
            </w:tr>
          </w:tbl>
          <w:p w14:paraId="23619622">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cs="Times New Roman"/>
                <w:b/>
                <w:bCs/>
                <w:color w:val="auto"/>
                <w:spacing w:val="0"/>
                <w:position w:val="0"/>
                <w:lang w:val="en-US" w:eastAsia="zh-CN"/>
              </w:rPr>
            </w:pPr>
            <w:r>
              <w:rPr>
                <w:rFonts w:hint="eastAsia" w:ascii="Times New Roman" w:cs="Times New Roman"/>
                <w:b/>
                <w:bCs/>
                <w:color w:val="auto"/>
                <w:spacing w:val="0"/>
                <w:position w:val="0"/>
                <w:lang w:val="en-US" w:eastAsia="zh-CN"/>
              </w:rPr>
              <w:t>2）分选区物料平衡</w:t>
            </w:r>
          </w:p>
          <w:p w14:paraId="2EF2E93D">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Times New Roman" w:cs="Times New Roman"/>
                <w:color w:val="auto"/>
                <w:spacing w:val="0"/>
                <w:position w:val="0"/>
                <w:lang w:val="en-US" w:eastAsia="zh-CN"/>
              </w:rPr>
            </w:pPr>
            <w:r>
              <w:rPr>
                <w:rFonts w:hint="eastAsia" w:ascii="Times New Roman" w:cs="Times New Roman"/>
                <w:b/>
                <w:bCs/>
                <w:color w:val="auto"/>
                <w:spacing w:val="0"/>
                <w:position w:val="0"/>
                <w:sz w:val="21"/>
                <w:szCs w:val="21"/>
                <w:lang w:val="en-US" w:eastAsia="zh-CN"/>
              </w:rPr>
              <w:t>表2-9  分选区物料平衡表</w:t>
            </w:r>
          </w:p>
          <w:tbl>
            <w:tblPr>
              <w:tblStyle w:val="26"/>
              <w:tblW w:w="84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69"/>
              <w:gridCol w:w="2052"/>
              <w:gridCol w:w="2392"/>
              <w:gridCol w:w="1946"/>
            </w:tblGrid>
            <w:tr w14:paraId="6935E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41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41A4E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投入</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39337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产出</w:t>
                  </w:r>
                </w:p>
              </w:tc>
            </w:tr>
            <w:tr w14:paraId="5C899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CAB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物料名称</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F67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r>
                    <w:rPr>
                      <w:rFonts w:hint="eastAsia" w:ascii="宋体" w:hAnsi="宋体" w:cs="宋体"/>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40C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物料名称</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7D1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r>
                    <w:rPr>
                      <w:rFonts w:hint="eastAsia" w:ascii="宋体" w:hAnsi="宋体" w:cs="宋体"/>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r>
            <w:tr w14:paraId="5D160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BE97">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炭黑</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8491">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161.7</w:t>
                  </w: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51E8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进仓</w:t>
                  </w: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粉尘</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FBB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0.504</w:t>
                  </w:r>
                </w:p>
              </w:tc>
            </w:tr>
            <w:tr w14:paraId="537B6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E16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玻璃</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C091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23730</w:t>
                  </w: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0A77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筛分粉尘</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9192">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5.660 </w:t>
                  </w:r>
                </w:p>
              </w:tc>
            </w:tr>
            <w:tr w14:paraId="35813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75EB">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硅片</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6AAE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1095</w:t>
                  </w: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44739">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进仓</w:t>
                  </w:r>
                  <w:r>
                    <w:rPr>
                      <w:rFonts w:hint="default" w:ascii="Times New Roman" w:hAnsi="Times New Roman" w:eastAsia="宋体" w:cs="Times New Roman"/>
                      <w:i w:val="0"/>
                      <w:iCs w:val="0"/>
                      <w:color w:val="000000"/>
                      <w:kern w:val="0"/>
                      <w:sz w:val="21"/>
                      <w:szCs w:val="21"/>
                      <w:u w:val="none"/>
                      <w:lang w:val="en-US" w:eastAsia="zh-CN" w:bidi="ar"/>
                    </w:rPr>
                    <w:t>3~9</w:t>
                  </w:r>
                  <w:r>
                    <w:rPr>
                      <w:rFonts w:hint="eastAsia" w:ascii="宋体" w:hAnsi="宋体" w:eastAsia="宋体" w:cs="宋体"/>
                      <w:i w:val="0"/>
                      <w:iCs w:val="0"/>
                      <w:color w:val="000000"/>
                      <w:kern w:val="0"/>
                      <w:sz w:val="21"/>
                      <w:szCs w:val="21"/>
                      <w:u w:val="none"/>
                      <w:lang w:val="en-US" w:eastAsia="zh-CN" w:bidi="ar"/>
                    </w:rPr>
                    <w:t>粉尘</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3827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0.682 </w:t>
                  </w:r>
                </w:p>
              </w:tc>
            </w:tr>
            <w:tr w14:paraId="6FB66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AF7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焊带</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979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168</w:t>
                  </w: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08AE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旋风分离粉尘</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996C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2.866 </w:t>
                  </w:r>
                </w:p>
              </w:tc>
            </w:tr>
            <w:tr w14:paraId="1FC16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AED97">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7E181">
                  <w:pPr>
                    <w:jc w:val="center"/>
                    <w:rPr>
                      <w:rFonts w:hint="default" w:ascii="Times New Roman" w:hAnsi="Times New Roman" w:eastAsia="宋体" w:cs="Times New Roman"/>
                      <w:i w:val="0"/>
                      <w:iCs w:val="0"/>
                      <w:color w:val="000000"/>
                      <w:sz w:val="21"/>
                      <w:szCs w:val="21"/>
                      <w:u w:val="none"/>
                    </w:rPr>
                  </w:pP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7C3A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吨袋包装粉尘</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EE1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0.056 </w:t>
                  </w:r>
                </w:p>
              </w:tc>
            </w:tr>
            <w:tr w14:paraId="0C6C9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42997">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0B52">
                  <w:pPr>
                    <w:jc w:val="center"/>
                    <w:rPr>
                      <w:rFonts w:hint="default" w:ascii="Times New Roman" w:hAnsi="Times New Roman" w:eastAsia="宋体" w:cs="Times New Roman"/>
                      <w:i w:val="0"/>
                      <w:iCs w:val="0"/>
                      <w:color w:val="000000"/>
                      <w:sz w:val="21"/>
                      <w:szCs w:val="21"/>
                      <w:u w:val="none"/>
                    </w:rPr>
                  </w:pP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31FF9">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风选粉尘</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B93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4.402 </w:t>
                  </w:r>
                </w:p>
              </w:tc>
            </w:tr>
            <w:tr w14:paraId="4324B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8ECD2">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38884">
                  <w:pPr>
                    <w:jc w:val="center"/>
                    <w:rPr>
                      <w:rFonts w:hint="default" w:ascii="Times New Roman" w:hAnsi="Times New Roman" w:eastAsia="宋体" w:cs="Times New Roman"/>
                      <w:i w:val="0"/>
                      <w:iCs w:val="0"/>
                      <w:color w:val="000000"/>
                      <w:sz w:val="21"/>
                      <w:szCs w:val="21"/>
                      <w:u w:val="none"/>
                    </w:rPr>
                  </w:pP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0CE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铜丝</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F8B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166.318 </w:t>
                  </w:r>
                </w:p>
              </w:tc>
            </w:tr>
            <w:tr w14:paraId="1B21C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910A3">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9EB1">
                  <w:pPr>
                    <w:jc w:val="center"/>
                    <w:rPr>
                      <w:rFonts w:hint="default" w:ascii="Times New Roman" w:hAnsi="Times New Roman" w:eastAsia="宋体" w:cs="Times New Roman"/>
                      <w:i w:val="0"/>
                      <w:iCs w:val="0"/>
                      <w:color w:val="000000"/>
                      <w:sz w:val="21"/>
                      <w:szCs w:val="21"/>
                      <w:u w:val="none"/>
                    </w:rPr>
                  </w:pP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203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硅粉</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炭黑</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3AE9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283.672 </w:t>
                  </w:r>
                </w:p>
              </w:tc>
            </w:tr>
            <w:tr w14:paraId="24363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D633">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B49B">
                  <w:pPr>
                    <w:jc w:val="center"/>
                    <w:rPr>
                      <w:rFonts w:hint="default" w:ascii="Times New Roman" w:hAnsi="Times New Roman" w:eastAsia="宋体" w:cs="Times New Roman"/>
                      <w:i w:val="0"/>
                      <w:iCs w:val="0"/>
                      <w:color w:val="000000"/>
                      <w:sz w:val="21"/>
                      <w:szCs w:val="21"/>
                      <w:u w:val="none"/>
                    </w:rPr>
                  </w:pP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A53C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硅片</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25CB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969.788 </w:t>
                  </w:r>
                </w:p>
              </w:tc>
            </w:tr>
            <w:tr w14:paraId="6528B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F7F4">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8FDBB">
                  <w:pPr>
                    <w:jc w:val="center"/>
                    <w:rPr>
                      <w:rFonts w:hint="default" w:ascii="Times New Roman" w:hAnsi="Times New Roman" w:eastAsia="宋体" w:cs="Times New Roman"/>
                      <w:i w:val="0"/>
                      <w:iCs w:val="0"/>
                      <w:color w:val="000000"/>
                      <w:sz w:val="21"/>
                      <w:szCs w:val="21"/>
                      <w:u w:val="none"/>
                    </w:rPr>
                  </w:pP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D99B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玻璃</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84217">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23720.752 </w:t>
                  </w:r>
                </w:p>
              </w:tc>
            </w:tr>
            <w:tr w14:paraId="4CBB4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jc w:val="center"/>
              </w:trPr>
              <w:tc>
                <w:tcPr>
                  <w:tcW w:w="2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C3D5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551F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lang w:val="en-US"/>
                    </w:rPr>
                  </w:pPr>
                  <w:r>
                    <w:rPr>
                      <w:rFonts w:hint="eastAsia" w:cs="Times New Roman"/>
                      <w:b/>
                      <w:bCs/>
                      <w:i w:val="0"/>
                      <w:iCs w:val="0"/>
                      <w:color w:val="000000"/>
                      <w:kern w:val="0"/>
                      <w:sz w:val="21"/>
                      <w:szCs w:val="21"/>
                      <w:u w:val="none"/>
                      <w:lang w:val="en-US" w:eastAsia="zh-CN" w:bidi="ar"/>
                    </w:rPr>
                    <w:t>25154.7</w:t>
                  </w:r>
                </w:p>
              </w:tc>
              <w:tc>
                <w:tcPr>
                  <w:tcW w:w="2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84A52">
                  <w:pPr>
                    <w:jc w:val="center"/>
                    <w:rPr>
                      <w:rFonts w:hint="default" w:ascii="Times New Roman" w:hAnsi="Times New Roman" w:eastAsia="宋体" w:cs="Times New Roman"/>
                      <w:b/>
                      <w:bCs/>
                      <w:i w:val="0"/>
                      <w:iCs w:val="0"/>
                      <w:color w:val="000000"/>
                      <w:sz w:val="21"/>
                      <w:szCs w:val="21"/>
                      <w:u w:val="none"/>
                    </w:rPr>
                  </w:pP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8C50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cs="Times New Roman"/>
                      <w:b/>
                      <w:bCs/>
                      <w:i w:val="0"/>
                      <w:iCs w:val="0"/>
                      <w:color w:val="000000"/>
                      <w:kern w:val="0"/>
                      <w:sz w:val="21"/>
                      <w:szCs w:val="21"/>
                      <w:u w:val="none"/>
                      <w:lang w:val="en-US" w:eastAsia="zh-CN" w:bidi="ar"/>
                    </w:rPr>
                    <w:t>25154.7</w:t>
                  </w:r>
                </w:p>
              </w:tc>
            </w:tr>
          </w:tbl>
          <w:p w14:paraId="1B026867">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cs="Times New Roman"/>
                <w:b/>
                <w:bCs/>
                <w:color w:val="auto"/>
                <w:spacing w:val="0"/>
                <w:position w:val="0"/>
                <w:lang w:val="en-US" w:eastAsia="zh-CN"/>
              </w:rPr>
            </w:pPr>
            <w:r>
              <w:rPr>
                <w:rFonts w:hint="eastAsia" w:ascii="Times New Roman" w:cs="Times New Roman"/>
                <w:b/>
                <w:bCs/>
                <w:color w:val="auto"/>
                <w:spacing w:val="0"/>
                <w:position w:val="0"/>
                <w:lang w:val="en-US" w:eastAsia="zh-CN"/>
              </w:rPr>
              <w:t>3）玻璃清洗区物料平衡</w:t>
            </w:r>
          </w:p>
          <w:p w14:paraId="040A3695">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Times New Roman" w:cs="Times New Roman"/>
                <w:color w:val="auto"/>
                <w:spacing w:val="0"/>
                <w:position w:val="0"/>
                <w:lang w:val="en-US" w:eastAsia="zh-CN"/>
              </w:rPr>
            </w:pPr>
            <w:r>
              <w:rPr>
                <w:rFonts w:hint="eastAsia" w:ascii="Times New Roman" w:cs="Times New Roman"/>
                <w:b/>
                <w:bCs/>
                <w:color w:val="auto"/>
                <w:spacing w:val="0"/>
                <w:position w:val="0"/>
                <w:sz w:val="21"/>
                <w:szCs w:val="21"/>
                <w:lang w:val="en-US" w:eastAsia="zh-CN"/>
              </w:rPr>
              <w:t>表2-10  玻璃清洗区物料平衡表</w:t>
            </w:r>
          </w:p>
          <w:tbl>
            <w:tblPr>
              <w:tblStyle w:val="26"/>
              <w:tblW w:w="84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63"/>
              <w:gridCol w:w="2049"/>
              <w:gridCol w:w="2520"/>
              <w:gridCol w:w="1807"/>
            </w:tblGrid>
            <w:tr w14:paraId="0DDBA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jc w:val="center"/>
              </w:trPr>
              <w:tc>
                <w:tcPr>
                  <w:tcW w:w="4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1E50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投入</w:t>
                  </w:r>
                </w:p>
              </w:tc>
              <w:tc>
                <w:tcPr>
                  <w:tcW w:w="43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B2B93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产出</w:t>
                  </w:r>
                </w:p>
              </w:tc>
            </w:tr>
            <w:tr w14:paraId="5CA58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jc w:val="center"/>
              </w:trPr>
              <w:tc>
                <w:tcPr>
                  <w:tcW w:w="2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980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物料名称</w:t>
                  </w:r>
                </w:p>
              </w:tc>
              <w:tc>
                <w:tcPr>
                  <w:tcW w:w="2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982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数量</w:t>
                  </w:r>
                  <w:r>
                    <w:rPr>
                      <w:rFonts w:hint="eastAsia" w:cs="Times New Roman"/>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t/a）</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3F9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物料名称</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275A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数量</w:t>
                  </w:r>
                  <w:r>
                    <w:rPr>
                      <w:rFonts w:hint="eastAsia" w:cs="Times New Roman"/>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t/a）</w:t>
                  </w:r>
                </w:p>
              </w:tc>
            </w:tr>
            <w:tr w14:paraId="1D7FF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jc w:val="center"/>
              </w:trPr>
              <w:tc>
                <w:tcPr>
                  <w:tcW w:w="2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92D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玻璃</w:t>
                  </w:r>
                </w:p>
              </w:tc>
              <w:tc>
                <w:tcPr>
                  <w:tcW w:w="2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8DE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23720.752 </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16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沉淀池渣</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EF2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19.087</w:t>
                  </w:r>
                </w:p>
              </w:tc>
            </w:tr>
            <w:tr w14:paraId="7E10A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 w:hRule="atLeast"/>
                <w:jc w:val="center"/>
              </w:trPr>
              <w:tc>
                <w:tcPr>
                  <w:tcW w:w="2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20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2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842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EB4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进仓</w:t>
                  </w: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10、12、13）粉尘</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84A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0.474</w:t>
                  </w:r>
                </w:p>
              </w:tc>
            </w:tr>
            <w:tr w14:paraId="7591D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jc w:val="center"/>
              </w:trPr>
              <w:tc>
                <w:tcPr>
                  <w:tcW w:w="2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99D4F">
                  <w:pPr>
                    <w:jc w:val="center"/>
                    <w:rPr>
                      <w:rFonts w:hint="default" w:ascii="Times New Roman" w:hAnsi="Times New Roman" w:eastAsia="宋体" w:cs="Times New Roman"/>
                      <w:i w:val="0"/>
                      <w:iCs w:val="0"/>
                      <w:color w:val="000000"/>
                      <w:sz w:val="21"/>
                      <w:szCs w:val="21"/>
                      <w:u w:val="none"/>
                    </w:rPr>
                  </w:pPr>
                </w:p>
              </w:tc>
              <w:tc>
                <w:tcPr>
                  <w:tcW w:w="2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1158B">
                  <w:pPr>
                    <w:jc w:val="center"/>
                    <w:rPr>
                      <w:rFonts w:hint="default" w:ascii="Times New Roman" w:hAnsi="Times New Roman" w:eastAsia="宋体" w:cs="Times New Roman"/>
                      <w:i w:val="0"/>
                      <w:iCs w:val="0"/>
                      <w:color w:val="000000"/>
                      <w:sz w:val="21"/>
                      <w:szCs w:val="21"/>
                      <w:u w:val="none"/>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265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玻璃筛分粉尘</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B4B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5.330 </w:t>
                  </w:r>
                </w:p>
              </w:tc>
            </w:tr>
            <w:tr w14:paraId="56960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jc w:val="center"/>
              </w:trPr>
              <w:tc>
                <w:tcPr>
                  <w:tcW w:w="2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7BA9">
                  <w:pPr>
                    <w:jc w:val="center"/>
                    <w:rPr>
                      <w:rFonts w:hint="default" w:ascii="Times New Roman" w:hAnsi="Times New Roman" w:eastAsia="宋体" w:cs="Times New Roman"/>
                      <w:i w:val="0"/>
                      <w:iCs w:val="0"/>
                      <w:color w:val="000000"/>
                      <w:sz w:val="21"/>
                      <w:szCs w:val="21"/>
                      <w:u w:val="none"/>
                    </w:rPr>
                  </w:pPr>
                </w:p>
              </w:tc>
              <w:tc>
                <w:tcPr>
                  <w:tcW w:w="2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18ACD">
                  <w:pPr>
                    <w:jc w:val="center"/>
                    <w:rPr>
                      <w:rFonts w:hint="default" w:ascii="Times New Roman" w:hAnsi="Times New Roman" w:eastAsia="宋体" w:cs="Times New Roman"/>
                      <w:i w:val="0"/>
                      <w:iCs w:val="0"/>
                      <w:color w:val="000000"/>
                      <w:sz w:val="21"/>
                      <w:szCs w:val="21"/>
                      <w:u w:val="none"/>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A0C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玻璃粉包装粉尘</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884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0.003 </w:t>
                  </w:r>
                </w:p>
              </w:tc>
            </w:tr>
            <w:tr w14:paraId="56D7C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jc w:val="center"/>
              </w:trPr>
              <w:tc>
                <w:tcPr>
                  <w:tcW w:w="2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6AC9D">
                  <w:pPr>
                    <w:jc w:val="center"/>
                    <w:rPr>
                      <w:rFonts w:hint="default" w:ascii="Times New Roman" w:hAnsi="Times New Roman" w:eastAsia="宋体" w:cs="Times New Roman"/>
                      <w:i w:val="0"/>
                      <w:iCs w:val="0"/>
                      <w:color w:val="000000"/>
                      <w:sz w:val="21"/>
                      <w:szCs w:val="21"/>
                      <w:u w:val="none"/>
                    </w:rPr>
                  </w:pPr>
                </w:p>
              </w:tc>
              <w:tc>
                <w:tcPr>
                  <w:tcW w:w="2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0A10">
                  <w:pPr>
                    <w:jc w:val="center"/>
                    <w:rPr>
                      <w:rFonts w:hint="default" w:ascii="Times New Roman" w:hAnsi="Times New Roman" w:eastAsia="宋体" w:cs="Times New Roman"/>
                      <w:i w:val="0"/>
                      <w:iCs w:val="0"/>
                      <w:color w:val="000000"/>
                      <w:sz w:val="21"/>
                      <w:szCs w:val="21"/>
                      <w:u w:val="none"/>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7D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＜8mm玻璃</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EF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14.244 </w:t>
                  </w:r>
                </w:p>
              </w:tc>
            </w:tr>
            <w:tr w14:paraId="219A2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jc w:val="center"/>
              </w:trPr>
              <w:tc>
                <w:tcPr>
                  <w:tcW w:w="2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144F">
                  <w:pPr>
                    <w:jc w:val="center"/>
                    <w:rPr>
                      <w:rFonts w:hint="default" w:ascii="Times New Roman" w:hAnsi="Times New Roman" w:eastAsia="宋体" w:cs="Times New Roman"/>
                      <w:b/>
                      <w:bCs/>
                      <w:i w:val="0"/>
                      <w:iCs w:val="0"/>
                      <w:color w:val="000000"/>
                      <w:sz w:val="21"/>
                      <w:szCs w:val="21"/>
                      <w:u w:val="none"/>
                    </w:rPr>
                  </w:pPr>
                </w:p>
              </w:tc>
              <w:tc>
                <w:tcPr>
                  <w:tcW w:w="2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FF5C0">
                  <w:pPr>
                    <w:jc w:val="center"/>
                    <w:rPr>
                      <w:rFonts w:hint="default" w:ascii="Times New Roman" w:hAnsi="Times New Roman" w:eastAsia="宋体" w:cs="Times New Roman"/>
                      <w:b/>
                      <w:bCs/>
                      <w:i w:val="0"/>
                      <w:iCs w:val="0"/>
                      <w:color w:val="000000"/>
                      <w:sz w:val="21"/>
                      <w:szCs w:val="21"/>
                      <w:u w:val="none"/>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7F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＞8mm玻璃</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D7B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23669.763 </w:t>
                  </w:r>
                </w:p>
              </w:tc>
            </w:tr>
            <w:tr w14:paraId="370DD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jc w:val="center"/>
              </w:trPr>
              <w:tc>
                <w:tcPr>
                  <w:tcW w:w="2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ECC0D">
                  <w:pPr>
                    <w:jc w:val="center"/>
                    <w:rPr>
                      <w:rFonts w:hint="default" w:ascii="Times New Roman" w:hAnsi="Times New Roman" w:eastAsia="宋体" w:cs="Times New Roman"/>
                      <w:b/>
                      <w:bCs/>
                      <w:i w:val="0"/>
                      <w:iCs w:val="0"/>
                      <w:color w:val="000000"/>
                      <w:sz w:val="21"/>
                      <w:szCs w:val="21"/>
                      <w:u w:val="none"/>
                    </w:rPr>
                  </w:pPr>
                </w:p>
              </w:tc>
              <w:tc>
                <w:tcPr>
                  <w:tcW w:w="2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C75D">
                  <w:pPr>
                    <w:jc w:val="center"/>
                    <w:rPr>
                      <w:rFonts w:hint="default" w:ascii="Times New Roman" w:hAnsi="Times New Roman" w:eastAsia="宋体" w:cs="Times New Roman"/>
                      <w:b/>
                      <w:bCs/>
                      <w:i w:val="0"/>
                      <w:iCs w:val="0"/>
                      <w:color w:val="000000"/>
                      <w:sz w:val="21"/>
                      <w:szCs w:val="21"/>
                      <w:u w:val="none"/>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A14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杂质</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BB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11.851 </w:t>
                  </w:r>
                </w:p>
              </w:tc>
            </w:tr>
            <w:tr w14:paraId="7ADF5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 w:hRule="atLeast"/>
                <w:jc w:val="center"/>
              </w:trPr>
              <w:tc>
                <w:tcPr>
                  <w:tcW w:w="2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4656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合计</w:t>
                  </w:r>
                </w:p>
              </w:tc>
              <w:tc>
                <w:tcPr>
                  <w:tcW w:w="2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CE0E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default" w:ascii="Times New Roman" w:hAnsi="Times New Roman" w:eastAsia="宋体" w:cs="Times New Roman"/>
                      <w:b/>
                      <w:bCs/>
                      <w:i w:val="0"/>
                      <w:iCs w:val="0"/>
                      <w:color w:val="000000"/>
                      <w:kern w:val="0"/>
                      <w:sz w:val="21"/>
                      <w:szCs w:val="21"/>
                      <w:u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23720.752 </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78A11">
                  <w:pPr>
                    <w:jc w:val="center"/>
                    <w:rPr>
                      <w:rFonts w:hint="default" w:ascii="Times New Roman" w:hAnsi="Times New Roman" w:eastAsia="宋体" w:cs="Times New Roman"/>
                      <w:b/>
                      <w:bCs/>
                      <w:i w:val="0"/>
                      <w:iCs w:val="0"/>
                      <w:color w:val="000000"/>
                      <w:sz w:val="21"/>
                      <w:szCs w:val="21"/>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284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default" w:ascii="Times New Roman" w:hAnsi="Times New Roman" w:eastAsia="宋体" w:cs="Times New Roman"/>
                      <w:b/>
                      <w:bCs/>
                      <w:i w:val="0"/>
                      <w:iCs w:val="0"/>
                      <w:color w:val="000000"/>
                      <w:kern w:val="0"/>
                      <w:sz w:val="21"/>
                      <w:szCs w:val="21"/>
                      <w:u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23720.752 </w:t>
                  </w:r>
                </w:p>
              </w:tc>
            </w:tr>
          </w:tbl>
          <w:p w14:paraId="49D1204A">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cs="Times New Roman"/>
                <w:b/>
                <w:bCs/>
                <w:color w:val="auto"/>
                <w:spacing w:val="0"/>
                <w:position w:val="0"/>
                <w:lang w:val="en-US" w:eastAsia="zh-CN"/>
              </w:rPr>
            </w:pPr>
            <w:r>
              <w:rPr>
                <w:rFonts w:hint="eastAsia" w:ascii="Times New Roman" w:cs="Times New Roman"/>
                <w:b/>
                <w:bCs/>
                <w:color w:val="auto"/>
                <w:spacing w:val="0"/>
                <w:position w:val="0"/>
                <w:lang w:val="en-US" w:eastAsia="zh-CN"/>
              </w:rPr>
              <w:t>（5）热平衡</w:t>
            </w:r>
          </w:p>
          <w:p w14:paraId="17DF01F2">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cs="Times New Roman"/>
                <w:b/>
                <w:bCs/>
                <w:color w:val="auto"/>
                <w:spacing w:val="0"/>
                <w:position w:val="0"/>
                <w:lang w:val="en-US" w:eastAsia="zh-CN"/>
              </w:rPr>
            </w:pPr>
            <w:r>
              <w:rPr>
                <w:rFonts w:hint="default" w:ascii="Times New Roman" w:hAnsi="Times New Roman" w:cs="Times New Roman"/>
                <w:b/>
                <w:bCs/>
                <w:color w:val="auto"/>
                <w:spacing w:val="0"/>
                <w:position w:val="0"/>
                <w:lang w:val="en-US" w:eastAsia="zh-CN"/>
              </w:rPr>
              <w:t>①</w:t>
            </w:r>
            <w:r>
              <w:rPr>
                <w:rFonts w:hint="eastAsia" w:ascii="Times New Roman" w:cs="Times New Roman"/>
                <w:b/>
                <w:bCs/>
                <w:color w:val="auto"/>
                <w:spacing w:val="0"/>
                <w:position w:val="0"/>
                <w:lang w:val="en-US" w:eastAsia="zh-CN"/>
              </w:rPr>
              <w:t>热值供应</w:t>
            </w:r>
          </w:p>
          <w:p w14:paraId="4A3497EF">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cs="Times New Roman"/>
                <w:b w:val="0"/>
                <w:bCs w:val="0"/>
                <w:color w:val="auto"/>
                <w:spacing w:val="0"/>
                <w:position w:val="0"/>
                <w:lang w:val="en-US" w:eastAsia="zh-CN"/>
              </w:rPr>
            </w:pPr>
            <w:r>
              <w:rPr>
                <w:rFonts w:hint="eastAsia" w:ascii="Times New Roman" w:cs="Times New Roman"/>
                <w:b w:val="0"/>
                <w:bCs w:val="0"/>
                <w:color w:val="auto"/>
                <w:spacing w:val="0"/>
                <w:position w:val="0"/>
                <w:lang w:val="en-US" w:eastAsia="zh-CN"/>
              </w:rPr>
              <w:t>热解不凝气的热值参考《综合能耗计算通则》（GB/T2589-2020）中天然气热值：32238kJ/m</w:t>
            </w:r>
            <w:r>
              <w:rPr>
                <w:rFonts w:hint="eastAsia" w:ascii="Times New Roman" w:cs="Times New Roman"/>
                <w:b w:val="0"/>
                <w:bCs w:val="0"/>
                <w:color w:val="auto"/>
                <w:spacing w:val="0"/>
                <w:position w:val="0"/>
                <w:vertAlign w:val="superscript"/>
                <w:lang w:val="en-US" w:eastAsia="zh-CN"/>
              </w:rPr>
              <w:t>3</w:t>
            </w:r>
            <w:r>
              <w:rPr>
                <w:rFonts w:hint="eastAsia" w:ascii="Times New Roman" w:cs="Times New Roman"/>
                <w:b w:val="0"/>
                <w:bCs w:val="0"/>
                <w:color w:val="auto"/>
                <w:spacing w:val="0"/>
                <w:position w:val="0"/>
                <w:lang w:val="en-US" w:eastAsia="zh-CN"/>
              </w:rPr>
              <w:t>，热解油热值参考《综合能耗计算通则》（GB/T2589-2020）中燃料油热值：41868kJ/kg。</w:t>
            </w:r>
          </w:p>
          <w:p w14:paraId="2299E82C">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cs="Times New Roman"/>
                <w:b w:val="0"/>
                <w:bCs w:val="0"/>
                <w:color w:val="auto"/>
                <w:spacing w:val="0"/>
                <w:position w:val="0"/>
                <w:lang w:val="en-US" w:eastAsia="zh-CN"/>
              </w:rPr>
            </w:pPr>
            <w:r>
              <w:rPr>
                <w:rFonts w:hint="eastAsia" w:ascii="Times New Roman" w:hAnsi="Times New Roman" w:cs="Times New Roman"/>
                <w:b w:val="0"/>
                <w:bCs w:val="0"/>
                <w:color w:val="auto"/>
                <w:spacing w:val="0"/>
                <w:position w:val="0"/>
                <w:lang w:val="en-US" w:eastAsia="zh-CN"/>
              </w:rPr>
              <w:t>根据物料平衡，热解油产生量为1</w:t>
            </w:r>
            <w:r>
              <w:rPr>
                <w:rFonts w:hint="eastAsia" w:ascii="Times New Roman" w:cs="Times New Roman"/>
                <w:b w:val="0"/>
                <w:bCs w:val="0"/>
                <w:color w:val="auto"/>
                <w:spacing w:val="0"/>
                <w:position w:val="0"/>
                <w:lang w:val="en-US" w:eastAsia="zh-CN"/>
              </w:rPr>
              <w:t>212.75</w:t>
            </w:r>
            <w:r>
              <w:rPr>
                <w:rFonts w:hint="eastAsia" w:ascii="Times New Roman" w:hAnsi="Times New Roman" w:cs="Times New Roman"/>
                <w:b w:val="0"/>
                <w:bCs w:val="0"/>
                <w:color w:val="auto"/>
                <w:spacing w:val="0"/>
                <w:position w:val="0"/>
                <w:lang w:val="en-US" w:eastAsia="zh-CN"/>
              </w:rPr>
              <w:t>t/a，可提供热值</w:t>
            </w:r>
            <w:r>
              <w:rPr>
                <w:rFonts w:hint="eastAsia" w:ascii="Times New Roman" w:cs="Times New Roman"/>
                <w:b w:val="0"/>
                <w:bCs w:val="0"/>
                <w:color w:val="auto"/>
                <w:spacing w:val="0"/>
                <w:position w:val="0"/>
                <w:lang w:val="en-US" w:eastAsia="zh-CN"/>
              </w:rPr>
              <w:t>50775.417</w:t>
            </w:r>
            <w:r>
              <w:rPr>
                <w:rFonts w:hint="eastAsia" w:ascii="Times New Roman" w:hAnsi="Times New Roman" w:cs="Times New Roman"/>
                <w:b w:val="0"/>
                <w:bCs w:val="0"/>
                <w:color w:val="auto"/>
                <w:spacing w:val="0"/>
                <w:position w:val="0"/>
                <w:lang w:val="en-US" w:eastAsia="zh-CN"/>
              </w:rPr>
              <w:t>GJ/a</w:t>
            </w:r>
            <w:r>
              <w:rPr>
                <w:rFonts w:hint="eastAsia" w:ascii="Times New Roman" w:cs="Times New Roman"/>
                <w:b w:val="0"/>
                <w:bCs w:val="0"/>
                <w:color w:val="auto"/>
                <w:spacing w:val="0"/>
                <w:position w:val="0"/>
                <w:lang w:val="en-US" w:eastAsia="zh-CN"/>
              </w:rPr>
              <w:t>；</w:t>
            </w:r>
            <w:r>
              <w:rPr>
                <w:rFonts w:hint="eastAsia" w:ascii="Times New Roman" w:hAnsi="Times New Roman" w:cs="Times New Roman"/>
                <w:b w:val="0"/>
                <w:bCs w:val="0"/>
                <w:color w:val="auto"/>
                <w:spacing w:val="0"/>
                <w:position w:val="0"/>
                <w:lang w:val="en-US" w:eastAsia="zh-CN"/>
              </w:rPr>
              <w:t>不凝气产生量为242.55t/a，其密度为1.022kg/m</w:t>
            </w:r>
            <w:r>
              <w:rPr>
                <w:rFonts w:hint="eastAsia" w:ascii="Times New Roman" w:hAnsi="Times New Roman" w:cs="Times New Roman"/>
                <w:b w:val="0"/>
                <w:bCs w:val="0"/>
                <w:color w:val="auto"/>
                <w:spacing w:val="0"/>
                <w:position w:val="0"/>
                <w:vertAlign w:val="superscript"/>
                <w:lang w:val="en-US" w:eastAsia="zh-CN"/>
              </w:rPr>
              <w:t>3</w:t>
            </w:r>
            <w:r>
              <w:rPr>
                <w:rFonts w:hint="eastAsia" w:ascii="Times New Roman" w:hAnsi="Times New Roman" w:cs="Times New Roman"/>
                <w:b w:val="0"/>
                <w:bCs w:val="0"/>
                <w:color w:val="auto"/>
                <w:spacing w:val="0"/>
                <w:position w:val="0"/>
                <w:lang w:val="en-US" w:eastAsia="zh-CN"/>
              </w:rPr>
              <w:t>，折算体积约23.7万m</w:t>
            </w:r>
            <w:r>
              <w:rPr>
                <w:rFonts w:hint="eastAsia" w:ascii="Times New Roman" w:hAnsi="Times New Roman" w:cs="Times New Roman"/>
                <w:b w:val="0"/>
                <w:bCs w:val="0"/>
                <w:color w:val="auto"/>
                <w:spacing w:val="0"/>
                <w:position w:val="0"/>
                <w:vertAlign w:val="superscript"/>
                <w:lang w:val="en-US" w:eastAsia="zh-CN"/>
              </w:rPr>
              <w:t>3</w:t>
            </w:r>
            <w:r>
              <w:rPr>
                <w:rFonts w:hint="eastAsia" w:ascii="Times New Roman" w:hAnsi="Times New Roman" w:cs="Times New Roman"/>
                <w:b w:val="0"/>
                <w:bCs w:val="0"/>
                <w:color w:val="auto"/>
                <w:spacing w:val="0"/>
                <w:position w:val="0"/>
                <w:lang w:val="en-US" w:eastAsia="zh-CN"/>
              </w:rPr>
              <w:t>/a，可提供热值7640.406GJ/a</w:t>
            </w:r>
            <w:r>
              <w:rPr>
                <w:rFonts w:hint="eastAsia" w:ascii="Times New Roman" w:cs="Times New Roman"/>
                <w:b w:val="0"/>
                <w:bCs w:val="0"/>
                <w:color w:val="auto"/>
                <w:spacing w:val="0"/>
                <w:position w:val="0"/>
                <w:lang w:val="en-US" w:eastAsia="zh-CN"/>
              </w:rPr>
              <w:t>。</w:t>
            </w:r>
          </w:p>
          <w:p w14:paraId="24C24839">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cs="Times New Roman"/>
                <w:b/>
                <w:bCs/>
                <w:color w:val="auto"/>
                <w:spacing w:val="0"/>
                <w:position w:val="0"/>
                <w:lang w:val="en-US" w:eastAsia="zh-CN"/>
              </w:rPr>
            </w:pPr>
            <w:r>
              <w:rPr>
                <w:rFonts w:hint="eastAsia" w:ascii="Times New Roman" w:cs="Times New Roman"/>
                <w:b w:val="0"/>
                <w:bCs w:val="0"/>
                <w:color w:val="auto"/>
                <w:spacing w:val="0"/>
                <w:position w:val="0"/>
                <w:lang w:val="en-US" w:eastAsia="zh-CN"/>
              </w:rPr>
              <w:t>根据生产工况设计，98%的不凝气进入燃烧室作为燃料，剩余2%在设备开停车期间无法及时供气，需引入燃气室燃烧处理。</w:t>
            </w:r>
          </w:p>
          <w:p w14:paraId="198AEAD9">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hAnsi="Times New Roman" w:cs="Times New Roman"/>
                <w:b/>
                <w:bCs/>
                <w:color w:val="auto"/>
                <w:spacing w:val="0"/>
                <w:position w:val="0"/>
                <w:lang w:val="en-US" w:eastAsia="zh-CN"/>
              </w:rPr>
            </w:pPr>
            <w:r>
              <w:rPr>
                <w:rFonts w:hint="default" w:ascii="Times New Roman" w:hAnsi="Times New Roman" w:cs="Times New Roman"/>
                <w:b/>
                <w:bCs/>
                <w:color w:val="auto"/>
                <w:spacing w:val="0"/>
                <w:position w:val="0"/>
                <w:lang w:val="en-US" w:eastAsia="zh-CN"/>
              </w:rPr>
              <w:t>②清洗炉、烘干炉</w:t>
            </w:r>
            <w:r>
              <w:rPr>
                <w:rFonts w:hint="eastAsia" w:ascii="Times New Roman" w:hAnsi="Times New Roman" w:cs="Times New Roman"/>
                <w:b/>
                <w:bCs/>
                <w:color w:val="auto"/>
                <w:spacing w:val="0"/>
                <w:position w:val="0"/>
                <w:lang w:val="en-US" w:eastAsia="zh-CN"/>
              </w:rPr>
              <w:t>能耗</w:t>
            </w:r>
          </w:p>
          <w:p w14:paraId="36D9B042">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cs="Times New Roman"/>
                <w:b w:val="0"/>
                <w:bCs w:val="0"/>
                <w:color w:val="auto"/>
                <w:spacing w:val="0"/>
                <w:position w:val="0"/>
                <w:lang w:val="en-US" w:eastAsia="zh-CN"/>
              </w:rPr>
            </w:pPr>
            <w:r>
              <w:rPr>
                <w:rFonts w:hint="eastAsia" w:ascii="Times New Roman" w:cs="Times New Roman"/>
                <w:b w:val="0"/>
                <w:bCs w:val="0"/>
                <w:color w:val="auto"/>
                <w:spacing w:val="0"/>
                <w:position w:val="0"/>
                <w:lang w:val="en-US" w:eastAsia="zh-CN"/>
              </w:rPr>
              <w:t>项目清洗炉、烘干炉运行过程采用热解油作为燃料，维持炉体恒温，用油量较小，根据设计资料，能耗计算如下表所示：</w:t>
            </w:r>
          </w:p>
          <w:p w14:paraId="4F1FB02C">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default" w:ascii="Times New Roman" w:hAnsi="Times New Roman" w:cs="Times New Roman"/>
                <w:b/>
                <w:bCs/>
                <w:color w:val="auto"/>
                <w:spacing w:val="0"/>
                <w:position w:val="0"/>
                <w:sz w:val="21"/>
                <w:szCs w:val="21"/>
                <w:lang w:val="en-US" w:eastAsia="zh-CN"/>
              </w:rPr>
            </w:pPr>
            <w:r>
              <w:rPr>
                <w:rFonts w:hint="eastAsia" w:ascii="Times New Roman" w:hAnsi="Times New Roman" w:cs="Times New Roman"/>
                <w:b/>
                <w:bCs/>
                <w:color w:val="auto"/>
                <w:spacing w:val="0"/>
                <w:position w:val="0"/>
                <w:sz w:val="21"/>
                <w:szCs w:val="21"/>
                <w:lang w:val="en-US" w:eastAsia="zh-CN"/>
              </w:rPr>
              <w:t>表2-1</w:t>
            </w:r>
            <w:r>
              <w:rPr>
                <w:rFonts w:hint="eastAsia" w:ascii="Times New Roman" w:cs="Times New Roman"/>
                <w:b/>
                <w:bCs/>
                <w:color w:val="auto"/>
                <w:spacing w:val="0"/>
                <w:position w:val="0"/>
                <w:sz w:val="21"/>
                <w:szCs w:val="21"/>
                <w:lang w:val="en-US" w:eastAsia="zh-CN"/>
              </w:rPr>
              <w:t>6</w:t>
            </w:r>
            <w:r>
              <w:rPr>
                <w:rFonts w:hint="eastAsia" w:ascii="Times New Roman" w:hAnsi="Times New Roman" w:cs="Times New Roman"/>
                <w:b/>
                <w:bCs/>
                <w:color w:val="auto"/>
                <w:spacing w:val="0"/>
                <w:position w:val="0"/>
                <w:sz w:val="21"/>
                <w:szCs w:val="21"/>
                <w:lang w:val="en-US" w:eastAsia="zh-CN"/>
              </w:rPr>
              <w:t xml:space="preserve">  清洗炉、烘干炉能耗</w:t>
            </w:r>
          </w:p>
          <w:tbl>
            <w:tblPr>
              <w:tblStyle w:val="26"/>
              <w:tblW w:w="89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16"/>
              <w:gridCol w:w="1110"/>
              <w:gridCol w:w="1491"/>
              <w:gridCol w:w="1569"/>
              <w:gridCol w:w="1474"/>
              <w:gridCol w:w="1016"/>
              <w:gridCol w:w="1241"/>
            </w:tblGrid>
            <w:tr w14:paraId="4AB4C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AA0B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1F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数量（台）</w:t>
                  </w: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0C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单台设备喷枪数量（个）</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EB8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单个喷枪小时用油量（</w:t>
                  </w:r>
                  <w:r>
                    <w:rPr>
                      <w:rFonts w:hint="default" w:ascii="Times New Roman" w:hAnsi="Times New Roman" w:eastAsia="宋体" w:cs="Times New Roman"/>
                      <w:b/>
                      <w:bCs/>
                      <w:i w:val="0"/>
                      <w:iCs w:val="0"/>
                      <w:color w:val="000000"/>
                      <w:kern w:val="0"/>
                      <w:sz w:val="21"/>
                      <w:szCs w:val="21"/>
                      <w:u w:val="none"/>
                      <w:lang w:val="en-US" w:eastAsia="zh-CN" w:bidi="ar"/>
                    </w:rPr>
                    <w:t>kg/h</w:t>
                  </w:r>
                  <w:r>
                    <w:rPr>
                      <w:rFonts w:hint="eastAsia" w:ascii="宋体" w:hAnsi="宋体" w:eastAsia="宋体" w:cs="宋体"/>
                      <w:b/>
                      <w:bCs/>
                      <w:i w:val="0"/>
                      <w:iCs w:val="0"/>
                      <w:color w:val="000000"/>
                      <w:kern w:val="0"/>
                      <w:sz w:val="21"/>
                      <w:szCs w:val="21"/>
                      <w:u w:val="none"/>
                      <w:lang w:val="en-US" w:eastAsia="zh-CN" w:bidi="ar"/>
                    </w:rPr>
                    <w:t>）</w:t>
                  </w: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62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年工作时间（</w:t>
                  </w:r>
                  <w:r>
                    <w:rPr>
                      <w:rFonts w:hint="default" w:ascii="Times New Roman" w:hAnsi="Times New Roman" w:eastAsia="宋体" w:cs="Times New Roman"/>
                      <w:b/>
                      <w:bCs/>
                      <w:i w:val="0"/>
                      <w:iCs w:val="0"/>
                      <w:color w:val="000000"/>
                      <w:kern w:val="0"/>
                      <w:sz w:val="21"/>
                      <w:szCs w:val="21"/>
                      <w:u w:val="none"/>
                      <w:lang w:val="en-US" w:eastAsia="zh-CN" w:bidi="ar"/>
                    </w:rPr>
                    <w:t>h/a</w:t>
                  </w:r>
                  <w:r>
                    <w:rPr>
                      <w:rFonts w:hint="eastAsia" w:ascii="宋体" w:hAnsi="宋体" w:eastAsia="宋体" w:cs="宋体"/>
                      <w:b/>
                      <w:bCs/>
                      <w:i w:val="0"/>
                      <w:iCs w:val="0"/>
                      <w:color w:val="000000"/>
                      <w:kern w:val="0"/>
                      <w:sz w:val="21"/>
                      <w:szCs w:val="21"/>
                      <w:u w:val="none"/>
                      <w:lang w:val="en-US" w:eastAsia="zh-CN" w:bidi="ar"/>
                    </w:rPr>
                    <w:t>）</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AAFF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用油量（</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ED6A7">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能耗（</w:t>
                  </w:r>
                  <w:r>
                    <w:rPr>
                      <w:rFonts w:hint="default" w:ascii="Times New Roman" w:hAnsi="Times New Roman" w:eastAsia="宋体" w:cs="Times New Roman"/>
                      <w:b/>
                      <w:bCs/>
                      <w:i w:val="0"/>
                      <w:iCs w:val="0"/>
                      <w:color w:val="000000"/>
                      <w:kern w:val="0"/>
                      <w:sz w:val="21"/>
                      <w:szCs w:val="21"/>
                      <w:u w:val="none"/>
                      <w:lang w:val="en-US" w:eastAsia="zh-CN" w:bidi="ar"/>
                    </w:rPr>
                    <w:t>GJ/a</w:t>
                  </w:r>
                  <w:r>
                    <w:rPr>
                      <w:rFonts w:hint="eastAsia" w:ascii="宋体" w:hAnsi="宋体" w:eastAsia="宋体" w:cs="宋体"/>
                      <w:b/>
                      <w:bCs/>
                      <w:i w:val="0"/>
                      <w:iCs w:val="0"/>
                      <w:color w:val="000000"/>
                      <w:kern w:val="0"/>
                      <w:sz w:val="21"/>
                      <w:szCs w:val="21"/>
                      <w:u w:val="none"/>
                      <w:lang w:val="en-US" w:eastAsia="zh-CN" w:bidi="ar"/>
                    </w:rPr>
                    <w:t>）</w:t>
                  </w:r>
                </w:p>
              </w:tc>
            </w:tr>
            <w:tr w14:paraId="34B38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33D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清洗炉</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7B09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C152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4</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9EB1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1</w:t>
                  </w: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0C5B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7200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D5B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57.6</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C0C6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2411.597 </w:t>
                  </w:r>
                </w:p>
              </w:tc>
            </w:tr>
            <w:tr w14:paraId="72FBE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86CB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烘干炉</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0CE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4596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4</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18E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1</w:t>
                  </w: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2164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7200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B9D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57.6</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C882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2411.597 </w:t>
                  </w:r>
                </w:p>
              </w:tc>
            </w:tr>
            <w:tr w14:paraId="34272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66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077DA5">
                  <w:pPr>
                    <w:keepNext w:val="0"/>
                    <w:keepLines w:val="0"/>
                    <w:pageBreakBefore w:val="0"/>
                    <w:widowControl/>
                    <w:kinsoku/>
                    <w:wordWrap/>
                    <w:overflowPunct/>
                    <w:topLinePunct w:val="0"/>
                    <w:autoSpaceDE/>
                    <w:autoSpaceDN/>
                    <w:bidi w:val="0"/>
                    <w:adjustRightInd/>
                    <w:snapToGrid/>
                    <w:jc w:val="center"/>
                    <w:rPr>
                      <w:rFonts w:hint="default" w:ascii="Times New Roman" w:hAnsi="Times New Roman" w:eastAsia="宋体" w:cs="Times New Roman"/>
                      <w:b/>
                      <w:bCs/>
                      <w:i w:val="0"/>
                      <w:iCs w:val="0"/>
                      <w:color w:val="000000"/>
                      <w:sz w:val="21"/>
                      <w:szCs w:val="21"/>
                      <w:u w:val="none"/>
                    </w:rPr>
                  </w:pPr>
                  <w:r>
                    <w:rPr>
                      <w:rFonts w:hint="eastAsia" w:ascii="Times New Roman" w:hAnsi="Times New Roman" w:eastAsia="宋体" w:cs="Times New Roman"/>
                      <w:b/>
                      <w:bCs/>
                      <w:i w:val="0"/>
                      <w:iCs w:val="0"/>
                      <w:color w:val="000000"/>
                      <w:sz w:val="21"/>
                      <w:szCs w:val="21"/>
                      <w:u w:val="none"/>
                      <w:lang w:val="en-US" w:eastAsia="zh-CN"/>
                    </w:rPr>
                    <w:t>合计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A7A0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115.2</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6E1B">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1"/>
                      <w:szCs w:val="21"/>
                      <w:u w:val="none"/>
                      <w:lang w:val="en-US" w:eastAsia="zh-CN" w:bidi="ar"/>
                    </w:rPr>
                  </w:pPr>
                  <w:r>
                    <w:rPr>
                      <w:rFonts w:hint="default" w:ascii="Times New Roman" w:hAnsi="Times New Roman" w:eastAsia="宋体" w:cs="Times New Roman"/>
                      <w:b/>
                      <w:bCs/>
                      <w:i w:val="0"/>
                      <w:iCs w:val="0"/>
                      <w:color w:val="000000"/>
                      <w:kern w:val="0"/>
                      <w:sz w:val="21"/>
                      <w:szCs w:val="21"/>
                      <w:u w:val="none"/>
                      <w:lang w:val="en-US" w:eastAsia="zh-CN" w:bidi="ar"/>
                    </w:rPr>
                    <w:t xml:space="preserve">4823.194 </w:t>
                  </w:r>
                </w:p>
              </w:tc>
            </w:tr>
          </w:tbl>
          <w:p w14:paraId="254A0F9B">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hAnsi="Times New Roman" w:cs="Times New Roman"/>
                <w:b/>
                <w:bCs/>
                <w:color w:val="auto"/>
                <w:spacing w:val="0"/>
                <w:position w:val="0"/>
                <w:lang w:val="en-US" w:eastAsia="zh-CN"/>
              </w:rPr>
            </w:pPr>
            <w:r>
              <w:rPr>
                <w:rFonts w:hint="default" w:ascii="Times New Roman" w:hAnsi="Times New Roman" w:cs="Times New Roman"/>
                <w:b/>
                <w:bCs/>
                <w:color w:val="auto"/>
                <w:spacing w:val="0"/>
                <w:position w:val="0"/>
                <w:lang w:val="en-US" w:eastAsia="zh-CN"/>
              </w:rPr>
              <w:t>③</w:t>
            </w:r>
            <w:r>
              <w:rPr>
                <w:rFonts w:hint="eastAsia" w:ascii="Times New Roman" w:hAnsi="Times New Roman" w:cs="Times New Roman"/>
                <w:b/>
                <w:bCs/>
                <w:color w:val="auto"/>
                <w:spacing w:val="0"/>
                <w:position w:val="0"/>
                <w:lang w:val="en-US" w:eastAsia="zh-CN"/>
              </w:rPr>
              <w:t>热解炉能耗</w:t>
            </w:r>
          </w:p>
          <w:p w14:paraId="655A768F">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cs="Times New Roman"/>
                <w:b w:val="0"/>
                <w:bCs w:val="0"/>
                <w:color w:val="auto"/>
                <w:spacing w:val="0"/>
                <w:position w:val="0"/>
                <w:lang w:val="en-US" w:eastAsia="zh-CN"/>
              </w:rPr>
            </w:pPr>
            <w:r>
              <w:rPr>
                <w:rFonts w:hint="eastAsia" w:ascii="Times New Roman" w:hAnsi="Times New Roman" w:cs="Times New Roman"/>
                <w:b w:val="0"/>
                <w:bCs w:val="0"/>
                <w:color w:val="auto"/>
                <w:spacing w:val="0"/>
                <w:position w:val="0"/>
                <w:lang w:val="en-US" w:eastAsia="zh-CN"/>
              </w:rPr>
              <w:t>根据设备厂家</w:t>
            </w:r>
            <w:r>
              <w:rPr>
                <w:rFonts w:hint="eastAsia" w:ascii="Times New Roman" w:cs="Times New Roman"/>
                <w:b w:val="0"/>
                <w:bCs w:val="0"/>
                <w:color w:val="auto"/>
                <w:spacing w:val="0"/>
                <w:position w:val="0"/>
                <w:lang w:val="en-US" w:eastAsia="zh-CN"/>
              </w:rPr>
              <w:t>提供资料，1kg物料热解所需要的能量为0.5千瓦时（2160kJ），根据物料平衡，进入热解炉的物料量为26610t/a，需要热量47898GJ/a。</w:t>
            </w:r>
          </w:p>
          <w:p w14:paraId="0BBCD153">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hAnsi="Times New Roman" w:cs="Times New Roman"/>
                <w:b/>
                <w:bCs/>
                <w:color w:val="auto"/>
                <w:spacing w:val="0"/>
                <w:position w:val="0"/>
                <w:lang w:val="en-US" w:eastAsia="zh-CN"/>
              </w:rPr>
            </w:pPr>
            <w:r>
              <w:rPr>
                <w:rFonts w:hint="default" w:ascii="Times New Roman" w:hAnsi="Times New Roman" w:cs="Times New Roman"/>
                <w:b/>
                <w:bCs/>
                <w:color w:val="auto"/>
                <w:spacing w:val="0"/>
                <w:position w:val="0"/>
                <w:lang w:val="en-US" w:eastAsia="zh-CN"/>
              </w:rPr>
              <w:fldChar w:fldCharType="begin"/>
            </w:r>
            <w:r>
              <w:rPr>
                <w:rFonts w:hint="default" w:ascii="Times New Roman" w:hAnsi="Times New Roman" w:cs="Times New Roman"/>
                <w:b/>
                <w:bCs/>
                <w:color w:val="auto"/>
                <w:spacing w:val="0"/>
                <w:position w:val="0"/>
                <w:lang w:val="en-US" w:eastAsia="zh-CN"/>
              </w:rPr>
              <w:instrText xml:space="preserve"> = 4 \* GB3 \* MERGEFORMAT </w:instrText>
            </w:r>
            <w:r>
              <w:rPr>
                <w:rFonts w:hint="default" w:ascii="Times New Roman" w:hAnsi="Times New Roman" w:cs="Times New Roman"/>
                <w:b/>
                <w:bCs/>
                <w:color w:val="auto"/>
                <w:spacing w:val="0"/>
                <w:position w:val="0"/>
                <w:lang w:val="en-US" w:eastAsia="zh-CN"/>
              </w:rPr>
              <w:fldChar w:fldCharType="separate"/>
            </w:r>
            <w:r>
              <w:rPr>
                <w:b/>
                <w:bCs/>
              </w:rPr>
              <w:t>④</w:t>
            </w:r>
            <w:r>
              <w:rPr>
                <w:rFonts w:hint="default" w:ascii="Times New Roman" w:hAnsi="Times New Roman" w:cs="Times New Roman"/>
                <w:b/>
                <w:bCs/>
                <w:color w:val="auto"/>
                <w:spacing w:val="0"/>
                <w:position w:val="0"/>
                <w:lang w:val="en-US" w:eastAsia="zh-CN"/>
              </w:rPr>
              <w:fldChar w:fldCharType="end"/>
            </w:r>
            <w:r>
              <w:rPr>
                <w:rFonts w:hint="eastAsia" w:ascii="Times New Roman" w:hAnsi="Times New Roman" w:cs="Times New Roman"/>
                <w:b/>
                <w:bCs/>
                <w:color w:val="auto"/>
                <w:spacing w:val="0"/>
                <w:position w:val="0"/>
                <w:lang w:val="en-US" w:eastAsia="zh-CN"/>
              </w:rPr>
              <w:t>热平衡</w:t>
            </w:r>
          </w:p>
          <w:p w14:paraId="47372A30">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cs="Times New Roman"/>
                <w:b w:val="0"/>
                <w:bCs w:val="0"/>
                <w:color w:val="auto"/>
                <w:spacing w:val="0"/>
                <w:position w:val="0"/>
                <w:lang w:val="en-US" w:eastAsia="zh-CN"/>
              </w:rPr>
            </w:pPr>
            <w:r>
              <w:rPr>
                <w:rFonts w:hint="eastAsia" w:ascii="Times New Roman" w:cs="Times New Roman"/>
                <w:b w:val="0"/>
                <w:bCs w:val="0"/>
                <w:color w:val="auto"/>
                <w:spacing w:val="0"/>
                <w:position w:val="0"/>
                <w:lang w:val="en-US" w:eastAsia="zh-CN"/>
              </w:rPr>
              <w:t>综上，项目热平衡如下表所示：</w:t>
            </w:r>
          </w:p>
          <w:p w14:paraId="72244824">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default" w:ascii="Times New Roman" w:cs="Times New Roman"/>
                <w:b/>
                <w:bCs/>
                <w:color w:val="auto"/>
                <w:spacing w:val="0"/>
                <w:position w:val="0"/>
                <w:sz w:val="21"/>
                <w:szCs w:val="21"/>
                <w:lang w:val="en-US" w:eastAsia="zh-CN"/>
              </w:rPr>
            </w:pPr>
            <w:r>
              <w:rPr>
                <w:rFonts w:hint="eastAsia" w:ascii="Times New Roman" w:cs="Times New Roman"/>
                <w:b/>
                <w:bCs/>
                <w:color w:val="auto"/>
                <w:spacing w:val="0"/>
                <w:position w:val="0"/>
                <w:sz w:val="21"/>
                <w:szCs w:val="21"/>
                <w:lang w:val="en-US" w:eastAsia="zh-CN"/>
              </w:rPr>
              <w:t>表2-17  项目热平衡</w:t>
            </w:r>
          </w:p>
          <w:tbl>
            <w:tblPr>
              <w:tblStyle w:val="26"/>
              <w:tblW w:w="87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6"/>
              <w:gridCol w:w="1494"/>
              <w:gridCol w:w="1540"/>
              <w:gridCol w:w="1167"/>
              <w:gridCol w:w="1620"/>
              <w:gridCol w:w="1852"/>
            </w:tblGrid>
            <w:tr w14:paraId="0B8A5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jc w:val="center"/>
              </w:trPr>
              <w:tc>
                <w:tcPr>
                  <w:tcW w:w="41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976BE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热值供应</w:t>
                  </w:r>
                </w:p>
              </w:tc>
              <w:tc>
                <w:tcPr>
                  <w:tcW w:w="463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BF96D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热值需求</w:t>
                  </w:r>
                </w:p>
              </w:tc>
            </w:tr>
            <w:tr w14:paraId="11A33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3"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E26C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E04F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来源</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84BE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供热量（</w:t>
                  </w:r>
                  <w:r>
                    <w:rPr>
                      <w:rFonts w:hint="default" w:ascii="Times New Roman" w:hAnsi="Times New Roman" w:eastAsia="宋体" w:cs="Times New Roman"/>
                      <w:b/>
                      <w:bCs/>
                      <w:i w:val="0"/>
                      <w:iCs w:val="0"/>
                      <w:color w:val="000000"/>
                      <w:kern w:val="0"/>
                      <w:sz w:val="21"/>
                      <w:szCs w:val="21"/>
                      <w:u w:val="none"/>
                      <w:lang w:val="en-US" w:eastAsia="zh-CN" w:bidi="ar"/>
                    </w:rPr>
                    <w:t>GJ/a</w:t>
                  </w:r>
                  <w:r>
                    <w:rPr>
                      <w:rFonts w:hint="eastAsia" w:ascii="宋体" w:hAnsi="宋体" w:eastAsia="宋体" w:cs="宋体"/>
                      <w:b/>
                      <w:bCs/>
                      <w:i w:val="0"/>
                      <w:iCs w:val="0"/>
                      <w:color w:val="000000"/>
                      <w:kern w:val="0"/>
                      <w:sz w:val="21"/>
                      <w:szCs w:val="21"/>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2323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72F9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去向</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9E56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需热量（</w:t>
                  </w:r>
                  <w:r>
                    <w:rPr>
                      <w:rFonts w:hint="default" w:ascii="Times New Roman" w:hAnsi="Times New Roman" w:eastAsia="宋体" w:cs="Times New Roman"/>
                      <w:b/>
                      <w:bCs/>
                      <w:i w:val="0"/>
                      <w:iCs w:val="0"/>
                      <w:color w:val="000000"/>
                      <w:kern w:val="0"/>
                      <w:sz w:val="21"/>
                      <w:szCs w:val="21"/>
                      <w:u w:val="none"/>
                      <w:lang w:val="en-US" w:eastAsia="zh-CN" w:bidi="ar"/>
                    </w:rPr>
                    <w:t>GJ/a</w:t>
                  </w:r>
                  <w:r>
                    <w:rPr>
                      <w:rFonts w:hint="eastAsia" w:ascii="宋体" w:hAnsi="宋体" w:eastAsia="宋体" w:cs="宋体"/>
                      <w:b/>
                      <w:bCs/>
                      <w:i w:val="0"/>
                      <w:iCs w:val="0"/>
                      <w:color w:val="000000"/>
                      <w:kern w:val="0"/>
                      <w:sz w:val="21"/>
                      <w:szCs w:val="21"/>
                      <w:u w:val="none"/>
                      <w:lang w:val="en-US" w:eastAsia="zh-CN" w:bidi="ar"/>
                    </w:rPr>
                    <w:t>）</w:t>
                  </w:r>
                </w:p>
              </w:tc>
            </w:tr>
            <w:tr w14:paraId="3E688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F22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6A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热解油</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05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50775.417 </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B786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CF8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清洗炉</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B57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2411.597 </w:t>
                  </w:r>
                </w:p>
              </w:tc>
            </w:tr>
            <w:tr w14:paraId="42003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809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29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不凝气</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CE8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7640.406 </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E8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AB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烘干炉</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8C7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2411.597 </w:t>
                  </w:r>
                </w:p>
              </w:tc>
            </w:tr>
            <w:tr w14:paraId="3CF66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0973">
                  <w:pPr>
                    <w:jc w:val="center"/>
                    <w:rPr>
                      <w:rFonts w:hint="default" w:ascii="Times New Roman" w:hAnsi="Times New Roman" w:eastAsia="宋体" w:cs="Times New Roman"/>
                      <w:i w:val="0"/>
                      <w:iCs w:val="0"/>
                      <w:color w:val="000000"/>
                      <w:sz w:val="21"/>
                      <w:szCs w:val="21"/>
                      <w:u w:val="none"/>
                    </w:rPr>
                  </w:pP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23280">
                  <w:pPr>
                    <w:jc w:val="center"/>
                    <w:rPr>
                      <w:rFonts w:hint="default" w:ascii="Times New Roman" w:hAnsi="Times New Roman" w:eastAsia="宋体" w:cs="Times New Roman"/>
                      <w:i w:val="0"/>
                      <w:iCs w:val="0"/>
                      <w:color w:val="000000"/>
                      <w:sz w:val="21"/>
                      <w:szCs w:val="21"/>
                      <w:u w:val="none"/>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7F19">
                  <w:pPr>
                    <w:jc w:val="center"/>
                    <w:rPr>
                      <w:rFonts w:hint="default" w:ascii="Times New Roman" w:hAnsi="Times New Roman" w:eastAsia="宋体" w:cs="Times New Roman"/>
                      <w:i w:val="0"/>
                      <w:iCs w:val="0"/>
                      <w:color w:val="000000"/>
                      <w:sz w:val="21"/>
                      <w:szCs w:val="21"/>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7A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03C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热解炉（用气）</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50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7487.598 </w:t>
                  </w:r>
                </w:p>
              </w:tc>
            </w:tr>
            <w:tr w14:paraId="6C746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EC925">
                  <w:pPr>
                    <w:jc w:val="center"/>
                    <w:rPr>
                      <w:rFonts w:hint="default" w:ascii="Times New Roman" w:hAnsi="Times New Roman" w:eastAsia="宋体" w:cs="Times New Roman"/>
                      <w:i w:val="0"/>
                      <w:iCs w:val="0"/>
                      <w:color w:val="000000"/>
                      <w:sz w:val="21"/>
                      <w:szCs w:val="21"/>
                      <w:u w:val="none"/>
                    </w:rPr>
                  </w:pP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CC52C">
                  <w:pPr>
                    <w:jc w:val="center"/>
                    <w:rPr>
                      <w:rFonts w:hint="default" w:ascii="Times New Roman" w:hAnsi="Times New Roman" w:eastAsia="宋体" w:cs="Times New Roman"/>
                      <w:i w:val="0"/>
                      <w:iCs w:val="0"/>
                      <w:color w:val="000000"/>
                      <w:sz w:val="21"/>
                      <w:szCs w:val="21"/>
                      <w:u w:val="none"/>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F5D7">
                  <w:pPr>
                    <w:jc w:val="center"/>
                    <w:rPr>
                      <w:rFonts w:hint="default" w:ascii="Times New Roman" w:hAnsi="Times New Roman" w:eastAsia="宋体" w:cs="Times New Roman"/>
                      <w:i w:val="0"/>
                      <w:iCs w:val="0"/>
                      <w:color w:val="000000"/>
                      <w:sz w:val="21"/>
                      <w:szCs w:val="21"/>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92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E4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热解炉（用油）</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6A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40410.402 </w:t>
                  </w:r>
                </w:p>
              </w:tc>
            </w:tr>
            <w:tr w14:paraId="16D37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84ACB">
                  <w:pPr>
                    <w:jc w:val="center"/>
                    <w:rPr>
                      <w:rFonts w:hint="default" w:ascii="Times New Roman" w:hAnsi="Times New Roman" w:eastAsia="宋体" w:cs="Times New Roman"/>
                      <w:i w:val="0"/>
                      <w:iCs w:val="0"/>
                      <w:color w:val="000000"/>
                      <w:sz w:val="21"/>
                      <w:szCs w:val="21"/>
                      <w:u w:val="none"/>
                    </w:rPr>
                  </w:pP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612AA">
                  <w:pPr>
                    <w:jc w:val="center"/>
                    <w:rPr>
                      <w:rFonts w:hint="default" w:ascii="Times New Roman" w:hAnsi="Times New Roman" w:eastAsia="宋体" w:cs="Times New Roman"/>
                      <w:i w:val="0"/>
                      <w:iCs w:val="0"/>
                      <w:color w:val="000000"/>
                      <w:sz w:val="21"/>
                      <w:szCs w:val="21"/>
                      <w:u w:val="none"/>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8155">
                  <w:pPr>
                    <w:jc w:val="center"/>
                    <w:rPr>
                      <w:rFonts w:hint="default" w:ascii="Times New Roman" w:hAnsi="Times New Roman" w:eastAsia="宋体" w:cs="Times New Roman"/>
                      <w:i w:val="0"/>
                      <w:iCs w:val="0"/>
                      <w:color w:val="000000"/>
                      <w:sz w:val="21"/>
                      <w:szCs w:val="21"/>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DF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EEB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燃烧室（用气）</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C4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152.808 </w:t>
                  </w:r>
                </w:p>
              </w:tc>
            </w:tr>
            <w:tr w14:paraId="43986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2A01B">
                  <w:pPr>
                    <w:jc w:val="center"/>
                    <w:rPr>
                      <w:rFonts w:hint="default" w:ascii="Times New Roman" w:hAnsi="Times New Roman" w:eastAsia="宋体" w:cs="Times New Roman"/>
                      <w:i w:val="0"/>
                      <w:iCs w:val="0"/>
                      <w:color w:val="000000"/>
                      <w:sz w:val="21"/>
                      <w:szCs w:val="21"/>
                      <w:u w:val="none"/>
                    </w:rPr>
                  </w:pP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37A90">
                  <w:pPr>
                    <w:jc w:val="center"/>
                    <w:rPr>
                      <w:rFonts w:hint="default" w:ascii="Times New Roman" w:hAnsi="Times New Roman" w:eastAsia="宋体" w:cs="Times New Roman"/>
                      <w:i w:val="0"/>
                      <w:iCs w:val="0"/>
                      <w:color w:val="000000"/>
                      <w:sz w:val="21"/>
                      <w:szCs w:val="21"/>
                      <w:u w:val="none"/>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1195A">
                  <w:pPr>
                    <w:jc w:val="center"/>
                    <w:rPr>
                      <w:rFonts w:hint="default" w:ascii="Times New Roman" w:hAnsi="Times New Roman" w:eastAsia="宋体" w:cs="Times New Roman"/>
                      <w:i w:val="0"/>
                      <w:iCs w:val="0"/>
                      <w:color w:val="000000"/>
                      <w:sz w:val="21"/>
                      <w:szCs w:val="21"/>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340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B4A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成品油</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A42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5541.821 </w:t>
                  </w:r>
                </w:p>
              </w:tc>
            </w:tr>
            <w:tr w14:paraId="59D33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 w:hRule="atLeast"/>
                <w:jc w:val="center"/>
              </w:trPr>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DF9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8771">
                  <w:pPr>
                    <w:jc w:val="center"/>
                    <w:rPr>
                      <w:rFonts w:hint="default" w:ascii="Times New Roman" w:hAnsi="Times New Roman" w:eastAsia="宋体" w:cs="Times New Roman"/>
                      <w:b/>
                      <w:bCs/>
                      <w:i w:val="0"/>
                      <w:iCs w:val="0"/>
                      <w:color w:val="000000"/>
                      <w:sz w:val="21"/>
                      <w:szCs w:val="21"/>
                      <w:u w:val="none"/>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BB9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 xml:space="preserve">58415.823 </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094C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953C">
                  <w:pPr>
                    <w:jc w:val="center"/>
                    <w:rPr>
                      <w:rFonts w:hint="default" w:ascii="Times New Roman" w:hAnsi="Times New Roman" w:eastAsia="宋体" w:cs="Times New Roman"/>
                      <w:b/>
                      <w:bCs/>
                      <w:i w:val="0"/>
                      <w:iCs w:val="0"/>
                      <w:color w:val="000000"/>
                      <w:sz w:val="21"/>
                      <w:szCs w:val="21"/>
                      <w:u w:val="none"/>
                    </w:rPr>
                  </w:pP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5918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 xml:space="preserve">58415.823 </w:t>
                  </w:r>
                </w:p>
              </w:tc>
            </w:tr>
          </w:tbl>
          <w:p w14:paraId="4F6CF9F8">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hAnsi="Times New Roman" w:cs="Times New Roman"/>
                <w:b/>
                <w:bCs/>
                <w:color w:val="auto"/>
                <w:kern w:val="2"/>
                <w:sz w:val="24"/>
                <w:szCs w:val="24"/>
                <w:highlight w:val="none"/>
                <w:lang w:val="en-US" w:eastAsia="zh-CN" w:bidi="ar-SA"/>
              </w:rPr>
            </w:pPr>
            <w:r>
              <w:rPr>
                <w:rFonts w:hint="eastAsia" w:ascii="Times New Roman" w:cs="Times New Roman"/>
                <w:b/>
                <w:bCs/>
                <w:color w:val="auto"/>
                <w:spacing w:val="0"/>
                <w:position w:val="0"/>
                <w:lang w:val="en-US" w:eastAsia="zh-CN"/>
              </w:rPr>
              <w:t>（5）</w:t>
            </w:r>
            <w:r>
              <w:rPr>
                <w:rFonts w:hint="eastAsia" w:ascii="Times New Roman" w:cs="Times New Roman"/>
                <w:b/>
                <w:bCs/>
                <w:color w:val="auto"/>
                <w:kern w:val="2"/>
                <w:sz w:val="24"/>
                <w:szCs w:val="24"/>
                <w:highlight w:val="none"/>
                <w:lang w:val="en-US" w:eastAsia="zh-CN" w:bidi="ar-SA"/>
              </w:rPr>
              <w:t>片碱用量核算</w:t>
            </w:r>
          </w:p>
          <w:p w14:paraId="5CE530A9">
            <w:pPr>
              <w:keepNext w:val="0"/>
              <w:keepLines w:val="0"/>
              <w:pageBreakBefore w:val="0"/>
              <w:widowControl w:val="0"/>
              <w:kinsoku/>
              <w:wordWrap/>
              <w:overflowPunct/>
              <w:topLinePunct w:val="0"/>
              <w:autoSpaceDE/>
              <w:autoSpaceDN/>
              <w:bidi w:val="0"/>
              <w:adjustRightInd w:val="0"/>
              <w:snapToGrid/>
              <w:spacing w:line="480" w:lineRule="atLeast"/>
              <w:ind w:firstLine="482" w:firstLineChars="200"/>
              <w:textAlignment w:val="auto"/>
              <w:rPr>
                <w:rFonts w:hint="default" w:cs="Times New Roman"/>
                <w:b/>
                <w:bCs/>
                <w:color w:val="auto"/>
                <w:sz w:val="24"/>
                <w:highlight w:val="none"/>
                <w:lang w:val="en-US" w:eastAsia="zh-CN"/>
              </w:rPr>
            </w:pPr>
            <w:r>
              <w:rPr>
                <w:rFonts w:hint="eastAsia" w:cs="Times New Roman"/>
                <w:b/>
                <w:bCs/>
                <w:color w:val="auto"/>
                <w:sz w:val="24"/>
                <w:highlight w:val="none"/>
                <w:lang w:val="en-US" w:eastAsia="zh-CN"/>
              </w:rPr>
              <w:t>A.碱洗工序片碱用量</w:t>
            </w:r>
          </w:p>
          <w:p w14:paraId="5131A68D">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cs="Times New Roman"/>
                <w:color w:val="auto"/>
                <w:sz w:val="24"/>
                <w:highlight w:val="none"/>
                <w:lang w:val="en-US" w:eastAsia="zh-CN"/>
              </w:rPr>
            </w:pPr>
            <w:r>
              <w:rPr>
                <w:rFonts w:hint="eastAsia" w:cs="Times New Roman"/>
                <w:color w:val="auto"/>
                <w:sz w:val="24"/>
                <w:highlight w:val="none"/>
                <w:lang w:val="en-US" w:eastAsia="zh-CN"/>
              </w:rPr>
              <w:t>项目设2台卧式清洗炉，炉体直径2.8m，长6.4m。选出玻璃首先采用清洗炉碱洗，清洗炉内采用片碱+水配制30%的碱液，每炉碱液量设计为炉体容量的一半，约20m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。物料经碱液清洗后，进入小直线筛过滤，过滤的碱液流入清洗炉下方的沉淀池（50m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），沉淀后循环利用。沉淀池定期捞渣，定期补充新鲜水，不产生废水外排。</w:t>
            </w:r>
          </w:p>
          <w:p w14:paraId="195F3BF6">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每个清洗炉工作能力为8炉/天，则循环碱液量为160m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/d。循环碱洗过程会有损耗，损耗量按循环量的1%计，则需补充碱液1.6m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/d，其中新鲜水补充量为1.12m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/d，片碱补充量为0.48t/d。则碱洗工序用碱量为144t/a。</w:t>
            </w:r>
          </w:p>
          <w:p w14:paraId="14DBFD0E">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hAnsi="Times New Roman" w:cs="Times New Roman"/>
                <w:b/>
                <w:bCs/>
                <w:color w:val="auto"/>
                <w:kern w:val="2"/>
                <w:sz w:val="24"/>
                <w:szCs w:val="24"/>
                <w:highlight w:val="none"/>
                <w:lang w:val="en-US" w:eastAsia="zh-CN" w:bidi="ar-SA"/>
              </w:rPr>
            </w:pPr>
            <w:r>
              <w:rPr>
                <w:rFonts w:hint="eastAsia" w:ascii="Times New Roman" w:cs="Times New Roman"/>
                <w:b/>
                <w:bCs/>
                <w:color w:val="auto"/>
                <w:kern w:val="2"/>
                <w:sz w:val="24"/>
                <w:szCs w:val="24"/>
                <w:highlight w:val="none"/>
                <w:lang w:val="en-US" w:eastAsia="zh-CN" w:bidi="ar-SA"/>
              </w:rPr>
              <w:t>B.中和片碱用量</w:t>
            </w:r>
          </w:p>
          <w:p w14:paraId="1674E2FC">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Times New Roman" w:hAnsi="Times New Roman" w:cs="Times New Roman"/>
                <w:color w:val="auto"/>
                <w:kern w:val="2"/>
                <w:sz w:val="24"/>
                <w:szCs w:val="24"/>
                <w:highlight w:val="none"/>
                <w:lang w:val="en-US" w:eastAsia="zh-CN" w:bidi="ar-SA"/>
              </w:rPr>
            </w:pPr>
            <w:r>
              <w:rPr>
                <w:rFonts w:hint="eastAsia" w:ascii="Times New Roman" w:cs="Times New Roman"/>
                <w:color w:val="auto"/>
                <w:kern w:val="2"/>
                <w:sz w:val="24"/>
                <w:szCs w:val="24"/>
                <w:highlight w:val="none"/>
                <w:lang w:val="en-US" w:eastAsia="zh-CN" w:bidi="ar-SA"/>
              </w:rPr>
              <w:t>污水中和采用片碱，用量约0.2</w:t>
            </w:r>
            <w:r>
              <w:rPr>
                <w:rFonts w:hint="eastAsia" w:ascii="Times New Roman" w:hAnsi="Times New Roman" w:cs="Times New Roman"/>
                <w:color w:val="auto"/>
                <w:kern w:val="2"/>
                <w:sz w:val="24"/>
                <w:szCs w:val="24"/>
                <w:highlight w:val="none"/>
                <w:lang w:val="en-US" w:eastAsia="zh-CN" w:bidi="ar-SA"/>
              </w:rPr>
              <w:t>t/a。</w:t>
            </w:r>
          </w:p>
          <w:p w14:paraId="3A0CB0E6">
            <w:pPr>
              <w:pStyle w:val="25"/>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default" w:ascii="Times New Roman" w:hAnsi="Times New Roman" w:cs="Times New Roman"/>
                <w:b/>
                <w:bCs/>
                <w:color w:val="auto"/>
                <w:spacing w:val="0"/>
                <w:position w:val="0"/>
                <w:lang w:val="en-US" w:eastAsia="zh-CN"/>
              </w:rPr>
            </w:pPr>
            <w:r>
              <w:rPr>
                <w:rFonts w:hint="eastAsia" w:ascii="Times New Roman" w:cs="Times New Roman"/>
                <w:b/>
                <w:bCs/>
                <w:color w:val="auto"/>
                <w:spacing w:val="0"/>
                <w:position w:val="0"/>
                <w:lang w:val="en-US" w:eastAsia="zh-CN"/>
              </w:rPr>
              <w:t>（6）主要</w:t>
            </w:r>
            <w:r>
              <w:rPr>
                <w:rFonts w:hint="eastAsia" w:ascii="Times New Roman" w:hAnsi="Times New Roman" w:cs="Times New Roman"/>
                <w:b/>
                <w:bCs/>
                <w:color w:val="auto"/>
                <w:spacing w:val="0"/>
                <w:position w:val="0"/>
                <w:lang w:val="en-US" w:eastAsia="zh-CN"/>
              </w:rPr>
              <w:t>原辅料理化性质</w:t>
            </w:r>
          </w:p>
          <w:p w14:paraId="706BA13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eastAsia" w:ascii="Times New Roman" w:hAnsi="Times New Roman" w:eastAsia="宋体" w:cs="Times New Roman"/>
                <w:b/>
                <w:bCs w:val="0"/>
                <w:color w:val="auto"/>
                <w:kern w:val="2"/>
                <w:sz w:val="21"/>
                <w:szCs w:val="21"/>
                <w:lang w:val="en-US" w:eastAsia="zh-CN" w:bidi="ar-SA"/>
              </w:rPr>
              <w:t>表2-</w:t>
            </w:r>
            <w:r>
              <w:rPr>
                <w:rFonts w:hint="eastAsia" w:cs="Times New Roman"/>
                <w:b/>
                <w:bCs w:val="0"/>
                <w:color w:val="auto"/>
                <w:kern w:val="2"/>
                <w:sz w:val="21"/>
                <w:szCs w:val="21"/>
                <w:lang w:val="en-US" w:eastAsia="zh-CN" w:bidi="ar-SA"/>
              </w:rPr>
              <w:t>18</w:t>
            </w:r>
            <w:r>
              <w:rPr>
                <w:rFonts w:hint="eastAsia" w:ascii="Times New Roman" w:hAnsi="Times New Roman" w:eastAsia="宋体" w:cs="Times New Roman"/>
                <w:b/>
                <w:bCs w:val="0"/>
                <w:color w:val="auto"/>
                <w:kern w:val="2"/>
                <w:sz w:val="21"/>
                <w:szCs w:val="21"/>
                <w:lang w:val="en-US" w:eastAsia="zh-CN" w:bidi="ar-SA"/>
              </w:rPr>
              <w:t xml:space="preserve">  主要原辅材料理化性质一览表</w:t>
            </w:r>
          </w:p>
          <w:tbl>
            <w:tblPr>
              <w:tblStyle w:val="26"/>
              <w:tblW w:w="50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883"/>
              <w:gridCol w:w="3984"/>
              <w:gridCol w:w="1380"/>
              <w:gridCol w:w="1980"/>
            </w:tblGrid>
            <w:tr w14:paraId="47EAF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noWrap w:val="0"/>
                  <w:vAlign w:val="center"/>
                </w:tcPr>
                <w:p w14:paraId="268CCA7E">
                  <w:pPr>
                    <w:pStyle w:val="98"/>
                    <w:bidi w:val="0"/>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序号</w:t>
                  </w:r>
                </w:p>
              </w:tc>
              <w:tc>
                <w:tcPr>
                  <w:tcW w:w="494" w:type="pct"/>
                  <w:noWrap w:val="0"/>
                  <w:vAlign w:val="center"/>
                </w:tcPr>
                <w:p w14:paraId="0AC13FFD">
                  <w:pPr>
                    <w:pStyle w:val="98"/>
                    <w:bidi w:val="0"/>
                    <w:jc w:val="center"/>
                    <w:rPr>
                      <w:rFonts w:hint="default" w:ascii="Times New Roman" w:hAnsi="Times New Roman" w:eastAsia="宋体" w:cs="Times New Roman"/>
                      <w:b/>
                      <w:bCs/>
                      <w:color w:val="auto"/>
                    </w:rPr>
                  </w:pPr>
                  <w:r>
                    <w:rPr>
                      <w:rFonts w:hint="eastAsia" w:eastAsia="宋体" w:cs="Times New Roman"/>
                      <w:b/>
                      <w:bCs/>
                      <w:color w:val="auto"/>
                      <w:lang w:val="en-US" w:eastAsia="zh-CN"/>
                    </w:rPr>
                    <w:t>物料</w:t>
                  </w:r>
                  <w:r>
                    <w:rPr>
                      <w:rFonts w:hint="default" w:ascii="Times New Roman" w:hAnsi="Times New Roman" w:eastAsia="宋体" w:cs="Times New Roman"/>
                      <w:b/>
                      <w:bCs/>
                      <w:color w:val="auto"/>
                    </w:rPr>
                    <w:t>名称</w:t>
                  </w:r>
                </w:p>
              </w:tc>
              <w:tc>
                <w:tcPr>
                  <w:tcW w:w="2232" w:type="pct"/>
                  <w:noWrap w:val="0"/>
                  <w:vAlign w:val="center"/>
                </w:tcPr>
                <w:p w14:paraId="26B1CE32">
                  <w:pPr>
                    <w:pStyle w:val="98"/>
                    <w:bidi w:val="0"/>
                    <w:jc w:val="center"/>
                    <w:rPr>
                      <w:rFonts w:hint="default" w:ascii="Times New Roman" w:hAnsi="Times New Roman" w:eastAsia="宋体" w:cs="Times New Roman"/>
                      <w:b/>
                      <w:bCs/>
                      <w:color w:val="auto"/>
                      <w:lang w:eastAsia="zh-CN"/>
                    </w:rPr>
                  </w:pPr>
                  <w:r>
                    <w:rPr>
                      <w:rFonts w:hint="default" w:ascii="Times New Roman" w:hAnsi="Times New Roman" w:eastAsia="宋体" w:cs="Times New Roman"/>
                      <w:b/>
                      <w:bCs/>
                      <w:color w:val="auto"/>
                      <w:lang w:val="en-US" w:eastAsia="zh-CN"/>
                    </w:rPr>
                    <w:t>理化性质</w:t>
                  </w:r>
                </w:p>
              </w:tc>
              <w:tc>
                <w:tcPr>
                  <w:tcW w:w="773" w:type="pct"/>
                  <w:noWrap w:val="0"/>
                  <w:vAlign w:val="center"/>
                </w:tcPr>
                <w:p w14:paraId="0A96FEE0">
                  <w:pPr>
                    <w:pStyle w:val="98"/>
                    <w:bidi w:val="0"/>
                    <w:jc w:val="center"/>
                    <w:rPr>
                      <w:rFonts w:hint="default" w:ascii="Times New Roman" w:hAnsi="Times New Roman" w:eastAsia="宋体" w:cs="Times New Roman"/>
                      <w:b/>
                      <w:bCs/>
                      <w:color w:val="auto"/>
                      <w:lang w:val="en-US" w:eastAsia="zh-CN"/>
                    </w:rPr>
                  </w:pPr>
                  <w:r>
                    <w:rPr>
                      <w:rFonts w:hint="eastAsia" w:eastAsia="宋体" w:cs="Times New Roman"/>
                      <w:b/>
                      <w:bCs/>
                      <w:color w:val="auto"/>
                      <w:lang w:val="en-US" w:eastAsia="zh-CN"/>
                    </w:rPr>
                    <w:t>燃烧爆炸性</w:t>
                  </w:r>
                </w:p>
              </w:tc>
              <w:tc>
                <w:tcPr>
                  <w:tcW w:w="1109" w:type="pct"/>
                  <w:noWrap w:val="0"/>
                  <w:vAlign w:val="center"/>
                </w:tcPr>
                <w:p w14:paraId="2B3EC371">
                  <w:pPr>
                    <w:pStyle w:val="98"/>
                    <w:bidi w:val="0"/>
                    <w:jc w:val="center"/>
                    <w:rPr>
                      <w:rFonts w:hint="default" w:ascii="Times New Roman" w:hAnsi="Times New Roman" w:eastAsia="宋体" w:cs="Times New Roman"/>
                      <w:b/>
                      <w:bCs/>
                      <w:color w:val="auto"/>
                      <w:lang w:val="en-US" w:eastAsia="zh-CN"/>
                    </w:rPr>
                  </w:pPr>
                  <w:r>
                    <w:rPr>
                      <w:rFonts w:hint="eastAsia" w:eastAsia="宋体" w:cs="Times New Roman"/>
                      <w:b/>
                      <w:bCs/>
                      <w:color w:val="auto"/>
                      <w:lang w:val="en-US" w:eastAsia="zh-CN"/>
                    </w:rPr>
                    <w:t>毒性毒理</w:t>
                  </w:r>
                </w:p>
              </w:tc>
            </w:tr>
            <w:tr w14:paraId="52660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shd w:val="clear" w:color="auto" w:fill="auto"/>
                  <w:noWrap w:val="0"/>
                  <w:vAlign w:val="center"/>
                </w:tcPr>
                <w:p w14:paraId="19037F50">
                  <w:pPr>
                    <w:pStyle w:val="98"/>
                    <w:bidi w:val="0"/>
                    <w:ind w:left="-21" w:leftChars="-10" w:right="-21" w:rightChars="-1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lang w:val="en-US" w:eastAsia="zh-CN"/>
                    </w:rPr>
                    <w:t>1</w:t>
                  </w:r>
                </w:p>
              </w:tc>
              <w:tc>
                <w:tcPr>
                  <w:tcW w:w="494" w:type="pct"/>
                  <w:shd w:val="clear" w:color="auto" w:fill="auto"/>
                  <w:noWrap w:val="0"/>
                  <w:vAlign w:val="center"/>
                </w:tcPr>
                <w:p w14:paraId="5A41231B">
                  <w:pPr>
                    <w:pStyle w:val="98"/>
                    <w:bidi w:val="0"/>
                    <w:ind w:left="-21" w:leftChars="-10" w:right="-21" w:rightChars="-1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lang w:val="en-US" w:eastAsia="zh-CN"/>
                    </w:rPr>
                    <w:t>EVA</w:t>
                  </w:r>
                </w:p>
              </w:tc>
              <w:tc>
                <w:tcPr>
                  <w:tcW w:w="2232" w:type="pct"/>
                  <w:shd w:val="clear" w:color="auto" w:fill="auto"/>
                  <w:noWrap w:val="0"/>
                  <w:vAlign w:val="center"/>
                </w:tcPr>
                <w:p w14:paraId="6150F2AA">
                  <w:pPr>
                    <w:pStyle w:val="98"/>
                    <w:bidi w:val="0"/>
                    <w:ind w:left="0" w:leftChars="0" w:right="-21" w:rightChars="-1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主要成分为乙烯醋酸乙烯共聚物。分子式：（C</w:t>
                  </w:r>
                  <w:r>
                    <w:rPr>
                      <w:rFonts w:hint="eastAsia" w:eastAsia="宋体" w:cs="Times New Roman"/>
                      <w:color w:val="auto"/>
                      <w:kern w:val="2"/>
                      <w:sz w:val="21"/>
                      <w:szCs w:val="21"/>
                      <w:vertAlign w:val="subscript"/>
                      <w:lang w:val="en-US" w:eastAsia="zh-CN" w:bidi="ar-SA"/>
                    </w:rPr>
                    <w:t>2</w:t>
                  </w:r>
                  <w:r>
                    <w:rPr>
                      <w:rFonts w:hint="eastAsia" w:eastAsia="宋体" w:cs="Times New Roman"/>
                      <w:color w:val="auto"/>
                      <w:kern w:val="2"/>
                      <w:sz w:val="21"/>
                      <w:szCs w:val="21"/>
                      <w:lang w:val="en-US" w:eastAsia="zh-CN" w:bidi="ar-SA"/>
                    </w:rPr>
                    <w:t>H</w:t>
                  </w:r>
                  <w:r>
                    <w:rPr>
                      <w:rFonts w:hint="eastAsia" w:eastAsia="宋体" w:cs="Times New Roman"/>
                      <w:color w:val="auto"/>
                      <w:kern w:val="2"/>
                      <w:sz w:val="21"/>
                      <w:szCs w:val="21"/>
                      <w:vertAlign w:val="subscript"/>
                      <w:lang w:val="en-US" w:eastAsia="zh-CN" w:bidi="ar-SA"/>
                    </w:rPr>
                    <w:t>4</w:t>
                  </w:r>
                  <w:r>
                    <w:rPr>
                      <w:rFonts w:hint="eastAsia" w:eastAsia="宋体" w:cs="Times New Roman"/>
                      <w:color w:val="auto"/>
                      <w:kern w:val="2"/>
                      <w:sz w:val="21"/>
                      <w:szCs w:val="21"/>
                      <w:lang w:val="en-US" w:eastAsia="zh-CN" w:bidi="ar-SA"/>
                    </w:rPr>
                    <w:t>)x.(C</w:t>
                  </w:r>
                  <w:r>
                    <w:rPr>
                      <w:rFonts w:hint="eastAsia" w:eastAsia="宋体" w:cs="Times New Roman"/>
                      <w:color w:val="auto"/>
                      <w:kern w:val="2"/>
                      <w:sz w:val="21"/>
                      <w:szCs w:val="21"/>
                      <w:vertAlign w:val="subscript"/>
                      <w:lang w:val="en-US" w:eastAsia="zh-CN" w:bidi="ar-SA"/>
                    </w:rPr>
                    <w:t>4</w:t>
                  </w:r>
                  <w:r>
                    <w:rPr>
                      <w:rFonts w:hint="eastAsia" w:eastAsia="宋体" w:cs="Times New Roman"/>
                      <w:color w:val="auto"/>
                      <w:kern w:val="2"/>
                      <w:sz w:val="21"/>
                      <w:szCs w:val="21"/>
                      <w:lang w:val="en-US" w:eastAsia="zh-CN" w:bidi="ar-SA"/>
                    </w:rPr>
                    <w:t>H</w:t>
                  </w:r>
                  <w:r>
                    <w:rPr>
                      <w:rFonts w:hint="eastAsia" w:eastAsia="宋体" w:cs="Times New Roman"/>
                      <w:color w:val="auto"/>
                      <w:kern w:val="2"/>
                      <w:sz w:val="21"/>
                      <w:szCs w:val="21"/>
                      <w:vertAlign w:val="subscript"/>
                      <w:lang w:val="en-US" w:eastAsia="zh-CN" w:bidi="ar-SA"/>
                    </w:rPr>
                    <w:t>6</w:t>
                  </w:r>
                  <w:r>
                    <w:rPr>
                      <w:rFonts w:hint="eastAsia" w:eastAsia="宋体" w:cs="Times New Roman"/>
                      <w:color w:val="auto"/>
                      <w:kern w:val="2"/>
                      <w:sz w:val="21"/>
                      <w:szCs w:val="21"/>
                      <w:lang w:val="en-US" w:eastAsia="zh-CN" w:bidi="ar-SA"/>
                    </w:rPr>
                    <w:t>O</w:t>
                  </w:r>
                  <w:r>
                    <w:rPr>
                      <w:rFonts w:hint="eastAsia" w:eastAsia="宋体" w:cs="Times New Roman"/>
                      <w:color w:val="auto"/>
                      <w:kern w:val="2"/>
                      <w:sz w:val="21"/>
                      <w:szCs w:val="21"/>
                      <w:vertAlign w:val="subscript"/>
                      <w:lang w:val="en-US" w:eastAsia="zh-CN" w:bidi="ar-SA"/>
                    </w:rPr>
                    <w:t>2</w:t>
                  </w:r>
                  <w:r>
                    <w:rPr>
                      <w:rFonts w:hint="eastAsia" w:eastAsia="宋体" w:cs="Times New Roman"/>
                      <w:color w:val="auto"/>
                      <w:kern w:val="2"/>
                      <w:sz w:val="21"/>
                      <w:szCs w:val="21"/>
                      <w:lang w:val="en-US" w:eastAsia="zh-CN" w:bidi="ar-SA"/>
                    </w:rPr>
                    <w:t>)y；平均分子量：2000；密度0.92~0.98g/cm</w:t>
                  </w:r>
                  <w:r>
                    <w:rPr>
                      <w:rFonts w:hint="eastAsia" w:eastAsia="宋体" w:cs="Times New Roman"/>
                      <w:color w:val="auto"/>
                      <w:kern w:val="2"/>
                      <w:sz w:val="21"/>
                      <w:szCs w:val="21"/>
                      <w:vertAlign w:val="superscript"/>
                      <w:lang w:val="en-US" w:eastAsia="zh-CN" w:bidi="ar-SA"/>
                    </w:rPr>
                    <w:t>3</w:t>
                  </w:r>
                  <w:r>
                    <w:rPr>
                      <w:rFonts w:hint="eastAsia" w:eastAsia="宋体" w:cs="Times New Roman"/>
                      <w:color w:val="auto"/>
                      <w:kern w:val="2"/>
                      <w:sz w:val="21"/>
                      <w:szCs w:val="21"/>
                      <w:lang w:val="en-US" w:eastAsia="zh-CN" w:bidi="ar-SA"/>
                    </w:rPr>
                    <w:t>;不溶于水，具有良好的化学稳定性、耐老化、耐臭氧性。热分解温度230~250℃。</w:t>
                  </w:r>
                </w:p>
              </w:tc>
              <w:tc>
                <w:tcPr>
                  <w:tcW w:w="773" w:type="pct"/>
                  <w:shd w:val="clear" w:color="auto" w:fill="auto"/>
                  <w:noWrap w:val="0"/>
                  <w:vAlign w:val="center"/>
                </w:tcPr>
                <w:p w14:paraId="4842C894">
                  <w:pPr>
                    <w:pStyle w:val="98"/>
                    <w:bidi w:val="0"/>
                    <w:ind w:left="0" w:leftChars="0" w:right="-21" w:rightChars="-10" w:firstLine="0" w:firstLineChars="0"/>
                    <w:jc w:val="center"/>
                    <w:rPr>
                      <w:rFonts w:hint="default"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可燃</w:t>
                  </w:r>
                </w:p>
              </w:tc>
              <w:tc>
                <w:tcPr>
                  <w:tcW w:w="1109" w:type="pct"/>
                  <w:shd w:val="clear" w:color="auto" w:fill="auto"/>
                  <w:noWrap w:val="0"/>
                  <w:vAlign w:val="center"/>
                </w:tcPr>
                <w:p w14:paraId="2BF054DD">
                  <w:pPr>
                    <w:pStyle w:val="98"/>
                    <w:bidi w:val="0"/>
                    <w:ind w:left="0" w:leftChars="0" w:right="-21" w:rightChars="-10" w:firstLine="0" w:firstLineChars="0"/>
                    <w:jc w:val="center"/>
                    <w:rPr>
                      <w:rFonts w:hint="default"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w:t>
                  </w:r>
                </w:p>
              </w:tc>
            </w:tr>
            <w:tr w14:paraId="4A876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noWrap w:val="0"/>
                  <w:vAlign w:val="center"/>
                </w:tcPr>
                <w:p w14:paraId="486B5004">
                  <w:pPr>
                    <w:pStyle w:val="98"/>
                    <w:bidi w:val="0"/>
                    <w:jc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2</w:t>
                  </w:r>
                </w:p>
              </w:tc>
              <w:tc>
                <w:tcPr>
                  <w:tcW w:w="494" w:type="pct"/>
                  <w:noWrap w:val="0"/>
                  <w:vAlign w:val="center"/>
                </w:tcPr>
                <w:p w14:paraId="332D450A">
                  <w:pPr>
                    <w:pStyle w:val="98"/>
                    <w:bidi w:val="0"/>
                    <w:jc w:val="center"/>
                    <w:rPr>
                      <w:rFonts w:hint="default" w:eastAsia="宋体" w:cs="Times New Roman"/>
                      <w:color w:val="auto"/>
                      <w:lang w:val="en-US" w:eastAsia="zh-CN"/>
                    </w:rPr>
                  </w:pPr>
                  <w:r>
                    <w:rPr>
                      <w:rFonts w:hint="eastAsia" w:eastAsia="宋体" w:cs="Times New Roman"/>
                      <w:color w:val="auto"/>
                      <w:lang w:val="en-US" w:eastAsia="zh-CN"/>
                    </w:rPr>
                    <w:t>PET</w:t>
                  </w:r>
                </w:p>
              </w:tc>
              <w:tc>
                <w:tcPr>
                  <w:tcW w:w="2232" w:type="pct"/>
                  <w:noWrap w:val="0"/>
                  <w:vAlign w:val="center"/>
                </w:tcPr>
                <w:p w14:paraId="27706682">
                  <w:pPr>
                    <w:adjustRightInd/>
                    <w:snapToGrid/>
                    <w:spacing w:line="240" w:lineRule="auto"/>
                    <w:ind w:firstLine="0" w:firstLineChars="0"/>
                    <w:jc w:val="center"/>
                    <w:rPr>
                      <w:rFonts w:hint="default" w:ascii="Times New Roman" w:hAnsi="Times New Roman" w:eastAsia="宋体" w:cs="Times New Roman"/>
                      <w:color w:val="auto"/>
                      <w:lang w:val="en-US" w:eastAsia="zh-CN"/>
                    </w:rPr>
                  </w:pPr>
                  <w:r>
                    <w:rPr>
                      <w:rFonts w:hint="eastAsia" w:cs="Times New Roman"/>
                      <w:color w:val="auto"/>
                      <w:lang w:val="en-US" w:eastAsia="zh-CN"/>
                    </w:rPr>
                    <w:t>主要成分为聚对苯二甲酸乙二醇酯。</w:t>
                  </w:r>
                  <w:r>
                    <w:rPr>
                      <w:rFonts w:hint="default" w:ascii="Times New Roman" w:hAnsi="Times New Roman" w:eastAsia="宋体" w:cs="Times New Roman"/>
                      <w:color w:val="auto"/>
                      <w:sz w:val="21"/>
                      <w:szCs w:val="22"/>
                      <w:lang w:val="en-US" w:eastAsia="zh-CN"/>
                    </w:rPr>
                    <w:t>分子式：[C10H8O4]n；分子量：20000~30000；密度：1.38g/cm</w:t>
                  </w:r>
                  <w:r>
                    <w:rPr>
                      <w:rFonts w:hint="eastAsia" w:ascii="Times New Roman" w:hAnsi="Times New Roman" w:eastAsia="宋体" w:cs="Times New Roman"/>
                      <w:color w:val="auto"/>
                      <w:sz w:val="21"/>
                      <w:szCs w:val="22"/>
                      <w:vertAlign w:val="superscript"/>
                      <w:lang w:val="en-US" w:eastAsia="zh-CN"/>
                    </w:rPr>
                    <w:t>3</w:t>
                  </w:r>
                  <w:r>
                    <w:rPr>
                      <w:rFonts w:hint="default" w:ascii="Times New Roman" w:hAnsi="Times New Roman" w:eastAsia="宋体" w:cs="Times New Roman"/>
                      <w:color w:val="auto"/>
                      <w:sz w:val="21"/>
                      <w:szCs w:val="22"/>
                      <w:lang w:val="en-US" w:eastAsia="zh-CN"/>
                    </w:rPr>
                    <w:t>；为乳白色或浅黄色、高度结晶的聚合物。热分解温度300℃。</w:t>
                  </w:r>
                </w:p>
              </w:tc>
              <w:tc>
                <w:tcPr>
                  <w:tcW w:w="773" w:type="pct"/>
                  <w:noWrap w:val="0"/>
                  <w:vAlign w:val="center"/>
                </w:tcPr>
                <w:p w14:paraId="4F4CDA6E">
                  <w:pPr>
                    <w:adjustRightInd/>
                    <w:snapToGrid/>
                    <w:spacing w:line="240" w:lineRule="auto"/>
                    <w:ind w:firstLine="0" w:firstLineChars="0"/>
                    <w:jc w:val="center"/>
                    <w:rPr>
                      <w:rFonts w:hint="eastAsia" w:cs="Times New Roman"/>
                      <w:color w:val="auto"/>
                      <w:lang w:val="en-US" w:eastAsia="zh-CN"/>
                    </w:rPr>
                  </w:pPr>
                  <w:r>
                    <w:rPr>
                      <w:rFonts w:hint="eastAsia" w:eastAsia="宋体" w:cs="Times New Roman"/>
                      <w:color w:val="auto"/>
                      <w:kern w:val="2"/>
                      <w:sz w:val="21"/>
                      <w:szCs w:val="21"/>
                      <w:lang w:val="en-US" w:eastAsia="zh-CN" w:bidi="ar-SA"/>
                    </w:rPr>
                    <w:t>可燃</w:t>
                  </w:r>
                </w:p>
              </w:tc>
              <w:tc>
                <w:tcPr>
                  <w:tcW w:w="1109" w:type="pct"/>
                  <w:noWrap w:val="0"/>
                  <w:vAlign w:val="center"/>
                </w:tcPr>
                <w:p w14:paraId="2EE773B6">
                  <w:pPr>
                    <w:adjustRightInd/>
                    <w:snapToGrid/>
                    <w:spacing w:line="240" w:lineRule="auto"/>
                    <w:ind w:firstLine="0" w:firstLineChars="0"/>
                    <w:jc w:val="center"/>
                    <w:rPr>
                      <w:rFonts w:hint="default" w:cs="Times New Roman"/>
                      <w:color w:val="auto"/>
                      <w:lang w:val="en-US" w:eastAsia="zh-CN"/>
                    </w:rPr>
                  </w:pPr>
                  <w:r>
                    <w:rPr>
                      <w:rFonts w:hint="eastAsia" w:cs="Times New Roman"/>
                      <w:color w:val="auto"/>
                      <w:lang w:val="en-US" w:eastAsia="zh-CN"/>
                    </w:rPr>
                    <w:t>/</w:t>
                  </w:r>
                </w:p>
              </w:tc>
            </w:tr>
            <w:tr w14:paraId="1393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noWrap w:val="0"/>
                  <w:vAlign w:val="center"/>
                </w:tcPr>
                <w:p w14:paraId="1840B8BC">
                  <w:pPr>
                    <w:pStyle w:val="98"/>
                    <w:bidi w:val="0"/>
                    <w:jc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3</w:t>
                  </w:r>
                </w:p>
              </w:tc>
              <w:tc>
                <w:tcPr>
                  <w:tcW w:w="494" w:type="pct"/>
                  <w:noWrap w:val="0"/>
                  <w:vAlign w:val="center"/>
                </w:tcPr>
                <w:p w14:paraId="4582E8EC">
                  <w:pPr>
                    <w:pStyle w:val="98"/>
                    <w:bidi w:val="0"/>
                    <w:jc w:val="center"/>
                    <w:rPr>
                      <w:rFonts w:hint="eastAsia" w:eastAsia="宋体" w:cs="Times New Roman"/>
                      <w:color w:val="auto"/>
                      <w:lang w:val="en-US" w:eastAsia="zh-CN"/>
                    </w:rPr>
                  </w:pPr>
                  <w:r>
                    <w:rPr>
                      <w:rFonts w:hint="eastAsia" w:eastAsia="宋体" w:cs="Times New Roman"/>
                      <w:color w:val="auto"/>
                      <w:lang w:val="en-US" w:eastAsia="en-US"/>
                    </w:rPr>
                    <w:t>氟膜</w:t>
                  </w:r>
                  <w:r>
                    <w:rPr>
                      <w:rFonts w:hint="eastAsia" w:eastAsia="宋体" w:cs="Times New Roman"/>
                      <w:color w:val="auto"/>
                      <w:lang w:val="en-US" w:eastAsia="zh-CN"/>
                    </w:rPr>
                    <w:t>（</w:t>
                  </w:r>
                  <w:r>
                    <w:rPr>
                      <w:rFonts w:hint="eastAsia" w:eastAsia="宋体" w:cs="Times New Roman"/>
                      <w:color w:val="auto"/>
                      <w:lang w:val="en-US" w:eastAsia="en-US"/>
                    </w:rPr>
                    <w:t>聚氟乙烯PVF</w:t>
                  </w:r>
                  <w:r>
                    <w:rPr>
                      <w:rFonts w:hint="eastAsia" w:eastAsia="宋体" w:cs="Times New Roman"/>
                      <w:color w:val="auto"/>
                      <w:lang w:val="en-US" w:eastAsia="zh-CN"/>
                    </w:rPr>
                    <w:t>）</w:t>
                  </w:r>
                </w:p>
              </w:tc>
              <w:tc>
                <w:tcPr>
                  <w:tcW w:w="2232" w:type="pct"/>
                  <w:noWrap w:val="0"/>
                  <w:vAlign w:val="center"/>
                </w:tcPr>
                <w:p w14:paraId="7389CD76">
                  <w:pPr>
                    <w:pStyle w:val="98"/>
                    <w:bidi w:val="0"/>
                    <w:ind w:left="0" w:leftChars="0" w:right="-21" w:rightChars="-10" w:firstLine="0" w:firstLineChars="0"/>
                    <w:jc w:val="center"/>
                    <w:rPr>
                      <w:rFonts w:hint="default" w:ascii="Times New Roman" w:hAnsi="Times New Roman" w:eastAsia="宋体" w:cs="Times New Roman"/>
                      <w:color w:val="auto"/>
                      <w:sz w:val="21"/>
                      <w:szCs w:val="22"/>
                      <w:lang w:val="en-US" w:eastAsia="zh-CN"/>
                    </w:rPr>
                  </w:pPr>
                  <w:r>
                    <w:rPr>
                      <w:rFonts w:hint="eastAsia" w:eastAsia="宋体" w:cs="Times New Roman"/>
                      <w:color w:val="auto"/>
                      <w:sz w:val="21"/>
                      <w:szCs w:val="22"/>
                      <w:lang w:val="en-US" w:eastAsia="zh-CN"/>
                    </w:rPr>
                    <w:t>主要成分为聚氟乙烯。</w:t>
                  </w:r>
                  <w:r>
                    <w:rPr>
                      <w:rFonts w:hint="default" w:ascii="Times New Roman" w:hAnsi="Times New Roman" w:eastAsia="宋体" w:cs="Times New Roman"/>
                      <w:color w:val="auto"/>
                      <w:sz w:val="21"/>
                      <w:szCs w:val="22"/>
                      <w:lang w:val="en-US" w:eastAsia="zh-CN"/>
                    </w:rPr>
                    <w:t>分子式：[CH2-CHF]n；分子量：60000~180000；密度：1.39g/cm²；热塑性高强度树脂。无臭、无毒的白色粉末。热分解温度240℃。</w:t>
                  </w:r>
                </w:p>
              </w:tc>
              <w:tc>
                <w:tcPr>
                  <w:tcW w:w="773" w:type="pct"/>
                  <w:noWrap w:val="0"/>
                  <w:vAlign w:val="center"/>
                </w:tcPr>
                <w:p w14:paraId="7235C04B">
                  <w:pPr>
                    <w:pStyle w:val="98"/>
                    <w:bidi w:val="0"/>
                    <w:ind w:left="0" w:leftChars="0" w:right="-21" w:rightChars="-10" w:firstLine="0" w:firstLineChars="0"/>
                    <w:jc w:val="center"/>
                    <w:rPr>
                      <w:rFonts w:hint="default" w:ascii="Times New Roman" w:hAnsi="Times New Roman" w:eastAsia="宋体" w:cs="Times New Roman"/>
                      <w:color w:val="auto"/>
                      <w:sz w:val="21"/>
                      <w:szCs w:val="22"/>
                      <w:lang w:val="en-US" w:eastAsia="zh-CN"/>
                    </w:rPr>
                  </w:pPr>
                  <w:r>
                    <w:rPr>
                      <w:rFonts w:hint="eastAsia" w:eastAsia="宋体" w:cs="Times New Roman"/>
                      <w:color w:val="auto"/>
                      <w:kern w:val="2"/>
                      <w:sz w:val="21"/>
                      <w:szCs w:val="21"/>
                      <w:lang w:val="en-US" w:eastAsia="zh-CN" w:bidi="ar-SA"/>
                    </w:rPr>
                    <w:t>可燃</w:t>
                  </w:r>
                </w:p>
              </w:tc>
              <w:tc>
                <w:tcPr>
                  <w:tcW w:w="1109" w:type="pct"/>
                  <w:noWrap w:val="0"/>
                  <w:vAlign w:val="center"/>
                </w:tcPr>
                <w:p w14:paraId="68204C84">
                  <w:pPr>
                    <w:pStyle w:val="98"/>
                    <w:bidi w:val="0"/>
                    <w:ind w:left="0" w:leftChars="0" w:right="-21" w:rightChars="-10" w:firstLine="0" w:firstLineChars="0"/>
                    <w:jc w:val="center"/>
                    <w:rPr>
                      <w:rFonts w:hint="default" w:ascii="Times New Roman" w:hAnsi="Times New Roman" w:eastAsia="宋体" w:cs="Times New Roman"/>
                      <w:color w:val="auto"/>
                      <w:sz w:val="21"/>
                      <w:szCs w:val="22"/>
                      <w:lang w:val="en-US" w:eastAsia="zh-CN"/>
                    </w:rPr>
                  </w:pPr>
                  <w:r>
                    <w:rPr>
                      <w:rFonts w:hint="eastAsia" w:eastAsia="宋体" w:cs="Times New Roman"/>
                      <w:color w:val="auto"/>
                      <w:sz w:val="21"/>
                      <w:szCs w:val="22"/>
                      <w:lang w:val="en-US" w:eastAsia="zh-CN"/>
                    </w:rPr>
                    <w:t>/</w:t>
                  </w:r>
                </w:p>
              </w:tc>
            </w:tr>
            <w:tr w14:paraId="07FA9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noWrap w:val="0"/>
                  <w:vAlign w:val="center"/>
                </w:tcPr>
                <w:p w14:paraId="359276CD">
                  <w:pPr>
                    <w:pStyle w:val="98"/>
                    <w:bidi w:val="0"/>
                    <w:jc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4</w:t>
                  </w:r>
                </w:p>
              </w:tc>
              <w:tc>
                <w:tcPr>
                  <w:tcW w:w="494" w:type="pct"/>
                  <w:noWrap w:val="0"/>
                  <w:vAlign w:val="center"/>
                </w:tcPr>
                <w:p w14:paraId="0E3DE425">
                  <w:pPr>
                    <w:pStyle w:val="98"/>
                    <w:bidi w:val="0"/>
                    <w:ind w:left="-21" w:leftChars="-10" w:right="-21" w:rightChars="-10" w:firstLine="0" w:firstLineChars="0"/>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片碱</w:t>
                  </w:r>
                </w:p>
              </w:tc>
              <w:tc>
                <w:tcPr>
                  <w:tcW w:w="2232" w:type="pct"/>
                  <w:noWrap w:val="0"/>
                  <w:vAlign w:val="center"/>
                </w:tcPr>
                <w:p w14:paraId="68A2D72B">
                  <w:pPr>
                    <w:pStyle w:val="98"/>
                    <w:bidi w:val="0"/>
                    <w:ind w:left="-21" w:leftChars="-10" w:right="-21" w:rightChars="-10" w:firstLine="0" w:firstLineChars="0"/>
                    <w:jc w:val="center"/>
                    <w:rPr>
                      <w:rFonts w:hint="eastAsia"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强碱，具有腐蚀性，能与酸发生中和反应生成盐和水</w:t>
                  </w:r>
                  <w:r>
                    <w:rPr>
                      <w:rFonts w:hint="eastAsia" w:ascii="Times New Roman" w:hAnsi="Times New Roman" w:eastAsia="宋体" w:cs="Times New Roman"/>
                      <w:i w:val="0"/>
                      <w:iCs w:val="0"/>
                      <w:color w:val="auto"/>
                      <w:kern w:val="0"/>
                      <w:sz w:val="21"/>
                      <w:szCs w:val="21"/>
                      <w:u w:val="none"/>
                      <w:lang w:val="en-US" w:eastAsia="zh-CN" w:bidi="ar"/>
                    </w:rPr>
                    <w:t>。通常呈白色半透明片状固体，</w:t>
                  </w:r>
                  <w:r>
                    <w:rPr>
                      <w:rFonts w:hint="default" w:ascii="Times New Roman" w:hAnsi="Times New Roman" w:eastAsia="宋体" w:cs="Times New Roman"/>
                      <w:i w:val="0"/>
                      <w:iCs w:val="0"/>
                      <w:color w:val="auto"/>
                      <w:kern w:val="0"/>
                      <w:sz w:val="21"/>
                      <w:szCs w:val="21"/>
                      <w:u w:val="none"/>
                      <w:lang w:val="en-US" w:eastAsia="zh-CN" w:bidi="ar"/>
                    </w:rPr>
                    <w:t>易溶于水，溶解时放出大量热量</w:t>
                  </w: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具有强吸湿性，暴露在空气中能吸收水分而潮解</w:t>
                  </w: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熔点为318.4℃，沸点为1390℃，相对密度为2.1</w:t>
                  </w:r>
                  <w:r>
                    <w:rPr>
                      <w:rFonts w:hint="eastAsia" w:ascii="Times New Roman" w:hAnsi="Times New Roman" w:eastAsia="宋体" w:cs="Times New Roman"/>
                      <w:i w:val="0"/>
                      <w:iCs w:val="0"/>
                      <w:color w:val="auto"/>
                      <w:kern w:val="0"/>
                      <w:sz w:val="21"/>
                      <w:szCs w:val="21"/>
                      <w:u w:val="none"/>
                      <w:lang w:val="en-US" w:eastAsia="zh-CN" w:bidi="ar"/>
                    </w:rPr>
                    <w:t>。</w:t>
                  </w:r>
                </w:p>
              </w:tc>
              <w:tc>
                <w:tcPr>
                  <w:tcW w:w="773" w:type="pct"/>
                  <w:noWrap w:val="0"/>
                  <w:vAlign w:val="center"/>
                </w:tcPr>
                <w:p w14:paraId="1B12A3B8">
                  <w:pPr>
                    <w:pStyle w:val="98"/>
                    <w:bidi w:val="0"/>
                    <w:ind w:left="0" w:leftChars="0" w:right="-21" w:rightChars="-10" w:firstLine="0" w:firstLineChars="0"/>
                    <w:jc w:val="center"/>
                    <w:rPr>
                      <w:rFonts w:hint="eastAsia" w:ascii="Times New Roman" w:hAnsi="Times New Roman" w:eastAsia="宋体" w:cs="Times New Roman"/>
                      <w:color w:val="auto"/>
                      <w:sz w:val="21"/>
                      <w:szCs w:val="22"/>
                      <w:lang w:val="en-US" w:eastAsia="zh-CN"/>
                    </w:rPr>
                  </w:pPr>
                  <w:r>
                    <w:rPr>
                      <w:rFonts w:hint="eastAsia" w:eastAsia="宋体" w:cs="Times New Roman"/>
                      <w:color w:val="auto"/>
                      <w:sz w:val="21"/>
                      <w:szCs w:val="22"/>
                      <w:lang w:val="en-US" w:eastAsia="zh-CN"/>
                    </w:rPr>
                    <w:t>本</w:t>
                  </w:r>
                  <w:r>
                    <w:rPr>
                      <w:rFonts w:hint="eastAsia" w:ascii="Times New Roman" w:hAnsi="Times New Roman" w:eastAsia="宋体" w:cs="Times New Roman"/>
                      <w:color w:val="auto"/>
                      <w:sz w:val="21"/>
                      <w:szCs w:val="22"/>
                      <w:lang w:val="en-US" w:eastAsia="zh-CN"/>
                    </w:rPr>
                    <w:t>身不易燃易爆，但因其特殊的物理化学性质，在特定条件下可能引发火灾或爆炸</w:t>
                  </w:r>
                  <w:r>
                    <w:rPr>
                      <w:rFonts w:hint="eastAsia" w:eastAsia="宋体" w:cs="Times New Roman"/>
                      <w:color w:val="auto"/>
                      <w:sz w:val="21"/>
                      <w:szCs w:val="22"/>
                      <w:lang w:val="en-US" w:eastAsia="zh-CN"/>
                    </w:rPr>
                    <w:t>。</w:t>
                  </w:r>
                </w:p>
              </w:tc>
              <w:tc>
                <w:tcPr>
                  <w:tcW w:w="1109" w:type="pct"/>
                  <w:noWrap w:val="0"/>
                  <w:vAlign w:val="center"/>
                </w:tcPr>
                <w:p w14:paraId="1D0A988D">
                  <w:pPr>
                    <w:pStyle w:val="98"/>
                    <w:bidi w:val="0"/>
                    <w:ind w:left="0" w:leftChars="0" w:right="-21" w:rightChars="-10" w:firstLine="0" w:firstLineChars="0"/>
                    <w:jc w:val="center"/>
                    <w:rPr>
                      <w:rFonts w:hint="eastAsia" w:ascii="Times New Roman" w:hAnsi="Times New Roman" w:eastAsia="宋体" w:cs="Times New Roman"/>
                      <w:color w:val="auto"/>
                      <w:sz w:val="21"/>
                      <w:szCs w:val="22"/>
                      <w:lang w:val="en-US" w:eastAsia="zh-CN"/>
                    </w:rPr>
                  </w:pPr>
                  <w:r>
                    <w:rPr>
                      <w:rFonts w:hint="eastAsia" w:ascii="Times New Roman" w:hAnsi="Times New Roman" w:eastAsia="宋体" w:cs="Times New Roman"/>
                      <w:color w:val="auto"/>
                      <w:sz w:val="21"/>
                      <w:szCs w:val="22"/>
                      <w:lang w:val="en-US" w:eastAsia="zh-CN"/>
                    </w:rPr>
                    <w:t>毒性主要体现在其强腐蚀性上，对生物体的健康危害包括呼吸道刺激、皮肤与眼睛损伤、消化道灼伤、中毒反应及潜在的健康风险</w:t>
                  </w:r>
                  <w:r>
                    <w:rPr>
                      <w:rFonts w:hint="eastAsia" w:eastAsia="宋体" w:cs="Times New Roman"/>
                      <w:color w:val="auto"/>
                      <w:sz w:val="21"/>
                      <w:szCs w:val="22"/>
                      <w:lang w:val="en-US" w:eastAsia="zh-CN"/>
                    </w:rPr>
                    <w:t>。</w:t>
                  </w:r>
                </w:p>
              </w:tc>
            </w:tr>
            <w:tr w14:paraId="5F92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noWrap w:val="0"/>
                  <w:vAlign w:val="center"/>
                </w:tcPr>
                <w:p w14:paraId="700759BA">
                  <w:pPr>
                    <w:pStyle w:val="98"/>
                    <w:bidi w:val="0"/>
                    <w:jc w:val="center"/>
                    <w:rPr>
                      <w:rFonts w:hint="default" w:eastAsia="宋体" w:cs="Times New Roman"/>
                      <w:color w:val="auto"/>
                      <w:lang w:val="en-US" w:eastAsia="zh-CN"/>
                    </w:rPr>
                  </w:pPr>
                  <w:r>
                    <w:rPr>
                      <w:rFonts w:hint="eastAsia" w:eastAsia="宋体" w:cs="Times New Roman"/>
                      <w:color w:val="auto"/>
                      <w:lang w:val="en-US" w:eastAsia="zh-CN"/>
                    </w:rPr>
                    <w:t>5</w:t>
                  </w:r>
                </w:p>
              </w:tc>
              <w:tc>
                <w:tcPr>
                  <w:tcW w:w="494" w:type="pct"/>
                  <w:noWrap w:val="0"/>
                  <w:vAlign w:val="center"/>
                </w:tcPr>
                <w:p w14:paraId="0AED04A9">
                  <w:pPr>
                    <w:pStyle w:val="98"/>
                    <w:bidi w:val="0"/>
                    <w:ind w:left="-21" w:leftChars="-10" w:right="-21" w:rightChars="-10" w:firstLine="0" w:firstLineChars="0"/>
                    <w:jc w:val="center"/>
                    <w:rPr>
                      <w:rFonts w:hint="default" w:eastAsia="宋体" w:cs="Times New Roman"/>
                      <w:i w:val="0"/>
                      <w:iCs w:val="0"/>
                      <w:color w:val="auto"/>
                      <w:kern w:val="0"/>
                      <w:sz w:val="21"/>
                      <w:szCs w:val="21"/>
                      <w:u w:val="none"/>
                      <w:lang w:val="en-US" w:eastAsia="zh-CN" w:bidi="ar"/>
                    </w:rPr>
                  </w:pPr>
                  <w:r>
                    <w:rPr>
                      <w:rFonts w:hint="eastAsia" w:eastAsia="宋体" w:cs="Times New Roman"/>
                      <w:i w:val="0"/>
                      <w:iCs w:val="0"/>
                      <w:color w:val="auto"/>
                      <w:kern w:val="0"/>
                      <w:sz w:val="21"/>
                      <w:szCs w:val="21"/>
                      <w:u w:val="none"/>
                      <w:lang w:val="en-US" w:eastAsia="zh-CN" w:bidi="ar"/>
                    </w:rPr>
                    <w:t>热解油</w:t>
                  </w:r>
                </w:p>
              </w:tc>
              <w:tc>
                <w:tcPr>
                  <w:tcW w:w="2232" w:type="pct"/>
                  <w:noWrap w:val="0"/>
                  <w:vAlign w:val="center"/>
                </w:tcPr>
                <w:p w14:paraId="5E599C73">
                  <w:pPr>
                    <w:pStyle w:val="98"/>
                    <w:bidi w:val="0"/>
                    <w:ind w:left="-21" w:leftChars="-10" w:right="-21" w:rightChars="-10" w:firstLine="0" w:firstLineChars="0"/>
                    <w:jc w:val="center"/>
                    <w:rPr>
                      <w:rFonts w:hint="eastAsia"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主要成分是C</w:t>
                  </w:r>
                  <w:r>
                    <w:rPr>
                      <w:rFonts w:hint="eastAsia" w:ascii="Times New Roman" w:hAnsi="Times New Roman" w:eastAsia="宋体" w:cs="Times New Roman"/>
                      <w:i w:val="0"/>
                      <w:iCs w:val="0"/>
                      <w:color w:val="auto"/>
                      <w:kern w:val="0"/>
                      <w:sz w:val="21"/>
                      <w:szCs w:val="21"/>
                      <w:u w:val="none"/>
                      <w:lang w:val="en-US" w:eastAsia="zh-CN" w:bidi="ar"/>
                    </w:rPr>
                    <w:t>6~</w:t>
                  </w:r>
                  <w:r>
                    <w:rPr>
                      <w:rFonts w:hint="default" w:ascii="Times New Roman" w:hAnsi="Times New Roman" w:eastAsia="宋体" w:cs="Times New Roman"/>
                      <w:i w:val="0"/>
                      <w:iCs w:val="0"/>
                      <w:color w:val="auto"/>
                      <w:kern w:val="0"/>
                      <w:sz w:val="21"/>
                      <w:szCs w:val="21"/>
                      <w:u w:val="none"/>
                      <w:lang w:val="en-US" w:eastAsia="zh-CN" w:bidi="ar"/>
                    </w:rPr>
                    <w:t>C18的有机物</w:t>
                  </w: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精加工后可制成溶剂油、热解油或汽柴油调配油</w:t>
                  </w:r>
                  <w:r>
                    <w:rPr>
                      <w:rFonts w:hint="eastAsia" w:ascii="Times New Roman" w:hAnsi="Times New Roman" w:eastAsia="宋体" w:cs="Times New Roman"/>
                      <w:i w:val="0"/>
                      <w:iCs w:val="0"/>
                      <w:color w:val="auto"/>
                      <w:kern w:val="0"/>
                      <w:sz w:val="21"/>
                      <w:szCs w:val="21"/>
                      <w:u w:val="none"/>
                      <w:lang w:val="en-US" w:eastAsia="zh-CN" w:bidi="ar"/>
                    </w:rPr>
                    <w:t>。</w:t>
                  </w:r>
                </w:p>
              </w:tc>
              <w:tc>
                <w:tcPr>
                  <w:tcW w:w="773" w:type="pct"/>
                  <w:noWrap w:val="0"/>
                  <w:vAlign w:val="center"/>
                </w:tcPr>
                <w:p w14:paraId="5990EEBA">
                  <w:pPr>
                    <w:pStyle w:val="98"/>
                    <w:bidi w:val="0"/>
                    <w:ind w:left="0" w:leftChars="0" w:right="-21" w:rightChars="-10" w:firstLine="0" w:firstLineChars="0"/>
                    <w:jc w:val="center"/>
                    <w:rPr>
                      <w:rFonts w:hint="eastAsia" w:ascii="Times New Roman" w:hAnsi="Times New Roman" w:eastAsia="宋体" w:cs="Times New Roman"/>
                      <w:color w:val="auto"/>
                      <w:sz w:val="21"/>
                      <w:szCs w:val="22"/>
                      <w:lang w:val="en-US" w:eastAsia="zh-CN"/>
                    </w:rPr>
                  </w:pPr>
                  <w:r>
                    <w:rPr>
                      <w:rFonts w:hint="eastAsia" w:eastAsia="宋体" w:cs="Times New Roman"/>
                      <w:color w:val="auto"/>
                      <w:lang w:val="en-US" w:eastAsia="zh-CN"/>
                    </w:rPr>
                    <w:t>易燃。</w:t>
                  </w:r>
                </w:p>
              </w:tc>
              <w:tc>
                <w:tcPr>
                  <w:tcW w:w="1109" w:type="pct"/>
                  <w:noWrap w:val="0"/>
                  <w:vAlign w:val="center"/>
                </w:tcPr>
                <w:p w14:paraId="77DA7D84">
                  <w:pPr>
                    <w:pStyle w:val="98"/>
                    <w:bidi w:val="0"/>
                    <w:ind w:left="0" w:leftChars="0" w:right="-21" w:rightChars="-10" w:firstLine="0" w:firstLineChars="0"/>
                    <w:jc w:val="center"/>
                    <w:rPr>
                      <w:rFonts w:hint="default" w:ascii="Times New Roman" w:hAnsi="Times New Roman" w:eastAsia="宋体" w:cs="Times New Roman"/>
                      <w:color w:val="auto"/>
                      <w:sz w:val="21"/>
                      <w:szCs w:val="22"/>
                      <w:lang w:val="en-US" w:eastAsia="zh-CN"/>
                    </w:rPr>
                  </w:pPr>
                  <w:r>
                    <w:rPr>
                      <w:rFonts w:hint="eastAsia" w:eastAsia="宋体" w:cs="Times New Roman"/>
                      <w:color w:val="auto"/>
                      <w:sz w:val="21"/>
                      <w:szCs w:val="22"/>
                      <w:lang w:val="en-US" w:eastAsia="zh-CN"/>
                    </w:rPr>
                    <w:t>/</w:t>
                  </w:r>
                </w:p>
              </w:tc>
            </w:tr>
            <w:tr w14:paraId="64A4F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noWrap w:val="0"/>
                  <w:vAlign w:val="center"/>
                </w:tcPr>
                <w:p w14:paraId="44D444EB">
                  <w:pPr>
                    <w:pStyle w:val="98"/>
                    <w:bidi w:val="0"/>
                    <w:jc w:val="center"/>
                    <w:rPr>
                      <w:rFonts w:hint="default" w:eastAsia="宋体" w:cs="Times New Roman"/>
                      <w:color w:val="auto"/>
                      <w:lang w:val="en-US" w:eastAsia="zh-CN"/>
                    </w:rPr>
                  </w:pPr>
                  <w:r>
                    <w:rPr>
                      <w:rFonts w:hint="eastAsia" w:eastAsia="宋体" w:cs="Times New Roman"/>
                      <w:color w:val="auto"/>
                      <w:lang w:val="en-US" w:eastAsia="zh-CN"/>
                    </w:rPr>
                    <w:t>6</w:t>
                  </w:r>
                </w:p>
              </w:tc>
              <w:tc>
                <w:tcPr>
                  <w:tcW w:w="494" w:type="pct"/>
                  <w:noWrap w:val="0"/>
                  <w:vAlign w:val="center"/>
                </w:tcPr>
                <w:p w14:paraId="08E49D04">
                  <w:pPr>
                    <w:pStyle w:val="98"/>
                    <w:bidi w:val="0"/>
                    <w:jc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润滑油</w:t>
                  </w:r>
                </w:p>
              </w:tc>
              <w:tc>
                <w:tcPr>
                  <w:tcW w:w="2232" w:type="pct"/>
                  <w:noWrap w:val="0"/>
                  <w:vAlign w:val="center"/>
                </w:tcPr>
                <w:p w14:paraId="2B9C781E">
                  <w:pPr>
                    <w:pStyle w:val="98"/>
                    <w:bidi w:val="0"/>
                    <w:ind w:left="-21" w:leftChars="-10" w:right="-21" w:rightChars="-10" w:firstLine="0" w:firstLineChars="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一般由基础油和添加剂两部分组成。基础油是润滑油的主要成分，决定着润滑油的基本性质，添加剂则可弥补和改善基础油性能方面的不足，赋予某些新的性能，是润滑油的重要组成部分</w:t>
                  </w:r>
                  <w:r>
                    <w:rPr>
                      <w:rFonts w:hint="eastAsia" w:ascii="Times New Roman" w:hAnsi="Times New Roman" w:eastAsia="宋体" w:cs="Times New Roman"/>
                      <w:i w:val="0"/>
                      <w:iCs w:val="0"/>
                      <w:color w:val="auto"/>
                      <w:kern w:val="0"/>
                      <w:sz w:val="21"/>
                      <w:szCs w:val="21"/>
                      <w:u w:val="none"/>
                      <w:lang w:val="en-US" w:eastAsia="zh-CN" w:bidi="ar"/>
                    </w:rPr>
                    <w:t>。</w:t>
                  </w:r>
                </w:p>
              </w:tc>
              <w:tc>
                <w:tcPr>
                  <w:tcW w:w="773" w:type="pct"/>
                  <w:noWrap w:val="0"/>
                  <w:vAlign w:val="center"/>
                </w:tcPr>
                <w:p w14:paraId="29B6DA6C">
                  <w:pPr>
                    <w:pStyle w:val="98"/>
                    <w:bidi w:val="0"/>
                    <w:jc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易燃。</w:t>
                  </w:r>
                </w:p>
              </w:tc>
              <w:tc>
                <w:tcPr>
                  <w:tcW w:w="1109" w:type="pct"/>
                  <w:noWrap w:val="0"/>
                  <w:vAlign w:val="center"/>
                </w:tcPr>
                <w:p w14:paraId="724132F4">
                  <w:pPr>
                    <w:pStyle w:val="98"/>
                    <w:bidi w:val="0"/>
                    <w:jc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w:t>
                  </w:r>
                </w:p>
              </w:tc>
            </w:tr>
            <w:tr w14:paraId="189A9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8" w:type="pct"/>
                  <w:noWrap w:val="0"/>
                  <w:vAlign w:val="center"/>
                </w:tcPr>
                <w:p w14:paraId="16927F85">
                  <w:pPr>
                    <w:pStyle w:val="98"/>
                    <w:bidi w:val="0"/>
                    <w:jc w:val="center"/>
                    <w:rPr>
                      <w:rFonts w:hint="default" w:eastAsia="宋体" w:cs="Times New Roman"/>
                      <w:color w:val="auto"/>
                      <w:lang w:val="en-US" w:eastAsia="zh-CN"/>
                    </w:rPr>
                  </w:pPr>
                  <w:r>
                    <w:rPr>
                      <w:rFonts w:hint="eastAsia" w:eastAsia="宋体" w:cs="Times New Roman"/>
                      <w:color w:val="auto"/>
                      <w:lang w:val="en-US" w:eastAsia="zh-CN"/>
                    </w:rPr>
                    <w:t>7</w:t>
                  </w:r>
                </w:p>
              </w:tc>
              <w:tc>
                <w:tcPr>
                  <w:tcW w:w="494" w:type="pct"/>
                  <w:noWrap w:val="0"/>
                  <w:vAlign w:val="center"/>
                </w:tcPr>
                <w:p w14:paraId="1EA18583">
                  <w:pPr>
                    <w:pStyle w:val="98"/>
                    <w:bidi w:val="0"/>
                    <w:jc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液压油</w:t>
                  </w:r>
                </w:p>
              </w:tc>
              <w:tc>
                <w:tcPr>
                  <w:tcW w:w="2232" w:type="pct"/>
                  <w:noWrap w:val="0"/>
                  <w:vAlign w:val="center"/>
                </w:tcPr>
                <w:p w14:paraId="3FABE943">
                  <w:pPr>
                    <w:pStyle w:val="98"/>
                    <w:bidi w:val="0"/>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利用液体压力能的液压系统使用的液压介质，在液压系统中起着能量传递、抗磨、系统润滑、防腐、防锈、冷却等作用。</w:t>
                  </w:r>
                </w:p>
              </w:tc>
              <w:tc>
                <w:tcPr>
                  <w:tcW w:w="773" w:type="pct"/>
                  <w:noWrap w:val="0"/>
                  <w:vAlign w:val="center"/>
                </w:tcPr>
                <w:p w14:paraId="66B5E3CC">
                  <w:pPr>
                    <w:pStyle w:val="98"/>
                    <w:bidi w:val="0"/>
                    <w:jc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易燃。</w:t>
                  </w:r>
                </w:p>
              </w:tc>
              <w:tc>
                <w:tcPr>
                  <w:tcW w:w="1109" w:type="pct"/>
                  <w:noWrap w:val="0"/>
                  <w:vAlign w:val="center"/>
                </w:tcPr>
                <w:p w14:paraId="5260179E">
                  <w:pPr>
                    <w:pStyle w:val="98"/>
                    <w:bidi w:val="0"/>
                    <w:jc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w:t>
                  </w:r>
                </w:p>
              </w:tc>
            </w:tr>
          </w:tbl>
          <w:p w14:paraId="18B6FE4B">
            <w:pPr>
              <w:pStyle w:val="25"/>
              <w:keepNext w:val="0"/>
              <w:keepLines w:val="0"/>
              <w:pageBreakBefore w:val="0"/>
              <w:widowControl w:val="0"/>
              <w:kinsoku/>
              <w:wordWrap/>
              <w:overflowPunct/>
              <w:topLinePunct w:val="0"/>
              <w:autoSpaceDE/>
              <w:autoSpaceDN/>
              <w:bidi w:val="0"/>
              <w:adjustRightInd/>
              <w:snapToGrid/>
              <w:spacing w:line="480" w:lineRule="atLeast"/>
              <w:ind w:left="0" w:leftChars="0" w:firstLine="0" w:firstLineChars="0"/>
              <w:textAlignment w:val="auto"/>
              <w:rPr>
                <w:rFonts w:hint="default" w:ascii="Times New Roman" w:cs="Times New Roman"/>
                <w:b/>
                <w:bCs/>
                <w:color w:val="auto"/>
                <w:spacing w:val="0"/>
                <w:position w:val="0"/>
                <w:lang w:val="en-US" w:eastAsia="zh-CN"/>
              </w:rPr>
            </w:pPr>
            <w:r>
              <w:rPr>
                <w:rFonts w:hint="eastAsia" w:ascii="Times New Roman" w:cs="Times New Roman"/>
                <w:b/>
                <w:bCs/>
                <w:color w:val="auto"/>
                <w:spacing w:val="0"/>
                <w:position w:val="0"/>
                <w:lang w:val="en-US" w:eastAsia="zh-CN"/>
              </w:rPr>
              <w:t>6、公用工程</w:t>
            </w:r>
          </w:p>
          <w:p w14:paraId="68BB5379">
            <w:pPr>
              <w:keepNext w:val="0"/>
              <w:keepLines w:val="0"/>
              <w:pageBreakBefore w:val="0"/>
              <w:widowControl w:val="0"/>
              <w:kinsoku/>
              <w:wordWrap/>
              <w:overflowPunct/>
              <w:topLinePunct w:val="0"/>
              <w:autoSpaceDE/>
              <w:autoSpaceDN/>
              <w:bidi w:val="0"/>
              <w:snapToGrid/>
              <w:spacing w:line="480" w:lineRule="atLeast"/>
              <w:ind w:firstLine="482" w:firstLineChars="200"/>
              <w:textAlignment w:val="auto"/>
              <w:rPr>
                <w:rFonts w:hint="default" w:ascii="Times New Roman" w:hAnsi="Times New Roman" w:cs="Times New Roman"/>
                <w:b/>
                <w:bCs/>
                <w:color w:val="auto"/>
                <w:sz w:val="24"/>
                <w:highlight w:val="none"/>
              </w:rPr>
            </w:pPr>
            <w:r>
              <w:rPr>
                <w:rFonts w:hint="eastAsia" w:cs="Times New Roman"/>
                <w:b/>
                <w:bCs/>
                <w:color w:val="auto"/>
                <w:sz w:val="24"/>
                <w:highlight w:val="none"/>
                <w:lang w:eastAsia="zh-CN"/>
              </w:rPr>
              <w:t>（</w:t>
            </w:r>
            <w:r>
              <w:rPr>
                <w:rFonts w:hint="eastAsia" w:ascii="Times New Roman" w:hAnsi="Times New Roman" w:cs="Times New Roman"/>
                <w:b/>
                <w:bCs/>
                <w:color w:val="auto"/>
                <w:sz w:val="24"/>
                <w:highlight w:val="none"/>
                <w:lang w:val="en-US" w:eastAsia="zh-CN"/>
              </w:rPr>
              <w:t>1</w:t>
            </w:r>
            <w:r>
              <w:rPr>
                <w:rFonts w:hint="eastAsia" w:ascii="Times New Roman" w:hAnsi="Times New Roman" w:cs="Times New Roman"/>
                <w:b/>
                <w:bCs/>
                <w:color w:val="auto"/>
                <w:sz w:val="24"/>
                <w:highlight w:val="none"/>
                <w:lang w:eastAsia="zh-CN"/>
              </w:rPr>
              <w:t>）</w:t>
            </w:r>
            <w:r>
              <w:rPr>
                <w:rFonts w:hint="default" w:ascii="Times New Roman" w:hAnsi="Times New Roman" w:cs="Times New Roman"/>
                <w:b/>
                <w:bCs/>
                <w:color w:val="auto"/>
                <w:sz w:val="24"/>
                <w:highlight w:val="none"/>
              </w:rPr>
              <w:t>供电</w:t>
            </w:r>
          </w:p>
          <w:p w14:paraId="4783FA02">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园区供电网接入厂区</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年用电量约</w:t>
            </w:r>
            <w:r>
              <w:rPr>
                <w:rFonts w:hint="eastAsia" w:cs="Times New Roman"/>
                <w:color w:val="auto"/>
                <w:sz w:val="24"/>
                <w:szCs w:val="24"/>
                <w:highlight w:val="none"/>
                <w:lang w:val="en-US" w:eastAsia="zh-CN"/>
              </w:rPr>
              <w:t>140</w:t>
            </w:r>
            <w:r>
              <w:rPr>
                <w:rFonts w:hint="eastAsia" w:ascii="Times New Roman" w:hAnsi="Times New Roman" w:eastAsia="宋体" w:cs="Times New Roman"/>
                <w:color w:val="auto"/>
                <w:sz w:val="24"/>
                <w:szCs w:val="24"/>
                <w:highlight w:val="none"/>
                <w:lang w:val="en-US" w:eastAsia="zh-CN"/>
              </w:rPr>
              <w:t>万</w:t>
            </w:r>
            <w:r>
              <w:rPr>
                <w:rFonts w:hint="default" w:ascii="Times New Roman" w:hAnsi="Times New Roman" w:eastAsia="宋体" w:cs="Times New Roman"/>
                <w:color w:val="auto"/>
                <w:sz w:val="24"/>
                <w:highlight w:val="none"/>
              </w:rPr>
              <w:t>kwh/a。</w:t>
            </w:r>
          </w:p>
          <w:p w14:paraId="587F256C">
            <w:pPr>
              <w:keepNext w:val="0"/>
              <w:keepLines w:val="0"/>
              <w:pageBreakBefore w:val="0"/>
              <w:widowControl w:val="0"/>
              <w:kinsoku/>
              <w:wordWrap/>
              <w:overflowPunct/>
              <w:topLinePunct w:val="0"/>
              <w:autoSpaceDE/>
              <w:autoSpaceDN/>
              <w:bidi w:val="0"/>
              <w:snapToGrid/>
              <w:spacing w:line="480" w:lineRule="atLeast"/>
              <w:ind w:firstLine="482" w:firstLineChars="200"/>
              <w:textAlignment w:val="auto"/>
              <w:rPr>
                <w:rFonts w:hint="default" w:ascii="Times New Roman" w:hAnsi="Times New Roman" w:cs="Times New Roman"/>
                <w:b/>
                <w:bCs/>
                <w:color w:val="auto"/>
                <w:sz w:val="24"/>
                <w:highlight w:val="none"/>
              </w:rPr>
            </w:pPr>
            <w:r>
              <w:rPr>
                <w:rFonts w:hint="eastAsia" w:cs="Times New Roman"/>
                <w:b/>
                <w:bCs/>
                <w:color w:val="auto"/>
                <w:sz w:val="24"/>
                <w:highlight w:val="none"/>
                <w:lang w:eastAsia="zh-CN"/>
              </w:rPr>
              <w:t>（</w:t>
            </w:r>
            <w:r>
              <w:rPr>
                <w:rFonts w:hint="eastAsia" w:ascii="Times New Roman" w:hAnsi="Times New Roman" w:cs="Times New Roman"/>
                <w:b/>
                <w:bCs/>
                <w:color w:val="auto"/>
                <w:sz w:val="24"/>
                <w:highlight w:val="none"/>
                <w:lang w:val="en-US" w:eastAsia="zh-CN"/>
              </w:rPr>
              <w:t>2</w:t>
            </w:r>
            <w:r>
              <w:rPr>
                <w:rFonts w:hint="eastAsia" w:ascii="Times New Roman" w:hAnsi="Times New Roman" w:cs="Times New Roman"/>
                <w:b/>
                <w:bCs/>
                <w:color w:val="auto"/>
                <w:sz w:val="24"/>
                <w:highlight w:val="none"/>
                <w:lang w:eastAsia="zh-CN"/>
              </w:rPr>
              <w:t>）</w:t>
            </w:r>
            <w:r>
              <w:rPr>
                <w:rFonts w:hint="default" w:ascii="Times New Roman" w:hAnsi="Times New Roman" w:cs="Times New Roman"/>
                <w:b/>
                <w:bCs/>
                <w:color w:val="auto"/>
                <w:sz w:val="24"/>
                <w:highlight w:val="none"/>
              </w:rPr>
              <w:t>给</w:t>
            </w:r>
            <w:r>
              <w:rPr>
                <w:rFonts w:hint="eastAsia" w:ascii="Times New Roman" w:hAnsi="Times New Roman" w:cs="Times New Roman"/>
                <w:b/>
                <w:bCs/>
                <w:color w:val="auto"/>
                <w:sz w:val="24"/>
                <w:highlight w:val="none"/>
                <w:lang w:val="en-US" w:eastAsia="zh-CN"/>
              </w:rPr>
              <w:t>排</w:t>
            </w:r>
            <w:r>
              <w:rPr>
                <w:rFonts w:hint="default" w:ascii="Times New Roman" w:hAnsi="Times New Roman" w:cs="Times New Roman"/>
                <w:b/>
                <w:bCs/>
                <w:color w:val="auto"/>
                <w:sz w:val="24"/>
                <w:highlight w:val="none"/>
              </w:rPr>
              <w:t>水</w:t>
            </w:r>
          </w:p>
          <w:p w14:paraId="755F12CE">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①</w:t>
            </w:r>
            <w:r>
              <w:rPr>
                <w:rFonts w:hint="default" w:ascii="Times New Roman" w:hAnsi="Times New Roman" w:cs="Times New Roman"/>
                <w:color w:val="auto"/>
                <w:sz w:val="24"/>
                <w:lang w:val="en-US" w:eastAsia="zh-CN"/>
              </w:rPr>
              <w:t>生活用排水</w:t>
            </w:r>
          </w:p>
          <w:p w14:paraId="4CD611F4">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项目劳动定员</w:t>
            </w:r>
            <w:r>
              <w:rPr>
                <w:rFonts w:hint="eastAsia" w:cs="Times New Roman"/>
                <w:color w:val="auto"/>
                <w:sz w:val="24"/>
                <w:lang w:val="en-US" w:eastAsia="zh-CN"/>
              </w:rPr>
              <w:t>30</w:t>
            </w:r>
            <w:r>
              <w:rPr>
                <w:rFonts w:hint="default" w:ascii="Times New Roman" w:hAnsi="Times New Roman" w:cs="Times New Roman"/>
                <w:color w:val="auto"/>
                <w:sz w:val="24"/>
              </w:rPr>
              <w:t>人，年工作时间300天。根据《</w:t>
            </w:r>
            <w:r>
              <w:rPr>
                <w:rFonts w:hint="eastAsia" w:cs="Times New Roman"/>
                <w:color w:val="auto"/>
                <w:sz w:val="24"/>
                <w:lang w:val="en-US" w:eastAsia="zh-CN"/>
              </w:rPr>
              <w:t>安徽省行业用水定额</w:t>
            </w:r>
            <w:r>
              <w:rPr>
                <w:rFonts w:hint="default" w:ascii="Times New Roman" w:hAnsi="Times New Roman" w:cs="Times New Roman"/>
                <w:color w:val="auto"/>
                <w:sz w:val="24"/>
              </w:rPr>
              <w:t>》</w:t>
            </w:r>
            <w:r>
              <w:rPr>
                <w:rFonts w:hint="eastAsia" w:cs="Times New Roman"/>
                <w:color w:val="auto"/>
                <w:sz w:val="24"/>
                <w:lang w:eastAsia="zh-CN"/>
              </w:rPr>
              <w:t>（</w:t>
            </w:r>
            <w:r>
              <w:rPr>
                <w:rFonts w:hint="default" w:ascii="Times New Roman" w:hAnsi="Times New Roman" w:cs="Times New Roman"/>
                <w:color w:val="auto"/>
                <w:sz w:val="24"/>
              </w:rPr>
              <w:t>DB34/T 679—2025</w:t>
            </w:r>
            <w:r>
              <w:rPr>
                <w:rFonts w:hint="default" w:ascii="Times New Roman" w:hAnsi="Times New Roman" w:eastAsia="宋体" w:cs="Times New Roman"/>
                <w:color w:val="auto"/>
                <w:sz w:val="24"/>
                <w:lang w:val="en-US" w:eastAsia="zh-CN"/>
              </w:rPr>
              <w:t>）</w:t>
            </w:r>
            <w:r>
              <w:rPr>
                <w:rFonts w:hint="eastAsia" w:cs="Times New Roman"/>
                <w:color w:val="auto"/>
                <w:sz w:val="24"/>
                <w:lang w:val="en-US" w:eastAsia="zh-CN"/>
              </w:rPr>
              <w:t>表7</w:t>
            </w:r>
            <w:r>
              <w:rPr>
                <w:rFonts w:hint="default" w:ascii="Times New Roman" w:hAnsi="Times New Roman" w:eastAsia="宋体" w:cs="Times New Roman"/>
                <w:color w:val="auto"/>
                <w:sz w:val="24"/>
                <w:lang w:val="en-US" w:eastAsia="zh-CN"/>
              </w:rPr>
              <w:t>，</w:t>
            </w:r>
            <w:r>
              <w:rPr>
                <w:rFonts w:hint="eastAsia" w:cs="Times New Roman"/>
                <w:color w:val="auto"/>
                <w:sz w:val="24"/>
                <w:lang w:val="en-US" w:eastAsia="zh-CN"/>
              </w:rPr>
              <w:t>城镇居民</w:t>
            </w:r>
            <w:r>
              <w:rPr>
                <w:rFonts w:hint="default" w:ascii="Times New Roman" w:hAnsi="Times New Roman" w:eastAsia="宋体" w:cs="Times New Roman"/>
                <w:color w:val="auto"/>
                <w:sz w:val="24"/>
                <w:lang w:val="en-US" w:eastAsia="zh-CN"/>
              </w:rPr>
              <w:t>用水量</w:t>
            </w:r>
            <w:r>
              <w:rPr>
                <w:rFonts w:hint="eastAsia" w:cs="Times New Roman"/>
                <w:color w:val="auto"/>
                <w:sz w:val="24"/>
                <w:lang w:val="en-US" w:eastAsia="zh-CN"/>
              </w:rPr>
              <w:t>为20</w:t>
            </w:r>
            <w:r>
              <w:rPr>
                <w:rFonts w:hint="default" w:ascii="Times New Roman" w:hAnsi="Times New Roman" w:eastAsia="宋体" w:cs="Times New Roman"/>
                <w:color w:val="auto"/>
                <w:sz w:val="24"/>
                <w:lang w:val="en-US" w:eastAsia="zh-CN"/>
              </w:rPr>
              <w:t>0 L/人·d，则项目生活用水量</w:t>
            </w:r>
            <w:r>
              <w:rPr>
                <w:rFonts w:hint="eastAsia" w:cs="Times New Roman"/>
                <w:color w:val="auto"/>
                <w:sz w:val="24"/>
                <w:lang w:val="en-US" w:eastAsia="zh-CN"/>
              </w:rPr>
              <w:t>6</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3</w:t>
            </w:r>
            <w:r>
              <w:rPr>
                <w:rFonts w:hint="default" w:ascii="Times New Roman" w:hAnsi="Times New Roman" w:eastAsia="宋体" w:cs="Times New Roman"/>
                <w:color w:val="auto"/>
                <w:sz w:val="24"/>
                <w:lang w:val="en-US" w:eastAsia="zh-CN"/>
              </w:rPr>
              <w:t>/d，</w:t>
            </w:r>
            <w:r>
              <w:rPr>
                <w:rFonts w:hint="eastAsia" w:cs="Times New Roman"/>
                <w:color w:val="auto"/>
                <w:sz w:val="24"/>
                <w:lang w:val="en-US" w:eastAsia="zh-CN"/>
              </w:rPr>
              <w:t>1800</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3</w:t>
            </w:r>
            <w:r>
              <w:rPr>
                <w:rFonts w:hint="default" w:ascii="Times New Roman" w:hAnsi="Times New Roman" w:eastAsia="宋体" w:cs="Times New Roman"/>
                <w:color w:val="auto"/>
                <w:sz w:val="24"/>
                <w:lang w:val="en-US" w:eastAsia="zh-CN"/>
              </w:rPr>
              <w:t>/a。</w:t>
            </w:r>
          </w:p>
          <w:p w14:paraId="7B10DFFF">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lang w:val="en-US" w:eastAsia="zh-CN"/>
              </w:rPr>
              <w:t>生活污水产生系数按0.</w:t>
            </w:r>
            <w:r>
              <w:rPr>
                <w:rFonts w:hint="eastAsia" w:ascii="Times New Roman" w:hAnsi="Times New Roman" w:eastAsia="宋体" w:cs="Times New Roman"/>
                <w:color w:val="auto"/>
                <w:sz w:val="24"/>
                <w:lang w:val="en-US" w:eastAsia="zh-CN"/>
              </w:rPr>
              <w:t>8</w:t>
            </w:r>
            <w:r>
              <w:rPr>
                <w:rFonts w:hint="default" w:ascii="Times New Roman" w:hAnsi="Times New Roman" w:eastAsia="宋体" w:cs="Times New Roman"/>
                <w:color w:val="auto"/>
                <w:sz w:val="24"/>
                <w:lang w:val="en-US" w:eastAsia="zh-CN"/>
              </w:rPr>
              <w:t>计，则项目生活污水量为</w:t>
            </w:r>
            <w:r>
              <w:rPr>
                <w:rFonts w:hint="eastAsia" w:cs="Times New Roman"/>
                <w:color w:val="auto"/>
                <w:sz w:val="24"/>
                <w:lang w:val="en-US" w:eastAsia="zh-CN"/>
              </w:rPr>
              <w:t>4.8</w:t>
            </w:r>
            <w:r>
              <w:rPr>
                <w:rFonts w:hint="default" w:ascii="Times New Roman" w:hAnsi="Times New Roman" w:eastAsia="宋体" w:cs="Times New Roman"/>
                <w:color w:val="auto"/>
                <w:sz w:val="24"/>
                <w:lang w:val="en-US" w:eastAsia="zh-CN"/>
              </w:rPr>
              <w:t>t/d</w:t>
            </w:r>
            <w:r>
              <w:rPr>
                <w:rFonts w:hint="eastAsia" w:cs="Times New Roman"/>
                <w:color w:val="auto"/>
                <w:sz w:val="24"/>
                <w:lang w:val="en-US" w:eastAsia="zh-CN"/>
              </w:rPr>
              <w:t>（144</w:t>
            </w:r>
            <w:r>
              <w:rPr>
                <w:rFonts w:hint="eastAsia" w:ascii="Times New Roman" w:hAnsi="Times New Roman" w:eastAsia="宋体" w:cs="Times New Roman"/>
                <w:color w:val="auto"/>
                <w:sz w:val="24"/>
                <w:lang w:val="en-US" w:eastAsia="zh-CN"/>
              </w:rPr>
              <w:t>0</w:t>
            </w:r>
            <w:r>
              <w:rPr>
                <w:rFonts w:hint="default" w:ascii="Times New Roman" w:hAnsi="Times New Roman" w:eastAsia="宋体" w:cs="Times New Roman"/>
                <w:color w:val="auto"/>
                <w:sz w:val="24"/>
                <w:lang w:val="en-US" w:eastAsia="zh-CN"/>
              </w:rPr>
              <w:t>t/a）。</w:t>
            </w:r>
            <w:r>
              <w:rPr>
                <w:rFonts w:hint="eastAsia" w:ascii="Times New Roman" w:hAnsi="Times New Roman" w:eastAsia="宋体" w:cs="Times New Roman"/>
                <w:bCs/>
                <w:color w:val="auto"/>
                <w:spacing w:val="0"/>
                <w:position w:val="0"/>
                <w:sz w:val="24"/>
                <w:lang w:val="en-US" w:eastAsia="zh-CN"/>
              </w:rPr>
              <w:t>根据《生活源产排污核算方法和系数手册》中“表1-1城镇生活源水污染物产生系</w:t>
            </w:r>
            <w:r>
              <w:rPr>
                <w:rFonts w:hint="default" w:ascii="Times New Roman" w:hAnsi="Times New Roman" w:eastAsia="宋体" w:cs="Times New Roman"/>
                <w:bCs/>
                <w:color w:val="auto"/>
                <w:spacing w:val="0"/>
                <w:position w:val="0"/>
                <w:sz w:val="24"/>
                <w:lang w:val="en-US" w:eastAsia="zh-CN"/>
              </w:rPr>
              <w:t>数</w:t>
            </w:r>
            <w:r>
              <w:rPr>
                <w:rFonts w:hint="eastAsia" w:ascii="Times New Roman" w:hAnsi="Times New Roman" w:eastAsia="宋体" w:cs="Times New Roman"/>
                <w:bCs/>
                <w:color w:val="auto"/>
                <w:spacing w:val="0"/>
                <w:position w:val="0"/>
                <w:sz w:val="24"/>
                <w:lang w:val="en-US" w:eastAsia="zh-CN"/>
              </w:rPr>
              <w:t>”</w:t>
            </w:r>
            <w:r>
              <w:rPr>
                <w:rFonts w:hint="default" w:ascii="Times New Roman" w:hAnsi="Times New Roman" w:eastAsia="宋体" w:cs="Times New Roman"/>
                <w:bCs/>
                <w:color w:val="auto"/>
                <w:spacing w:val="0"/>
                <w:position w:val="0"/>
                <w:sz w:val="24"/>
                <w:lang w:val="en-US" w:eastAsia="zh-CN"/>
              </w:rPr>
              <w:t>，并结合有关资料综合分析，安徽省城镇生活污水主要污染物及浓度为CODCr</w:t>
            </w:r>
            <w:r>
              <w:rPr>
                <w:rFonts w:hint="eastAsia" w:cs="Times New Roman"/>
                <w:bCs/>
                <w:color w:val="auto"/>
                <w:spacing w:val="0"/>
                <w:position w:val="0"/>
                <w:sz w:val="24"/>
                <w:lang w:val="en-US" w:eastAsia="zh-CN"/>
              </w:rPr>
              <w:t>（</w:t>
            </w:r>
            <w:r>
              <w:rPr>
                <w:rFonts w:hint="default" w:ascii="Times New Roman" w:hAnsi="Times New Roman" w:eastAsia="宋体" w:cs="Times New Roman"/>
                <w:bCs/>
                <w:color w:val="auto"/>
                <w:spacing w:val="0"/>
                <w:position w:val="0"/>
                <w:sz w:val="24"/>
                <w:lang w:val="en-US" w:eastAsia="zh-CN"/>
              </w:rPr>
              <w:t>340</w:t>
            </w:r>
            <w:r>
              <w:rPr>
                <w:rFonts w:hint="eastAsia" w:ascii="Times New Roman" w:hAnsi="Times New Roman" w:eastAsia="宋体" w:cs="Times New Roman"/>
                <w:bCs/>
                <w:color w:val="auto"/>
                <w:spacing w:val="0"/>
                <w:position w:val="0"/>
                <w:sz w:val="24"/>
                <w:lang w:val="en-US" w:eastAsia="zh-CN"/>
              </w:rPr>
              <w:t>mg/L</w:t>
            </w:r>
            <w:r>
              <w:rPr>
                <w:rFonts w:hint="default" w:ascii="Times New Roman" w:hAnsi="Times New Roman" w:eastAsia="宋体" w:cs="Times New Roman"/>
                <w:bCs/>
                <w:color w:val="auto"/>
                <w:spacing w:val="0"/>
                <w:position w:val="0"/>
                <w:sz w:val="24"/>
                <w:lang w:val="en-US" w:eastAsia="zh-CN"/>
              </w:rPr>
              <w:t>）、BOD</w:t>
            </w:r>
            <w:r>
              <w:rPr>
                <w:rFonts w:hint="default" w:ascii="Times New Roman" w:hAnsi="Times New Roman" w:eastAsia="宋体" w:cs="Times New Roman"/>
                <w:bCs/>
                <w:color w:val="auto"/>
                <w:spacing w:val="0"/>
                <w:position w:val="0"/>
                <w:sz w:val="24"/>
                <w:vertAlign w:val="subscript"/>
                <w:lang w:val="en-US" w:eastAsia="zh-CN"/>
              </w:rPr>
              <w:t>5</w:t>
            </w:r>
            <w:r>
              <w:rPr>
                <w:rFonts w:hint="eastAsia" w:cs="Times New Roman"/>
                <w:bCs/>
                <w:color w:val="auto"/>
                <w:spacing w:val="0"/>
                <w:position w:val="0"/>
                <w:sz w:val="24"/>
                <w:lang w:val="en-US" w:eastAsia="zh-CN"/>
              </w:rPr>
              <w:t>（</w:t>
            </w:r>
            <w:r>
              <w:rPr>
                <w:rFonts w:hint="default" w:ascii="Times New Roman" w:hAnsi="Times New Roman" w:eastAsia="宋体" w:cs="Times New Roman"/>
                <w:bCs/>
                <w:color w:val="auto"/>
                <w:spacing w:val="0"/>
                <w:position w:val="0"/>
                <w:sz w:val="24"/>
                <w:lang w:val="en-US" w:eastAsia="zh-CN"/>
              </w:rPr>
              <w:t>150</w:t>
            </w:r>
            <w:r>
              <w:rPr>
                <w:rFonts w:hint="eastAsia" w:ascii="Times New Roman" w:hAnsi="Times New Roman" w:eastAsia="宋体" w:cs="Times New Roman"/>
                <w:bCs/>
                <w:color w:val="auto"/>
                <w:spacing w:val="0"/>
                <w:position w:val="0"/>
                <w:sz w:val="24"/>
                <w:lang w:val="en-US" w:eastAsia="zh-CN"/>
              </w:rPr>
              <w:t>mg/L</w:t>
            </w:r>
            <w:r>
              <w:rPr>
                <w:rFonts w:hint="default" w:ascii="Times New Roman" w:hAnsi="Times New Roman" w:eastAsia="宋体" w:cs="Times New Roman"/>
                <w:bCs/>
                <w:color w:val="auto"/>
                <w:spacing w:val="0"/>
                <w:position w:val="0"/>
                <w:sz w:val="24"/>
                <w:lang w:val="en-US" w:eastAsia="zh-CN"/>
              </w:rPr>
              <w:t>）、SS</w:t>
            </w:r>
            <w:r>
              <w:rPr>
                <w:rFonts w:hint="eastAsia" w:cs="Times New Roman"/>
                <w:bCs/>
                <w:color w:val="auto"/>
                <w:spacing w:val="0"/>
                <w:position w:val="0"/>
                <w:sz w:val="24"/>
                <w:lang w:val="en-US" w:eastAsia="zh-CN"/>
              </w:rPr>
              <w:t>（</w:t>
            </w:r>
            <w:r>
              <w:rPr>
                <w:rFonts w:hint="default" w:ascii="Times New Roman" w:hAnsi="Times New Roman" w:eastAsia="宋体" w:cs="Times New Roman"/>
                <w:bCs/>
                <w:color w:val="auto"/>
                <w:spacing w:val="0"/>
                <w:position w:val="0"/>
                <w:sz w:val="24"/>
                <w:lang w:val="en-US" w:eastAsia="zh-CN"/>
              </w:rPr>
              <w:t>200</w:t>
            </w:r>
            <w:r>
              <w:rPr>
                <w:rFonts w:hint="eastAsia" w:ascii="Times New Roman" w:hAnsi="Times New Roman" w:eastAsia="宋体" w:cs="Times New Roman"/>
                <w:bCs/>
                <w:color w:val="auto"/>
                <w:spacing w:val="0"/>
                <w:position w:val="0"/>
                <w:sz w:val="24"/>
                <w:lang w:val="en-US" w:eastAsia="zh-CN"/>
              </w:rPr>
              <w:t>mg/L</w:t>
            </w:r>
            <w:r>
              <w:rPr>
                <w:rFonts w:hint="default" w:ascii="Times New Roman" w:hAnsi="Times New Roman" w:eastAsia="宋体" w:cs="Times New Roman"/>
                <w:bCs/>
                <w:color w:val="auto"/>
                <w:spacing w:val="0"/>
                <w:position w:val="0"/>
                <w:sz w:val="24"/>
                <w:lang w:val="en-US" w:eastAsia="zh-CN"/>
              </w:rPr>
              <w:t>）、NH</w:t>
            </w:r>
            <w:r>
              <w:rPr>
                <w:rFonts w:hint="default" w:ascii="Times New Roman" w:hAnsi="Times New Roman" w:eastAsia="宋体" w:cs="Times New Roman"/>
                <w:bCs/>
                <w:color w:val="auto"/>
                <w:spacing w:val="0"/>
                <w:position w:val="0"/>
                <w:sz w:val="24"/>
                <w:vertAlign w:val="subscript"/>
                <w:lang w:val="en-US" w:eastAsia="zh-CN"/>
              </w:rPr>
              <w:t>3</w:t>
            </w:r>
            <w:r>
              <w:rPr>
                <w:rFonts w:hint="default" w:ascii="Times New Roman" w:hAnsi="Times New Roman" w:eastAsia="宋体" w:cs="Times New Roman"/>
                <w:bCs/>
                <w:color w:val="auto"/>
                <w:spacing w:val="0"/>
                <w:position w:val="0"/>
                <w:sz w:val="24"/>
                <w:lang w:val="en-US" w:eastAsia="zh-CN"/>
              </w:rPr>
              <w:t>-N</w:t>
            </w:r>
            <w:r>
              <w:rPr>
                <w:rFonts w:hint="eastAsia" w:cs="Times New Roman"/>
                <w:bCs/>
                <w:color w:val="auto"/>
                <w:spacing w:val="0"/>
                <w:position w:val="0"/>
                <w:sz w:val="24"/>
                <w:lang w:val="en-US" w:eastAsia="zh-CN"/>
              </w:rPr>
              <w:t>（</w:t>
            </w:r>
            <w:r>
              <w:rPr>
                <w:rFonts w:hint="eastAsia" w:ascii="Times New Roman" w:hAnsi="Times New Roman" w:eastAsia="宋体" w:cs="Times New Roman"/>
                <w:bCs/>
                <w:color w:val="auto"/>
                <w:spacing w:val="0"/>
                <w:position w:val="0"/>
                <w:sz w:val="24"/>
                <w:lang w:val="en-US" w:eastAsia="zh-CN"/>
              </w:rPr>
              <w:t>35mg/L</w:t>
            </w:r>
            <w:r>
              <w:rPr>
                <w:rFonts w:hint="default" w:ascii="Times New Roman" w:hAnsi="Times New Roman" w:eastAsia="宋体" w:cs="Times New Roman"/>
                <w:bCs/>
                <w:color w:val="auto"/>
                <w:spacing w:val="0"/>
                <w:position w:val="0"/>
                <w:sz w:val="24"/>
                <w:lang w:val="en-US" w:eastAsia="zh-CN"/>
              </w:rPr>
              <w:t>）、TN</w:t>
            </w:r>
            <w:r>
              <w:rPr>
                <w:rFonts w:hint="eastAsia" w:cs="Times New Roman"/>
                <w:bCs/>
                <w:color w:val="auto"/>
                <w:spacing w:val="0"/>
                <w:position w:val="0"/>
                <w:sz w:val="24"/>
                <w:lang w:val="en-US" w:eastAsia="zh-CN"/>
              </w:rPr>
              <w:t>（</w:t>
            </w:r>
            <w:r>
              <w:rPr>
                <w:rFonts w:hint="eastAsia" w:ascii="Times New Roman" w:hAnsi="Times New Roman" w:eastAsia="宋体" w:cs="Times New Roman"/>
                <w:bCs/>
                <w:color w:val="auto"/>
                <w:spacing w:val="0"/>
                <w:position w:val="0"/>
                <w:sz w:val="24"/>
                <w:lang w:val="en-US" w:eastAsia="zh-CN"/>
              </w:rPr>
              <w:t>45mg/L</w:t>
            </w:r>
            <w:r>
              <w:rPr>
                <w:rFonts w:hint="default" w:ascii="Times New Roman" w:hAnsi="Times New Roman" w:eastAsia="宋体" w:cs="Times New Roman"/>
                <w:bCs/>
                <w:color w:val="auto"/>
                <w:spacing w:val="0"/>
                <w:position w:val="0"/>
                <w:sz w:val="24"/>
                <w:lang w:val="en-US" w:eastAsia="zh-CN"/>
              </w:rPr>
              <w:t>）、TP</w:t>
            </w:r>
            <w:r>
              <w:rPr>
                <w:rFonts w:hint="eastAsia" w:cs="Times New Roman"/>
                <w:bCs/>
                <w:color w:val="auto"/>
                <w:spacing w:val="0"/>
                <w:position w:val="0"/>
                <w:sz w:val="24"/>
                <w:lang w:val="en-US" w:eastAsia="zh-CN"/>
              </w:rPr>
              <w:t>（</w:t>
            </w:r>
            <w:r>
              <w:rPr>
                <w:rFonts w:hint="eastAsia" w:ascii="Times New Roman" w:hAnsi="Times New Roman" w:eastAsia="宋体" w:cs="Times New Roman"/>
                <w:bCs/>
                <w:color w:val="auto"/>
                <w:spacing w:val="0"/>
                <w:position w:val="0"/>
                <w:sz w:val="24"/>
                <w:lang w:val="en-US" w:eastAsia="zh-CN"/>
              </w:rPr>
              <w:t>4.5mg/L</w:t>
            </w:r>
            <w:r>
              <w:rPr>
                <w:rFonts w:hint="default" w:ascii="Times New Roman" w:hAnsi="Times New Roman" w:eastAsia="宋体" w:cs="Times New Roman"/>
                <w:bCs/>
                <w:color w:val="auto"/>
                <w:spacing w:val="0"/>
                <w:position w:val="0"/>
                <w:sz w:val="24"/>
                <w:lang w:val="en-US" w:eastAsia="zh-CN"/>
              </w:rPr>
              <w:t>）。</w:t>
            </w:r>
          </w:p>
          <w:p w14:paraId="11293D60">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②</w:t>
            </w:r>
            <w:r>
              <w:rPr>
                <w:rFonts w:hint="eastAsia" w:cs="Times New Roman"/>
                <w:color w:val="auto"/>
                <w:sz w:val="24"/>
                <w:highlight w:val="none"/>
                <w:lang w:val="en-US" w:eastAsia="zh-CN"/>
              </w:rPr>
              <w:t>热解油气冷凝用水</w:t>
            </w:r>
          </w:p>
          <w:p w14:paraId="5F6E2BD5">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eastAsia" w:ascii="Times New Roman" w:hAnsi="Times New Roman" w:cs="Times New Roman"/>
                <w:color w:val="auto"/>
                <w:sz w:val="24"/>
                <w:highlight w:val="none"/>
                <w:lang w:val="en-US" w:eastAsia="zh-CN"/>
              </w:rPr>
            </w:pPr>
            <w:r>
              <w:rPr>
                <w:rFonts w:hint="eastAsia"/>
                <w:b w:val="0"/>
                <w:bCs/>
                <w:color w:val="auto"/>
                <w:sz w:val="24"/>
                <w:lang w:val="en-US" w:eastAsia="zh-CN"/>
              </w:rPr>
              <w:t>根据建设单位提供的资料，光伏组件拆解生产过程中无配料用水，用水主要为热解油气冷凝用水。热解油气需冷凝回收热解油，冷凝采用水冷间接冷却，冷却水在降温池内循环使用不外排，但在使用过程中会有一定的蒸发损耗，每天需对冷却水进行补充。项目8台热解炉配备8套冷凝系统，8套冷凝系统循环水量约300m</w:t>
            </w:r>
            <w:r>
              <w:rPr>
                <w:rFonts w:hint="eastAsia"/>
                <w:b w:val="0"/>
                <w:bCs/>
                <w:color w:val="auto"/>
                <w:sz w:val="24"/>
                <w:vertAlign w:val="superscript"/>
                <w:lang w:val="en-US" w:eastAsia="zh-CN"/>
              </w:rPr>
              <w:t>3</w:t>
            </w:r>
            <w:r>
              <w:rPr>
                <w:rFonts w:hint="eastAsia"/>
                <w:b w:val="0"/>
                <w:bCs/>
                <w:color w:val="auto"/>
                <w:sz w:val="24"/>
                <w:lang w:val="en-US" w:eastAsia="zh-CN"/>
              </w:rPr>
              <w:t>/d，损耗率以循环量1%计，损耗量为3m</w:t>
            </w:r>
            <w:r>
              <w:rPr>
                <w:rFonts w:hint="eastAsia"/>
                <w:b w:val="0"/>
                <w:bCs/>
                <w:color w:val="auto"/>
                <w:sz w:val="24"/>
                <w:vertAlign w:val="superscript"/>
                <w:lang w:val="en-US" w:eastAsia="zh-CN"/>
              </w:rPr>
              <w:t>3</w:t>
            </w:r>
            <w:r>
              <w:rPr>
                <w:rFonts w:hint="eastAsia"/>
                <w:b w:val="0"/>
                <w:bCs/>
                <w:color w:val="auto"/>
                <w:sz w:val="24"/>
                <w:lang w:val="en-US" w:eastAsia="zh-CN"/>
              </w:rPr>
              <w:t>/d，则冷却水每日补充水量为3m</w:t>
            </w:r>
            <w:r>
              <w:rPr>
                <w:rFonts w:hint="eastAsia"/>
                <w:b w:val="0"/>
                <w:bCs/>
                <w:color w:val="auto"/>
                <w:sz w:val="24"/>
                <w:vertAlign w:val="superscript"/>
                <w:lang w:val="en-US" w:eastAsia="zh-CN"/>
              </w:rPr>
              <w:t>3</w:t>
            </w:r>
            <w:r>
              <w:rPr>
                <w:rFonts w:hint="eastAsia"/>
                <w:b w:val="0"/>
                <w:bCs/>
                <w:color w:val="auto"/>
                <w:sz w:val="24"/>
                <w:lang w:val="en-US" w:eastAsia="zh-CN"/>
              </w:rPr>
              <w:t>/d（900m</w:t>
            </w:r>
            <w:r>
              <w:rPr>
                <w:rFonts w:hint="eastAsia"/>
                <w:b w:val="0"/>
                <w:bCs/>
                <w:color w:val="auto"/>
                <w:sz w:val="24"/>
                <w:vertAlign w:val="superscript"/>
                <w:lang w:val="en-US" w:eastAsia="zh-CN"/>
              </w:rPr>
              <w:t>3</w:t>
            </w:r>
            <w:r>
              <w:rPr>
                <w:rFonts w:hint="eastAsia"/>
                <w:b w:val="0"/>
                <w:bCs/>
                <w:color w:val="auto"/>
                <w:sz w:val="24"/>
                <w:lang w:val="en-US" w:eastAsia="zh-CN"/>
              </w:rPr>
              <w:t>/a），采用</w:t>
            </w:r>
            <w:r>
              <w:rPr>
                <w:rFonts w:hint="eastAsia" w:ascii="Times New Roman" w:hAnsi="Times New Roman" w:cs="Times New Roman"/>
                <w:color w:val="auto"/>
                <w:sz w:val="24"/>
                <w:highlight w:val="none"/>
                <w:lang w:val="en-US" w:eastAsia="zh-CN"/>
              </w:rPr>
              <w:t>新鲜水补充。</w:t>
            </w:r>
          </w:p>
          <w:p w14:paraId="654FDA99">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③水封罐用水</w:t>
            </w:r>
          </w:p>
          <w:p w14:paraId="739635D0">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不凝气通入热裂解炉燃烧系统前经过水封罐，防止燃烧系统回火引发安全事故，水封罐内维持水量为30m</w:t>
            </w:r>
            <w:r>
              <w:rPr>
                <w:rFonts w:hint="eastAsia" w:cs="Times New Roman"/>
                <w:color w:val="auto"/>
                <w:sz w:val="24"/>
                <w:highlight w:val="none"/>
                <w:vertAlign w:val="superscript"/>
                <w:lang w:val="en-US" w:eastAsia="zh-CN"/>
              </w:rPr>
              <w:t>3</w:t>
            </w:r>
            <w:r>
              <w:rPr>
                <w:rFonts w:hint="default" w:ascii="Times New Roman" w:hAnsi="Times New Roman" w:cs="Times New Roman"/>
                <w:color w:val="auto"/>
                <w:sz w:val="24"/>
                <w:highlight w:val="none"/>
                <w:lang w:val="en-US" w:eastAsia="zh-CN"/>
              </w:rPr>
              <w:t>。水封水随不凝气少量蒸发而不断损耗，损耗量为0.5m</w:t>
            </w:r>
            <w:r>
              <w:rPr>
                <w:rFonts w:hint="eastAsia" w:cs="Times New Roman"/>
                <w:color w:val="auto"/>
                <w:sz w:val="24"/>
                <w:highlight w:val="none"/>
                <w:vertAlign w:val="superscript"/>
                <w:lang w:val="en-US" w:eastAsia="zh-CN"/>
              </w:rPr>
              <w:t>3</w:t>
            </w:r>
            <w:r>
              <w:rPr>
                <w:rFonts w:hint="default" w:ascii="Times New Roman" w:hAnsi="Times New Roman" w:cs="Times New Roman"/>
                <w:color w:val="auto"/>
                <w:sz w:val="24"/>
                <w:highlight w:val="none"/>
                <w:lang w:val="en-US" w:eastAsia="zh-CN"/>
              </w:rPr>
              <w:t>/d（150m</w:t>
            </w:r>
            <w:r>
              <w:rPr>
                <w:rFonts w:hint="eastAsia" w:cs="Times New Roman"/>
                <w:color w:val="auto"/>
                <w:sz w:val="24"/>
                <w:highlight w:val="none"/>
                <w:vertAlign w:val="superscript"/>
                <w:lang w:val="en-US" w:eastAsia="zh-CN"/>
              </w:rPr>
              <w:t>3</w:t>
            </w:r>
            <w:r>
              <w:rPr>
                <w:rFonts w:hint="default" w:ascii="Times New Roman" w:hAnsi="Times New Roman" w:cs="Times New Roman"/>
                <w:color w:val="auto"/>
                <w:sz w:val="24"/>
                <w:highlight w:val="none"/>
                <w:lang w:val="en-US" w:eastAsia="zh-CN"/>
              </w:rPr>
              <w:t>/a），通过补充水维持罐内水封水量，水封罐内水不外排。</w:t>
            </w:r>
          </w:p>
          <w:p w14:paraId="3205CE95">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fldChar w:fldCharType="begin"/>
            </w:r>
            <w:r>
              <w:rPr>
                <w:rFonts w:hint="eastAsia" w:ascii="Times New Roman" w:hAnsi="Times New Roman" w:cs="Times New Roman"/>
                <w:color w:val="auto"/>
                <w:sz w:val="24"/>
                <w:highlight w:val="none"/>
                <w:lang w:val="en-US" w:eastAsia="zh-CN"/>
              </w:rPr>
              <w:instrText xml:space="preserve"> = 4 \* GB3 \* MERGEFORMAT </w:instrText>
            </w:r>
            <w:r>
              <w:rPr>
                <w:rFonts w:hint="eastAsia" w:ascii="Times New Roman" w:hAnsi="Times New Roman" w:cs="Times New Roman"/>
                <w:color w:val="auto"/>
                <w:sz w:val="24"/>
                <w:highlight w:val="none"/>
                <w:lang w:val="en-US" w:eastAsia="zh-CN"/>
              </w:rPr>
              <w:fldChar w:fldCharType="separate"/>
            </w:r>
            <w:r>
              <w:rPr>
                <w:rFonts w:hint="default" w:ascii="Times New Roman" w:hAnsi="Times New Roman" w:cs="Times New Roman"/>
                <w:color w:val="auto"/>
                <w:sz w:val="24"/>
                <w:highlight w:val="none"/>
                <w:lang w:val="en-US" w:eastAsia="zh-CN"/>
              </w:rPr>
              <w:t>④</w:t>
            </w:r>
            <w:r>
              <w:rPr>
                <w:rFonts w:hint="eastAsia" w:ascii="Times New Roman" w:hAnsi="Times New Roman" w:cs="Times New Roman"/>
                <w:color w:val="auto"/>
                <w:sz w:val="24"/>
                <w:highlight w:val="none"/>
                <w:lang w:val="en-US" w:eastAsia="zh-CN"/>
              </w:rPr>
              <w:fldChar w:fldCharType="end"/>
            </w:r>
            <w:r>
              <w:rPr>
                <w:rFonts w:hint="eastAsia" w:ascii="Times New Roman" w:hAnsi="Times New Roman" w:cs="Times New Roman"/>
                <w:color w:val="auto"/>
                <w:sz w:val="24"/>
                <w:highlight w:val="none"/>
                <w:lang w:val="en-US" w:eastAsia="zh-CN"/>
              </w:rPr>
              <w:t>玻璃</w:t>
            </w:r>
            <w:r>
              <w:rPr>
                <w:rFonts w:hint="eastAsia" w:cs="Times New Roman"/>
                <w:color w:val="auto"/>
                <w:sz w:val="24"/>
                <w:highlight w:val="none"/>
                <w:lang w:val="en-US" w:eastAsia="zh-CN"/>
              </w:rPr>
              <w:t>碱洗</w:t>
            </w:r>
            <w:r>
              <w:rPr>
                <w:rFonts w:hint="eastAsia" w:ascii="Times New Roman" w:hAnsi="Times New Roman" w:cs="Times New Roman"/>
                <w:color w:val="auto"/>
                <w:sz w:val="24"/>
                <w:highlight w:val="none"/>
                <w:lang w:val="en-US" w:eastAsia="zh-CN"/>
              </w:rPr>
              <w:t>用水</w:t>
            </w:r>
          </w:p>
          <w:p w14:paraId="6A4C7F8D">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cs="Times New Roman"/>
                <w:color w:val="auto"/>
                <w:sz w:val="24"/>
                <w:highlight w:val="none"/>
                <w:lang w:val="en-US" w:eastAsia="zh-CN"/>
              </w:rPr>
            </w:pPr>
            <w:r>
              <w:rPr>
                <w:rFonts w:hint="eastAsia" w:cs="Times New Roman"/>
                <w:color w:val="auto"/>
                <w:sz w:val="24"/>
                <w:highlight w:val="none"/>
                <w:lang w:val="en-US" w:eastAsia="zh-CN"/>
              </w:rPr>
              <w:t>项目设2台卧式清洗炉，炉体直径2.8m，长6.4m。选出玻璃首先采用清洗炉碱洗，清洗炉内采用片碱+水配制30%的碱液，每炉碱液量设计为炉体容量的一半，约20m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。物料经碱液清洗后，进入小直线筛过滤，过滤的碱液流入清洗炉下方的沉淀池（50m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），沉淀后循环利用。沉淀池定期捞渣，定期补充新鲜水，不产生废水外排。</w:t>
            </w:r>
          </w:p>
          <w:p w14:paraId="2EA07D7C">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每个清洗炉工作能力为8炉/天，则循环碱液量为160m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/d。循环碱洗过程会有损耗，损耗量按循环量的1%计，则需补充碱液1.6m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/d，其中新鲜水补充量为1.12m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/d。</w:t>
            </w:r>
          </w:p>
          <w:p w14:paraId="5D24371D">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fldChar w:fldCharType="begin"/>
            </w:r>
            <w:r>
              <w:rPr>
                <w:rFonts w:hint="default" w:ascii="Times New Roman" w:hAnsi="Times New Roman" w:cs="Times New Roman"/>
                <w:color w:val="auto"/>
                <w:sz w:val="24"/>
                <w:highlight w:val="none"/>
                <w:lang w:val="en-US" w:eastAsia="zh-CN"/>
              </w:rPr>
              <w:instrText xml:space="preserve"> = 5 \* GB3 \* MERGEFORMAT </w:instrText>
            </w:r>
            <w:r>
              <w:rPr>
                <w:rFonts w:hint="default" w:ascii="Times New Roman" w:hAnsi="Times New Roman" w:cs="Times New Roman"/>
                <w:color w:val="auto"/>
                <w:sz w:val="24"/>
                <w:highlight w:val="none"/>
                <w:lang w:val="en-US" w:eastAsia="zh-CN"/>
              </w:rPr>
              <w:fldChar w:fldCharType="separate"/>
            </w:r>
            <w:r>
              <w:rPr>
                <w:rFonts w:hint="default" w:ascii="Times New Roman" w:hAnsi="Times New Roman" w:cs="Times New Roman"/>
                <w:color w:val="auto"/>
                <w:sz w:val="24"/>
                <w:highlight w:val="none"/>
                <w:lang w:val="en-US" w:eastAsia="zh-CN"/>
              </w:rPr>
              <w:t>⑤</w:t>
            </w:r>
            <w:r>
              <w:rPr>
                <w:rFonts w:hint="default" w:ascii="Times New Roman" w:hAnsi="Times New Roman" w:cs="Times New Roman"/>
                <w:color w:val="auto"/>
                <w:sz w:val="24"/>
                <w:highlight w:val="none"/>
                <w:lang w:val="en-US" w:eastAsia="zh-CN"/>
              </w:rPr>
              <w:fldChar w:fldCharType="end"/>
            </w:r>
            <w:r>
              <w:rPr>
                <w:rFonts w:hint="eastAsia" w:ascii="Times New Roman" w:hAnsi="Times New Roman" w:cs="Times New Roman"/>
                <w:color w:val="auto"/>
                <w:sz w:val="24"/>
                <w:highlight w:val="none"/>
                <w:lang w:val="en-US" w:eastAsia="zh-CN"/>
              </w:rPr>
              <w:t>洗砂去碱用水</w:t>
            </w:r>
          </w:p>
          <w:p w14:paraId="17BAB2DA">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玻璃碱洗过滤后，采用洗砂机对物料进行水洗去碱。水料比为2:1，玻璃清洗量为23720.752t/a，总循环水洗量约360101.86m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/a，158.14m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/d，洗砂机下方设置沉淀池（50m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），洗砂废水经沉淀后循环利用，沉淀池定期捞渣，定期补充新鲜水，不产生废水外排。</w:t>
            </w:r>
          </w:p>
          <w:p w14:paraId="45FF9943">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循环洗砂过程会有损耗，损耗量按循环量的1%计，则新鲜水补充量约为1.58m</w:t>
            </w:r>
            <w:r>
              <w:rPr>
                <w:rFonts w:hint="eastAsia" w:cs="Times New Roman"/>
                <w:color w:val="auto"/>
                <w:sz w:val="24"/>
                <w:highlight w:val="none"/>
                <w:vertAlign w:val="superscript"/>
                <w:lang w:val="en-US" w:eastAsia="zh-CN"/>
              </w:rPr>
              <w:t>3</w:t>
            </w:r>
            <w:r>
              <w:rPr>
                <w:rFonts w:hint="eastAsia" w:cs="Times New Roman"/>
                <w:color w:val="auto"/>
                <w:sz w:val="24"/>
                <w:highlight w:val="none"/>
                <w:lang w:val="en-US" w:eastAsia="zh-CN"/>
              </w:rPr>
              <w:t>/d。</w:t>
            </w:r>
          </w:p>
          <w:p w14:paraId="4DBE4385">
            <w:pPr>
              <w:pStyle w:val="25"/>
              <w:keepNext w:val="0"/>
              <w:keepLines w:val="0"/>
              <w:pageBreakBefore w:val="0"/>
              <w:widowControl w:val="0"/>
              <w:kinsoku/>
              <w:wordWrap/>
              <w:overflowPunct/>
              <w:topLinePunct w:val="0"/>
              <w:autoSpaceDE/>
              <w:autoSpaceDN/>
              <w:bidi w:val="0"/>
              <w:adjustRightInd/>
              <w:snapToGrid/>
              <w:spacing w:line="480" w:lineRule="atLeast"/>
              <w:ind w:left="0" w:leftChars="0" w:firstLine="480" w:firstLineChars="200"/>
              <w:textAlignment w:val="auto"/>
              <w:rPr>
                <w:rFonts w:hint="default" w:ascii="Times New Roman" w:hAnsi="Times New Roman" w:cs="Times New Roman"/>
                <w:color w:val="auto"/>
                <w:kern w:val="2"/>
                <w:sz w:val="24"/>
                <w:szCs w:val="24"/>
                <w:highlight w:val="none"/>
                <w:lang w:val="en-US" w:eastAsia="zh-CN" w:bidi="ar-SA"/>
              </w:rPr>
            </w:pPr>
            <w:r>
              <w:rPr>
                <w:rFonts w:hint="default" w:ascii="Times New Roman" w:hAnsi="Times New Roman" w:cs="Times New Roman"/>
                <w:color w:val="auto"/>
                <w:sz w:val="24"/>
                <w:highlight w:val="none"/>
                <w:lang w:val="en-US" w:eastAsia="zh-CN"/>
              </w:rPr>
              <w:fldChar w:fldCharType="begin"/>
            </w:r>
            <w:r>
              <w:rPr>
                <w:rFonts w:hint="default" w:ascii="Times New Roman" w:hAnsi="Times New Roman" w:cs="Times New Roman"/>
                <w:color w:val="auto"/>
                <w:sz w:val="24"/>
                <w:highlight w:val="none"/>
                <w:lang w:val="en-US" w:eastAsia="zh-CN"/>
              </w:rPr>
              <w:instrText xml:space="preserve"> = 6 \* GB3 \* MERGEFORMAT </w:instrText>
            </w:r>
            <w:r>
              <w:rPr>
                <w:rFonts w:hint="default" w:ascii="Times New Roman" w:hAnsi="Times New Roman" w:cs="Times New Roman"/>
                <w:color w:val="auto"/>
                <w:sz w:val="24"/>
                <w:highlight w:val="none"/>
                <w:lang w:val="en-US" w:eastAsia="zh-CN"/>
              </w:rPr>
              <w:fldChar w:fldCharType="separate"/>
            </w:r>
            <w:r>
              <w:rPr>
                <w:rFonts w:hint="default" w:ascii="Times New Roman" w:hAnsi="Times New Roman" w:cs="Times New Roman"/>
                <w:color w:val="auto"/>
                <w:sz w:val="24"/>
                <w:highlight w:val="none"/>
                <w:lang w:val="en-US" w:eastAsia="zh-CN"/>
              </w:rPr>
              <w:t>⑥</w:t>
            </w:r>
            <w:r>
              <w:rPr>
                <w:rFonts w:hint="default" w:ascii="Times New Roman" w:hAnsi="Times New Roman" w:cs="Times New Roman"/>
                <w:color w:val="auto"/>
                <w:sz w:val="24"/>
                <w:highlight w:val="none"/>
                <w:lang w:val="en-US" w:eastAsia="zh-CN"/>
              </w:rPr>
              <w:fldChar w:fldCharType="end"/>
            </w:r>
            <w:r>
              <w:rPr>
                <w:rFonts w:hint="eastAsia" w:ascii="Times New Roman" w:cs="Times New Roman"/>
                <w:color w:val="auto"/>
                <w:kern w:val="2"/>
                <w:sz w:val="24"/>
                <w:szCs w:val="24"/>
                <w:highlight w:val="none"/>
                <w:lang w:val="en-US" w:eastAsia="zh-CN" w:bidi="ar-SA"/>
              </w:rPr>
              <w:t>喷淋塔用排水</w:t>
            </w:r>
          </w:p>
          <w:p w14:paraId="2024F965">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textAlignment w:val="auto"/>
              <w:rPr>
                <w:rFonts w:hint="default" w:ascii="Times New Roman" w:hAnsi="Times New Roman" w:eastAsia="宋体" w:cs="宋体"/>
                <w:caps w:val="0"/>
                <w:smallCaps w:val="0"/>
                <w:color w:val="auto"/>
                <w:spacing w:val="0"/>
                <w:w w:val="100"/>
                <w:kern w:val="0"/>
                <w:position w:val="0"/>
                <w:sz w:val="24"/>
                <w:szCs w:val="24"/>
                <w:lang w:val="en-US" w:eastAsia="zh-CN" w:bidi="ar-SA"/>
              </w:rPr>
            </w:pPr>
            <w:r>
              <w:rPr>
                <w:rFonts w:hint="eastAsia" w:cs="Times New Roman"/>
                <w:color w:val="auto"/>
                <w:sz w:val="24"/>
                <w:szCs w:val="24"/>
                <w:highlight w:val="none"/>
                <w:lang w:val="en-US" w:eastAsia="zh-CN"/>
              </w:rPr>
              <w:t>项目设6座喷淋塔（4座水喷淋塔+2座碱喷淋塔），</w:t>
            </w:r>
            <w:r>
              <w:rPr>
                <w:rFonts w:hint="eastAsia" w:ascii="Times New Roman" w:hAnsi="Times New Roman" w:eastAsia="宋体" w:cs="宋体"/>
                <w:caps w:val="0"/>
                <w:smallCaps w:val="0"/>
                <w:color w:val="auto"/>
                <w:spacing w:val="0"/>
                <w:w w:val="100"/>
                <w:kern w:val="0"/>
                <w:position w:val="0"/>
                <w:sz w:val="24"/>
                <w:szCs w:val="24"/>
                <w:lang w:val="en-US" w:eastAsia="zh-CN" w:bidi="ar-SA"/>
              </w:rPr>
              <w:t>液气比为3L/m</w:t>
            </w:r>
            <w:r>
              <w:rPr>
                <w:rFonts w:hint="eastAsia" w:ascii="Times New Roman" w:hAnsi="Times New Roman" w:eastAsia="宋体" w:cs="宋体"/>
                <w:caps w:val="0"/>
                <w:smallCaps w:val="0"/>
                <w:color w:val="auto"/>
                <w:spacing w:val="0"/>
                <w:w w:val="100"/>
                <w:kern w:val="0"/>
                <w:position w:val="0"/>
                <w:sz w:val="24"/>
                <w:szCs w:val="24"/>
                <w:vertAlign w:val="superscript"/>
                <w:lang w:val="en-US" w:eastAsia="zh-CN" w:bidi="ar-SA"/>
              </w:rPr>
              <w:t>3</w:t>
            </w:r>
            <w:r>
              <w:rPr>
                <w:rFonts w:hint="eastAsia" w:ascii="Times New Roman" w:hAnsi="Times New Roman" w:eastAsia="宋体" w:cs="宋体"/>
                <w:caps w:val="0"/>
                <w:smallCaps w:val="0"/>
                <w:color w:val="auto"/>
                <w:spacing w:val="0"/>
                <w:w w:val="100"/>
                <w:kern w:val="0"/>
                <w:position w:val="0"/>
                <w:sz w:val="24"/>
                <w:szCs w:val="24"/>
                <w:lang w:val="en-US" w:eastAsia="zh-CN" w:bidi="ar-SA"/>
              </w:rPr>
              <w:t>，废气总风量为</w:t>
            </w:r>
            <w:r>
              <w:rPr>
                <w:rFonts w:hint="eastAsia" w:cs="宋体"/>
                <w:caps w:val="0"/>
                <w:smallCaps w:val="0"/>
                <w:color w:val="auto"/>
                <w:spacing w:val="0"/>
                <w:w w:val="100"/>
                <w:kern w:val="0"/>
                <w:position w:val="0"/>
                <w:sz w:val="24"/>
                <w:szCs w:val="24"/>
                <w:lang w:val="en-US" w:eastAsia="zh-CN" w:bidi="ar-SA"/>
              </w:rPr>
              <w:t>46</w:t>
            </w:r>
            <w:r>
              <w:rPr>
                <w:rFonts w:hint="eastAsia" w:ascii="Times New Roman" w:hAnsi="Times New Roman" w:eastAsia="宋体" w:cs="宋体"/>
                <w:caps w:val="0"/>
                <w:smallCaps w:val="0"/>
                <w:color w:val="auto"/>
                <w:spacing w:val="0"/>
                <w:w w:val="100"/>
                <w:kern w:val="0"/>
                <w:position w:val="0"/>
                <w:sz w:val="24"/>
                <w:szCs w:val="24"/>
                <w:lang w:val="en-US" w:eastAsia="zh-CN" w:bidi="ar-SA"/>
              </w:rPr>
              <w:t>000m</w:t>
            </w:r>
            <w:r>
              <w:rPr>
                <w:rFonts w:hint="eastAsia" w:ascii="Times New Roman" w:hAnsi="Times New Roman" w:eastAsia="宋体" w:cs="宋体"/>
                <w:caps w:val="0"/>
                <w:smallCaps w:val="0"/>
                <w:color w:val="auto"/>
                <w:spacing w:val="0"/>
                <w:w w:val="100"/>
                <w:kern w:val="0"/>
                <w:position w:val="0"/>
                <w:sz w:val="24"/>
                <w:szCs w:val="24"/>
                <w:vertAlign w:val="superscript"/>
                <w:lang w:val="en-US" w:eastAsia="zh-CN" w:bidi="ar-SA"/>
              </w:rPr>
              <w:t>3</w:t>
            </w:r>
            <w:r>
              <w:rPr>
                <w:rFonts w:hint="eastAsia" w:ascii="Times New Roman" w:hAnsi="Times New Roman" w:eastAsia="宋体" w:cs="宋体"/>
                <w:caps w:val="0"/>
                <w:smallCaps w:val="0"/>
                <w:color w:val="auto"/>
                <w:spacing w:val="0"/>
                <w:w w:val="100"/>
                <w:kern w:val="0"/>
                <w:position w:val="0"/>
                <w:sz w:val="24"/>
                <w:szCs w:val="24"/>
                <w:lang w:val="en-US" w:eastAsia="zh-CN" w:bidi="ar-SA"/>
              </w:rPr>
              <w:t>/h，则喷淋水量为1</w:t>
            </w:r>
            <w:r>
              <w:rPr>
                <w:rFonts w:hint="eastAsia" w:cs="宋体"/>
                <w:caps w:val="0"/>
                <w:smallCaps w:val="0"/>
                <w:color w:val="auto"/>
                <w:spacing w:val="0"/>
                <w:w w:val="100"/>
                <w:kern w:val="0"/>
                <w:position w:val="0"/>
                <w:sz w:val="24"/>
                <w:szCs w:val="24"/>
                <w:lang w:val="en-US" w:eastAsia="zh-CN" w:bidi="ar-SA"/>
              </w:rPr>
              <w:t>38</w:t>
            </w:r>
            <w:r>
              <w:rPr>
                <w:rFonts w:hint="eastAsia" w:ascii="Times New Roman" w:hAnsi="Times New Roman" w:eastAsia="宋体" w:cs="宋体"/>
                <w:caps w:val="0"/>
                <w:smallCaps w:val="0"/>
                <w:color w:val="auto"/>
                <w:spacing w:val="0"/>
                <w:w w:val="100"/>
                <w:kern w:val="0"/>
                <w:position w:val="0"/>
                <w:sz w:val="24"/>
                <w:szCs w:val="24"/>
                <w:lang w:val="en-US" w:eastAsia="zh-CN" w:bidi="ar-SA"/>
              </w:rPr>
              <w:t>m</w:t>
            </w:r>
            <w:r>
              <w:rPr>
                <w:rFonts w:hint="eastAsia" w:ascii="Times New Roman" w:hAnsi="Times New Roman" w:eastAsia="宋体" w:cs="宋体"/>
                <w:caps w:val="0"/>
                <w:smallCaps w:val="0"/>
                <w:color w:val="auto"/>
                <w:spacing w:val="0"/>
                <w:w w:val="100"/>
                <w:kern w:val="0"/>
                <w:position w:val="0"/>
                <w:sz w:val="24"/>
                <w:szCs w:val="24"/>
                <w:vertAlign w:val="superscript"/>
                <w:lang w:val="en-US" w:eastAsia="zh-CN" w:bidi="ar-SA"/>
              </w:rPr>
              <w:t>3</w:t>
            </w:r>
            <w:r>
              <w:rPr>
                <w:rFonts w:hint="eastAsia" w:ascii="Times New Roman" w:hAnsi="Times New Roman" w:eastAsia="宋体" w:cs="宋体"/>
                <w:caps w:val="0"/>
                <w:smallCaps w:val="0"/>
                <w:color w:val="auto"/>
                <w:spacing w:val="0"/>
                <w:w w:val="100"/>
                <w:kern w:val="0"/>
                <w:position w:val="0"/>
                <w:sz w:val="24"/>
                <w:szCs w:val="24"/>
                <w:lang w:val="en-US" w:eastAsia="zh-CN" w:bidi="ar-SA"/>
              </w:rPr>
              <w:t>/h，损耗量参考《民用建筑供暖通风与空气调节设计规范》</w:t>
            </w:r>
            <w:r>
              <w:rPr>
                <w:rFonts w:hint="eastAsia" w:cs="宋体"/>
                <w:caps w:val="0"/>
                <w:smallCaps w:val="0"/>
                <w:color w:val="auto"/>
                <w:spacing w:val="0"/>
                <w:w w:val="100"/>
                <w:kern w:val="0"/>
                <w:position w:val="0"/>
                <w:sz w:val="24"/>
                <w:szCs w:val="24"/>
                <w:lang w:val="en-US" w:eastAsia="zh-CN" w:bidi="ar-SA"/>
              </w:rPr>
              <w:t>（</w:t>
            </w:r>
            <w:r>
              <w:rPr>
                <w:rFonts w:hint="eastAsia" w:ascii="Times New Roman" w:hAnsi="Times New Roman" w:eastAsia="宋体" w:cs="宋体"/>
                <w:caps w:val="0"/>
                <w:smallCaps w:val="0"/>
                <w:color w:val="auto"/>
                <w:spacing w:val="0"/>
                <w:w w:val="100"/>
                <w:kern w:val="0"/>
                <w:position w:val="0"/>
                <w:sz w:val="24"/>
                <w:szCs w:val="24"/>
                <w:lang w:val="en-US" w:eastAsia="zh-CN" w:bidi="ar-SA"/>
              </w:rPr>
              <w:t>GB50736-2012）中喷淋循环的补充系数为循环水量的0.1%-0.3%，本项目取平均值0.2%，则损耗蒸发水量0.</w:t>
            </w:r>
            <w:r>
              <w:rPr>
                <w:rFonts w:hint="eastAsia" w:cs="宋体"/>
                <w:caps w:val="0"/>
                <w:smallCaps w:val="0"/>
                <w:color w:val="auto"/>
                <w:spacing w:val="0"/>
                <w:w w:val="100"/>
                <w:kern w:val="0"/>
                <w:position w:val="0"/>
                <w:sz w:val="24"/>
                <w:szCs w:val="24"/>
                <w:lang w:val="en-US" w:eastAsia="zh-CN" w:bidi="ar-SA"/>
              </w:rPr>
              <w:t>27</w:t>
            </w:r>
            <w:r>
              <w:rPr>
                <w:rFonts w:hint="eastAsia" w:ascii="Times New Roman" w:hAnsi="Times New Roman" w:eastAsia="宋体" w:cs="宋体"/>
                <w:caps w:val="0"/>
                <w:smallCaps w:val="0"/>
                <w:color w:val="auto"/>
                <w:spacing w:val="0"/>
                <w:w w:val="100"/>
                <w:kern w:val="0"/>
                <w:position w:val="0"/>
                <w:sz w:val="24"/>
                <w:szCs w:val="24"/>
                <w:lang w:val="en-US" w:eastAsia="zh-CN" w:bidi="ar-SA"/>
              </w:rPr>
              <w:t>6m</w:t>
            </w:r>
            <w:r>
              <w:rPr>
                <w:rFonts w:hint="eastAsia" w:ascii="Times New Roman" w:hAnsi="Times New Roman" w:eastAsia="宋体" w:cs="宋体"/>
                <w:caps w:val="0"/>
                <w:smallCaps w:val="0"/>
                <w:color w:val="auto"/>
                <w:spacing w:val="0"/>
                <w:w w:val="100"/>
                <w:kern w:val="0"/>
                <w:position w:val="0"/>
                <w:sz w:val="24"/>
                <w:szCs w:val="24"/>
                <w:vertAlign w:val="superscript"/>
                <w:lang w:val="en-US" w:eastAsia="zh-CN" w:bidi="ar-SA"/>
              </w:rPr>
              <w:t>3</w:t>
            </w:r>
            <w:r>
              <w:rPr>
                <w:rFonts w:hint="eastAsia" w:ascii="Times New Roman" w:hAnsi="Times New Roman" w:eastAsia="宋体" w:cs="宋体"/>
                <w:caps w:val="0"/>
                <w:smallCaps w:val="0"/>
                <w:color w:val="auto"/>
                <w:spacing w:val="0"/>
                <w:w w:val="100"/>
                <w:kern w:val="0"/>
                <w:position w:val="0"/>
                <w:sz w:val="24"/>
                <w:szCs w:val="24"/>
                <w:lang w:val="en-US" w:eastAsia="zh-CN" w:bidi="ar-SA"/>
              </w:rPr>
              <w:t>/h，喷淋塔年工作时间为7200小时，则补充水量为</w:t>
            </w:r>
            <w:r>
              <w:rPr>
                <w:rFonts w:hint="eastAsia" w:cs="宋体"/>
                <w:caps w:val="0"/>
                <w:smallCaps w:val="0"/>
                <w:color w:val="auto"/>
                <w:spacing w:val="0"/>
                <w:w w:val="100"/>
                <w:kern w:val="0"/>
                <w:position w:val="0"/>
                <w:sz w:val="24"/>
                <w:szCs w:val="24"/>
                <w:lang w:val="en-US" w:eastAsia="zh-CN" w:bidi="ar-SA"/>
              </w:rPr>
              <w:t>1987.2</w:t>
            </w:r>
            <w:r>
              <w:rPr>
                <w:rFonts w:hint="eastAsia" w:ascii="Times New Roman" w:hAnsi="Times New Roman" w:eastAsia="宋体" w:cs="宋体"/>
                <w:caps w:val="0"/>
                <w:smallCaps w:val="0"/>
                <w:color w:val="auto"/>
                <w:spacing w:val="0"/>
                <w:w w:val="100"/>
                <w:kern w:val="0"/>
                <w:position w:val="0"/>
                <w:sz w:val="24"/>
                <w:szCs w:val="24"/>
                <w:lang w:val="en-US" w:eastAsia="zh-CN" w:bidi="ar-SA"/>
              </w:rPr>
              <w:t>m</w:t>
            </w:r>
            <w:r>
              <w:rPr>
                <w:rFonts w:hint="eastAsia" w:ascii="Times New Roman" w:hAnsi="Times New Roman" w:eastAsia="宋体" w:cs="宋体"/>
                <w:caps w:val="0"/>
                <w:smallCaps w:val="0"/>
                <w:color w:val="auto"/>
                <w:spacing w:val="0"/>
                <w:w w:val="100"/>
                <w:kern w:val="0"/>
                <w:position w:val="0"/>
                <w:sz w:val="24"/>
                <w:szCs w:val="24"/>
                <w:vertAlign w:val="superscript"/>
                <w:lang w:val="en-US" w:eastAsia="zh-CN" w:bidi="ar-SA"/>
              </w:rPr>
              <w:t>3</w:t>
            </w:r>
            <w:r>
              <w:rPr>
                <w:rFonts w:hint="eastAsia" w:ascii="Times New Roman" w:hAnsi="Times New Roman" w:eastAsia="宋体" w:cs="宋体"/>
                <w:caps w:val="0"/>
                <w:smallCaps w:val="0"/>
                <w:color w:val="auto"/>
                <w:spacing w:val="0"/>
                <w:w w:val="100"/>
                <w:kern w:val="0"/>
                <w:position w:val="0"/>
                <w:sz w:val="24"/>
                <w:szCs w:val="24"/>
                <w:lang w:val="en-US" w:eastAsia="zh-CN" w:bidi="ar-SA"/>
              </w:rPr>
              <w:t>/a</w:t>
            </w:r>
            <w:r>
              <w:rPr>
                <w:rFonts w:hint="eastAsia" w:cs="宋体"/>
                <w:caps w:val="0"/>
                <w:smallCaps w:val="0"/>
                <w:color w:val="auto"/>
                <w:spacing w:val="0"/>
                <w:w w:val="100"/>
                <w:kern w:val="0"/>
                <w:position w:val="0"/>
                <w:sz w:val="24"/>
                <w:szCs w:val="24"/>
                <w:lang w:val="en-US" w:eastAsia="zh-CN" w:bidi="ar-SA"/>
              </w:rPr>
              <w:t>（6.624</w:t>
            </w:r>
            <w:r>
              <w:rPr>
                <w:rFonts w:hint="eastAsia" w:ascii="Times New Roman" w:hAnsi="Times New Roman" w:cs="宋体"/>
                <w:caps w:val="0"/>
                <w:smallCaps w:val="0"/>
                <w:color w:val="auto"/>
                <w:spacing w:val="0"/>
                <w:w w:val="100"/>
                <w:kern w:val="0"/>
                <w:position w:val="0"/>
                <w:sz w:val="24"/>
                <w:szCs w:val="24"/>
                <w:lang w:val="en-US" w:eastAsia="zh-CN" w:bidi="ar-SA"/>
              </w:rPr>
              <w:t>t/d）</w:t>
            </w:r>
            <w:r>
              <w:rPr>
                <w:rFonts w:hint="eastAsia" w:ascii="Times New Roman" w:hAnsi="Times New Roman" w:eastAsia="宋体" w:cs="宋体"/>
                <w:caps w:val="0"/>
                <w:smallCaps w:val="0"/>
                <w:color w:val="auto"/>
                <w:spacing w:val="0"/>
                <w:w w:val="100"/>
                <w:kern w:val="0"/>
                <w:position w:val="0"/>
                <w:sz w:val="24"/>
                <w:szCs w:val="24"/>
                <w:lang w:val="en-US" w:eastAsia="zh-CN" w:bidi="ar-SA"/>
              </w:rPr>
              <w:t>。喷淋量按照4分钟的循环水量核算，即1</w:t>
            </w:r>
            <w:r>
              <w:rPr>
                <w:rFonts w:hint="eastAsia" w:cs="宋体"/>
                <w:caps w:val="0"/>
                <w:smallCaps w:val="0"/>
                <w:color w:val="auto"/>
                <w:spacing w:val="0"/>
                <w:w w:val="100"/>
                <w:kern w:val="0"/>
                <w:position w:val="0"/>
                <w:sz w:val="24"/>
                <w:szCs w:val="24"/>
                <w:lang w:val="en-US" w:eastAsia="zh-CN" w:bidi="ar-SA"/>
              </w:rPr>
              <w:t>38</w:t>
            </w:r>
            <w:r>
              <w:rPr>
                <w:rFonts w:hint="default" w:ascii="Times New Roman" w:hAnsi="Times New Roman" w:eastAsia="宋体" w:cs="Times New Roman"/>
                <w:caps w:val="0"/>
                <w:smallCaps w:val="0"/>
                <w:color w:val="auto"/>
                <w:spacing w:val="0"/>
                <w:w w:val="100"/>
                <w:kern w:val="0"/>
                <w:position w:val="0"/>
                <w:sz w:val="24"/>
                <w:szCs w:val="24"/>
                <w:lang w:val="en-US" w:eastAsia="zh-CN" w:bidi="ar-SA"/>
              </w:rPr>
              <w:t>×</w:t>
            </w:r>
            <w:r>
              <w:rPr>
                <w:rFonts w:hint="eastAsia" w:cs="宋体"/>
                <w:caps w:val="0"/>
                <w:smallCaps w:val="0"/>
                <w:color w:val="auto"/>
                <w:spacing w:val="0"/>
                <w:w w:val="100"/>
                <w:kern w:val="0"/>
                <w:position w:val="0"/>
                <w:sz w:val="24"/>
                <w:szCs w:val="24"/>
                <w:lang w:val="en-US" w:eastAsia="zh-CN" w:bidi="ar-SA"/>
              </w:rPr>
              <w:t>（</w:t>
            </w:r>
            <w:r>
              <w:rPr>
                <w:rFonts w:hint="eastAsia" w:ascii="Times New Roman" w:hAnsi="Times New Roman" w:eastAsia="宋体" w:cs="宋体"/>
                <w:caps w:val="0"/>
                <w:smallCaps w:val="0"/>
                <w:color w:val="auto"/>
                <w:spacing w:val="0"/>
                <w:w w:val="100"/>
                <w:kern w:val="0"/>
                <w:position w:val="0"/>
                <w:sz w:val="24"/>
                <w:szCs w:val="24"/>
                <w:lang w:val="en-US" w:eastAsia="zh-CN" w:bidi="ar-SA"/>
              </w:rPr>
              <w:t>4/60）=</w:t>
            </w:r>
            <w:r>
              <w:rPr>
                <w:rFonts w:hint="eastAsia" w:cs="宋体"/>
                <w:caps w:val="0"/>
                <w:smallCaps w:val="0"/>
                <w:color w:val="auto"/>
                <w:spacing w:val="0"/>
                <w:w w:val="100"/>
                <w:kern w:val="0"/>
                <w:position w:val="0"/>
                <w:sz w:val="24"/>
                <w:szCs w:val="24"/>
                <w:lang w:val="en-US" w:eastAsia="zh-CN" w:bidi="ar-SA"/>
              </w:rPr>
              <w:t>9.2</w:t>
            </w:r>
            <w:r>
              <w:rPr>
                <w:rFonts w:hint="eastAsia" w:ascii="Times New Roman" w:hAnsi="Times New Roman" w:eastAsia="宋体" w:cs="宋体"/>
                <w:caps w:val="0"/>
                <w:smallCaps w:val="0"/>
                <w:color w:val="auto"/>
                <w:spacing w:val="0"/>
                <w:w w:val="100"/>
                <w:kern w:val="0"/>
                <w:position w:val="0"/>
                <w:sz w:val="24"/>
                <w:szCs w:val="24"/>
                <w:lang w:val="en-US" w:eastAsia="zh-CN" w:bidi="ar-SA"/>
              </w:rPr>
              <w:t>m</w:t>
            </w:r>
            <w:r>
              <w:rPr>
                <w:rFonts w:hint="eastAsia" w:ascii="Times New Roman" w:hAnsi="Times New Roman" w:eastAsia="宋体" w:cs="宋体"/>
                <w:caps w:val="0"/>
                <w:smallCaps w:val="0"/>
                <w:color w:val="auto"/>
                <w:spacing w:val="0"/>
                <w:w w:val="100"/>
                <w:kern w:val="0"/>
                <w:position w:val="0"/>
                <w:sz w:val="24"/>
                <w:szCs w:val="24"/>
                <w:vertAlign w:val="superscript"/>
                <w:lang w:val="en-US" w:eastAsia="zh-CN" w:bidi="ar-SA"/>
              </w:rPr>
              <w:t>3</w:t>
            </w:r>
            <w:r>
              <w:rPr>
                <w:rFonts w:hint="eastAsia" w:ascii="Times New Roman" w:hAnsi="Times New Roman" w:eastAsia="宋体" w:cs="宋体"/>
                <w:caps w:val="0"/>
                <w:smallCaps w:val="0"/>
                <w:color w:val="auto"/>
                <w:spacing w:val="0"/>
                <w:w w:val="100"/>
                <w:kern w:val="0"/>
                <w:position w:val="0"/>
                <w:sz w:val="24"/>
                <w:szCs w:val="24"/>
                <w:lang w:val="en-US" w:eastAsia="zh-CN" w:bidi="ar-SA"/>
              </w:rPr>
              <w:t>，水池中的水需定期更换，更换频率为</w:t>
            </w:r>
            <w:r>
              <w:rPr>
                <w:rFonts w:hint="eastAsia" w:ascii="Times New Roman" w:hAnsi="Times New Roman" w:cs="宋体"/>
                <w:caps w:val="0"/>
                <w:smallCaps w:val="0"/>
                <w:color w:val="auto"/>
                <w:spacing w:val="0"/>
                <w:w w:val="100"/>
                <w:kern w:val="0"/>
                <w:position w:val="0"/>
                <w:sz w:val="24"/>
                <w:szCs w:val="24"/>
                <w:lang w:val="en-US" w:eastAsia="zh-CN" w:bidi="ar-SA"/>
              </w:rPr>
              <w:t>2</w:t>
            </w:r>
            <w:r>
              <w:rPr>
                <w:rFonts w:hint="eastAsia" w:ascii="Times New Roman" w:hAnsi="Times New Roman" w:eastAsia="宋体" w:cs="宋体"/>
                <w:caps w:val="0"/>
                <w:smallCaps w:val="0"/>
                <w:color w:val="auto"/>
                <w:spacing w:val="0"/>
                <w:w w:val="100"/>
                <w:kern w:val="0"/>
                <w:position w:val="0"/>
                <w:sz w:val="24"/>
                <w:szCs w:val="24"/>
                <w:lang w:val="en-US" w:eastAsia="zh-CN" w:bidi="ar-SA"/>
              </w:rPr>
              <w:t>个月更换一次，按水池中的水为容积的100%计，则喷淋装置的废水每次更换水量为</w:t>
            </w:r>
            <w:r>
              <w:rPr>
                <w:rFonts w:hint="eastAsia" w:cs="宋体"/>
                <w:caps w:val="0"/>
                <w:smallCaps w:val="0"/>
                <w:color w:val="auto"/>
                <w:spacing w:val="0"/>
                <w:w w:val="100"/>
                <w:kern w:val="0"/>
                <w:position w:val="0"/>
                <w:sz w:val="24"/>
                <w:szCs w:val="24"/>
                <w:lang w:val="en-US" w:eastAsia="zh-CN" w:bidi="ar-SA"/>
              </w:rPr>
              <w:t>9.2</w:t>
            </w:r>
            <w:r>
              <w:rPr>
                <w:rFonts w:hint="eastAsia" w:ascii="Times New Roman" w:hAnsi="Times New Roman" w:eastAsia="宋体" w:cs="宋体"/>
                <w:caps w:val="0"/>
                <w:smallCaps w:val="0"/>
                <w:color w:val="auto"/>
                <w:spacing w:val="0"/>
                <w:w w:val="100"/>
                <w:kern w:val="0"/>
                <w:position w:val="0"/>
                <w:sz w:val="24"/>
                <w:szCs w:val="24"/>
                <w:lang w:val="en-US" w:eastAsia="zh-CN" w:bidi="ar-SA"/>
              </w:rPr>
              <w:t>t</w:t>
            </w:r>
            <w:r>
              <w:rPr>
                <w:rFonts w:hint="eastAsia" w:cs="宋体"/>
                <w:caps w:val="0"/>
                <w:smallCaps w:val="0"/>
                <w:color w:val="auto"/>
                <w:spacing w:val="0"/>
                <w:w w:val="100"/>
                <w:kern w:val="0"/>
                <w:position w:val="0"/>
                <w:sz w:val="24"/>
                <w:szCs w:val="24"/>
                <w:lang w:val="en-US" w:eastAsia="zh-CN" w:bidi="ar-SA"/>
              </w:rPr>
              <w:t>（</w:t>
            </w:r>
            <w:r>
              <w:rPr>
                <w:rFonts w:hint="eastAsia" w:ascii="Times New Roman" w:hAnsi="Times New Roman" w:eastAsia="宋体" w:cs="宋体"/>
                <w:caps w:val="0"/>
                <w:smallCaps w:val="0"/>
                <w:color w:val="auto"/>
                <w:spacing w:val="0"/>
                <w:w w:val="100"/>
                <w:kern w:val="0"/>
                <w:position w:val="0"/>
                <w:sz w:val="24"/>
                <w:szCs w:val="24"/>
                <w:lang w:val="en-US" w:eastAsia="zh-CN" w:bidi="ar-SA"/>
              </w:rPr>
              <w:t>即</w:t>
            </w:r>
            <w:r>
              <w:rPr>
                <w:rFonts w:hint="eastAsia" w:cs="宋体"/>
                <w:caps w:val="0"/>
                <w:smallCaps w:val="0"/>
                <w:color w:val="auto"/>
                <w:spacing w:val="0"/>
                <w:w w:val="100"/>
                <w:kern w:val="0"/>
                <w:position w:val="0"/>
                <w:sz w:val="24"/>
                <w:szCs w:val="24"/>
                <w:lang w:val="en-US" w:eastAsia="zh-CN" w:bidi="ar-SA"/>
              </w:rPr>
              <w:t>55.2</w:t>
            </w:r>
            <w:r>
              <w:rPr>
                <w:rFonts w:hint="eastAsia" w:ascii="Times New Roman" w:hAnsi="Times New Roman" w:eastAsia="宋体" w:cs="宋体"/>
                <w:caps w:val="0"/>
                <w:smallCaps w:val="0"/>
                <w:color w:val="auto"/>
                <w:spacing w:val="0"/>
                <w:w w:val="100"/>
                <w:kern w:val="0"/>
                <w:position w:val="0"/>
                <w:sz w:val="24"/>
                <w:szCs w:val="24"/>
                <w:lang w:val="en-US" w:eastAsia="zh-CN" w:bidi="ar-SA"/>
              </w:rPr>
              <w:t>t/a），更换的喷淋废水送入</w:t>
            </w:r>
            <w:r>
              <w:rPr>
                <w:rFonts w:hint="eastAsia" w:ascii="Times New Roman" w:hAnsi="Times New Roman" w:cs="宋体"/>
                <w:caps w:val="0"/>
                <w:smallCaps w:val="0"/>
                <w:color w:val="auto"/>
                <w:spacing w:val="0"/>
                <w:w w:val="100"/>
                <w:kern w:val="0"/>
                <w:position w:val="0"/>
                <w:sz w:val="24"/>
                <w:szCs w:val="24"/>
                <w:lang w:val="en-US" w:eastAsia="zh-CN" w:bidi="ar-SA"/>
              </w:rPr>
              <w:t>总沉</w:t>
            </w:r>
            <w:r>
              <w:rPr>
                <w:rFonts w:hint="eastAsia" w:ascii="Times New Roman" w:hAnsi="Times New Roman" w:eastAsia="宋体" w:cs="宋体"/>
                <w:caps w:val="0"/>
                <w:smallCaps w:val="0"/>
                <w:color w:val="auto"/>
                <w:spacing w:val="0"/>
                <w:w w:val="100"/>
                <w:kern w:val="0"/>
                <w:position w:val="0"/>
                <w:sz w:val="24"/>
                <w:szCs w:val="24"/>
                <w:lang w:val="en-US" w:eastAsia="zh-CN" w:bidi="ar-SA"/>
              </w:rPr>
              <w:t>淀池处理。</w:t>
            </w:r>
          </w:p>
          <w:p w14:paraId="4668E11E">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textAlignment w:val="auto"/>
              <w:rPr>
                <w:rFonts w:hint="default" w:ascii="Times New Roman" w:hAnsi="Times New Roman" w:eastAsia="宋体" w:cs="宋体"/>
                <w:caps w:val="0"/>
                <w:smallCaps w:val="0"/>
                <w:color w:val="auto"/>
                <w:spacing w:val="0"/>
                <w:w w:val="100"/>
                <w:kern w:val="0"/>
                <w:position w:val="0"/>
                <w:sz w:val="24"/>
                <w:szCs w:val="24"/>
                <w:lang w:val="en-US" w:eastAsia="zh-CN" w:bidi="ar-SA"/>
              </w:rPr>
            </w:pPr>
            <w:r>
              <w:rPr>
                <w:rFonts w:hint="default" w:ascii="Times New Roman" w:hAnsi="Times New Roman" w:cs="Times New Roman"/>
                <w:color w:val="auto"/>
                <w:kern w:val="2"/>
                <w:sz w:val="24"/>
                <w:szCs w:val="24"/>
                <w:highlight w:val="none"/>
                <w:lang w:val="en-US" w:eastAsia="zh-CN" w:bidi="ar-SA"/>
              </w:rPr>
              <w:fldChar w:fldCharType="begin"/>
            </w:r>
            <w:r>
              <w:rPr>
                <w:rFonts w:hint="default" w:ascii="Times New Roman" w:hAnsi="Times New Roman" w:cs="Times New Roman"/>
                <w:color w:val="auto"/>
                <w:kern w:val="2"/>
                <w:sz w:val="24"/>
                <w:szCs w:val="24"/>
                <w:highlight w:val="none"/>
                <w:lang w:val="en-US" w:eastAsia="zh-CN" w:bidi="ar-SA"/>
              </w:rPr>
              <w:instrText xml:space="preserve"> = 7 \* GB3 \* MERGEFORMAT </w:instrText>
            </w:r>
            <w:r>
              <w:rPr>
                <w:rFonts w:hint="default" w:ascii="Times New Roman" w:hAnsi="Times New Roman" w:cs="Times New Roman"/>
                <w:color w:val="auto"/>
                <w:kern w:val="2"/>
                <w:sz w:val="24"/>
                <w:szCs w:val="24"/>
                <w:highlight w:val="none"/>
                <w:lang w:val="en-US" w:eastAsia="zh-CN" w:bidi="ar-SA"/>
              </w:rPr>
              <w:fldChar w:fldCharType="separate"/>
            </w:r>
            <w:r>
              <w:rPr>
                <w:sz w:val="24"/>
                <w:szCs w:val="24"/>
              </w:rPr>
              <w:t>⑦</w:t>
            </w:r>
            <w:r>
              <w:rPr>
                <w:rFonts w:hint="default" w:ascii="Times New Roman" w:hAnsi="Times New Roman" w:cs="Times New Roman"/>
                <w:color w:val="auto"/>
                <w:kern w:val="2"/>
                <w:sz w:val="24"/>
                <w:szCs w:val="24"/>
                <w:highlight w:val="none"/>
                <w:lang w:val="en-US" w:eastAsia="zh-CN" w:bidi="ar-SA"/>
              </w:rPr>
              <w:fldChar w:fldCharType="end"/>
            </w:r>
            <w:r>
              <w:rPr>
                <w:rFonts w:hint="eastAsia" w:ascii="Times New Roman" w:hAnsi="Times New Roman" w:eastAsia="宋体" w:cs="宋体"/>
                <w:caps w:val="0"/>
                <w:smallCaps w:val="0"/>
                <w:color w:val="auto"/>
                <w:spacing w:val="0"/>
                <w:w w:val="100"/>
                <w:kern w:val="0"/>
                <w:position w:val="0"/>
                <w:sz w:val="24"/>
                <w:szCs w:val="24"/>
                <w:lang w:val="en-US" w:eastAsia="zh-CN" w:bidi="ar-SA"/>
              </w:rPr>
              <w:t>地面冲洗用排水</w:t>
            </w:r>
          </w:p>
          <w:p w14:paraId="361F75A7">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宋体"/>
                <w:caps w:val="0"/>
                <w:smallCaps w:val="0"/>
                <w:color w:val="auto"/>
                <w:spacing w:val="0"/>
                <w:w w:val="100"/>
                <w:kern w:val="0"/>
                <w:position w:val="0"/>
                <w:sz w:val="24"/>
                <w:szCs w:val="24"/>
                <w:lang w:val="en-US" w:eastAsia="zh-CN" w:bidi="ar-SA"/>
              </w:rPr>
              <w:t>厂房地面</w:t>
            </w:r>
            <w:r>
              <w:rPr>
                <w:rFonts w:hint="default" w:ascii="Times New Roman" w:hAnsi="Times New Roman" w:eastAsia="宋体" w:cs="Times New Roman"/>
                <w:color w:val="auto"/>
                <w:sz w:val="24"/>
                <w:szCs w:val="24"/>
                <w:highlight w:val="none"/>
                <w:lang w:val="en-US" w:eastAsia="zh-CN"/>
              </w:rPr>
              <w:t>需定期进行冲洗，冲洗面积约2500m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，用水量按</w:t>
            </w:r>
            <w:r>
              <w:rPr>
                <w:rFonts w:hint="default" w:ascii="Times New Roman" w:hAnsi="Times New Roman" w:eastAsia="宋体" w:cs="Times New Roman"/>
                <w:i w:val="0"/>
                <w:iCs w:val="0"/>
                <w:color w:val="auto"/>
                <w:kern w:val="0"/>
                <w:sz w:val="24"/>
                <w:szCs w:val="24"/>
                <w:u w:val="none"/>
                <w:lang w:val="en-US" w:eastAsia="zh-CN" w:bidi="ar"/>
              </w:rPr>
              <w:t>1.2L/m</w:t>
            </w:r>
            <w:r>
              <w:rPr>
                <w:rFonts w:hint="default" w:ascii="Times New Roman" w:hAnsi="Times New Roman" w:eastAsia="宋体" w:cs="Times New Roman"/>
                <w:i w:val="0"/>
                <w:iCs w:val="0"/>
                <w:color w:val="auto"/>
                <w:kern w:val="0"/>
                <w:sz w:val="24"/>
                <w:szCs w:val="24"/>
                <w:u w:val="none"/>
                <w:vertAlign w:val="superscript"/>
                <w:lang w:val="en-US" w:eastAsia="zh-CN" w:bidi="ar"/>
              </w:rPr>
              <w:t>2</w:t>
            </w:r>
            <w:r>
              <w:rPr>
                <w:rFonts w:hint="default" w:ascii="Times New Roman" w:hAnsi="Times New Roman" w:eastAsia="宋体" w:cs="Times New Roman"/>
                <w:i w:val="0"/>
                <w:iCs w:val="0"/>
                <w:color w:val="auto"/>
                <w:kern w:val="0"/>
                <w:sz w:val="24"/>
                <w:szCs w:val="24"/>
                <w:u w:val="none"/>
                <w:lang w:val="en-US" w:eastAsia="zh-CN" w:bidi="ar"/>
              </w:rPr>
              <w:t>计，每10天冲洗一次，则冲洗用水量约</w:t>
            </w:r>
            <w:r>
              <w:rPr>
                <w:rFonts w:hint="eastAsia" w:ascii="Times New Roman" w:hAnsi="Times New Roman" w:eastAsia="宋体" w:cs="Times New Roman"/>
                <w:i w:val="0"/>
                <w:iCs w:val="0"/>
                <w:color w:val="auto"/>
                <w:kern w:val="0"/>
                <w:sz w:val="24"/>
                <w:szCs w:val="24"/>
                <w:u w:val="none"/>
                <w:lang w:val="en-US" w:eastAsia="zh-CN" w:bidi="ar"/>
              </w:rPr>
              <w:t>90t/a，产污系数取0.8，则地面冲洗废水产生量为72t/a</w:t>
            </w:r>
            <w:r>
              <w:rPr>
                <w:rFonts w:hint="eastAsia" w:cs="Times New Roman"/>
                <w:color w:val="auto"/>
                <w:sz w:val="24"/>
                <w:highlight w:val="none"/>
                <w:lang w:val="en-US" w:eastAsia="zh-CN"/>
              </w:rPr>
              <w:t>。</w:t>
            </w:r>
          </w:p>
          <w:p w14:paraId="523DA53E">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综上，项目用排水情况如下表所示：</w:t>
            </w:r>
          </w:p>
          <w:p w14:paraId="07615D0A">
            <w:pPr>
              <w:keepNext w:val="0"/>
              <w:keepLines w:val="0"/>
              <w:pageBreakBefore w:val="0"/>
              <w:widowControl w:val="0"/>
              <w:kinsoku/>
              <w:wordWrap/>
              <w:overflowPunct/>
              <w:topLinePunct w:val="0"/>
              <w:autoSpaceDE/>
              <w:autoSpaceDN/>
              <w:bidi w:val="0"/>
              <w:adjustRightInd w:val="0"/>
              <w:snapToGrid/>
              <w:spacing w:line="480" w:lineRule="atLeast"/>
              <w:ind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表2-19  项目用排水情况一览表（t/d）</w:t>
            </w:r>
          </w:p>
          <w:tbl>
            <w:tblPr>
              <w:tblStyle w:val="26"/>
              <w:tblW w:w="103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9"/>
              <w:gridCol w:w="1933"/>
              <w:gridCol w:w="1145"/>
              <w:gridCol w:w="1325"/>
              <w:gridCol w:w="2149"/>
              <w:gridCol w:w="1446"/>
            </w:tblGrid>
            <w:tr w14:paraId="1C226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jc w:val="center"/>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A6E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51DD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用水类型</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3E9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用水量</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1415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排水系数</w:t>
                  </w:r>
                </w:p>
              </w:tc>
              <w:tc>
                <w:tcPr>
                  <w:tcW w:w="2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84EC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废水类型</w:t>
                  </w: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5B24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废水量</w:t>
                  </w:r>
                </w:p>
              </w:tc>
            </w:tr>
            <w:tr w14:paraId="4880B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jc w:val="center"/>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2DD0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4385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生活用水</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CD45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1580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0.8</w:t>
                  </w:r>
                </w:p>
              </w:tc>
              <w:tc>
                <w:tcPr>
                  <w:tcW w:w="2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4A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生活污水</w:t>
                  </w: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0F7B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4.8</w:t>
                  </w:r>
                </w:p>
              </w:tc>
            </w:tr>
            <w:tr w14:paraId="65E34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jc w:val="center"/>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5D6C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CE3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冷凝用水</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87C8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40F9">
                  <w:pPr>
                    <w:jc w:val="center"/>
                    <w:rPr>
                      <w:rFonts w:hint="default" w:ascii="Times New Roman" w:hAnsi="Times New Roman" w:eastAsia="宋体" w:cs="Times New Roman"/>
                      <w:i w:val="0"/>
                      <w:iCs w:val="0"/>
                      <w:color w:val="000000"/>
                      <w:sz w:val="22"/>
                      <w:szCs w:val="22"/>
                      <w:u w:val="none"/>
                    </w:rPr>
                  </w:pPr>
                </w:p>
              </w:tc>
              <w:tc>
                <w:tcPr>
                  <w:tcW w:w="2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DBEAC">
                  <w:pPr>
                    <w:jc w:val="center"/>
                    <w:rPr>
                      <w:rFonts w:hint="default" w:ascii="Times New Roman" w:hAnsi="Times New Roman" w:eastAsia="宋体" w:cs="Times New Roman"/>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CDEF">
                  <w:pPr>
                    <w:jc w:val="center"/>
                    <w:rPr>
                      <w:rFonts w:hint="default" w:ascii="Times New Roman" w:hAnsi="Times New Roman" w:eastAsia="宋体" w:cs="Times New Roman"/>
                      <w:i w:val="0"/>
                      <w:iCs w:val="0"/>
                      <w:color w:val="000000"/>
                      <w:sz w:val="22"/>
                      <w:szCs w:val="22"/>
                      <w:u w:val="none"/>
                    </w:rPr>
                  </w:pPr>
                </w:p>
              </w:tc>
            </w:tr>
            <w:tr w14:paraId="15AE6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65" w:hRule="atLeast"/>
                <w:jc w:val="center"/>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A1F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FD9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水封罐用水</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CDEA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0.5</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87796">
                  <w:pPr>
                    <w:jc w:val="center"/>
                    <w:rPr>
                      <w:rFonts w:hint="default" w:ascii="Times New Roman" w:hAnsi="Times New Roman" w:eastAsia="宋体" w:cs="Times New Roman"/>
                      <w:i w:val="0"/>
                      <w:iCs w:val="0"/>
                      <w:color w:val="000000"/>
                      <w:sz w:val="22"/>
                      <w:szCs w:val="22"/>
                      <w:u w:val="none"/>
                    </w:rPr>
                  </w:pPr>
                </w:p>
              </w:tc>
              <w:tc>
                <w:tcPr>
                  <w:tcW w:w="2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40DF">
                  <w:pPr>
                    <w:jc w:val="center"/>
                    <w:rPr>
                      <w:rFonts w:hint="default" w:ascii="Times New Roman" w:hAnsi="Times New Roman" w:eastAsia="宋体" w:cs="Times New Roman"/>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586DF">
                  <w:pPr>
                    <w:jc w:val="center"/>
                    <w:rPr>
                      <w:rFonts w:hint="default" w:ascii="Times New Roman" w:hAnsi="Times New Roman" w:eastAsia="宋体" w:cs="Times New Roman"/>
                      <w:i w:val="0"/>
                      <w:iCs w:val="0"/>
                      <w:color w:val="000000"/>
                      <w:sz w:val="22"/>
                      <w:szCs w:val="22"/>
                      <w:u w:val="none"/>
                    </w:rPr>
                  </w:pPr>
                </w:p>
              </w:tc>
            </w:tr>
            <w:tr w14:paraId="4A28F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jc w:val="center"/>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D92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42C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碱洗用水</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A54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1.12</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7BD3">
                  <w:pPr>
                    <w:jc w:val="center"/>
                    <w:rPr>
                      <w:rFonts w:hint="default" w:ascii="Times New Roman" w:hAnsi="Times New Roman" w:eastAsia="宋体" w:cs="Times New Roman"/>
                      <w:i w:val="0"/>
                      <w:iCs w:val="0"/>
                      <w:color w:val="000000"/>
                      <w:sz w:val="22"/>
                      <w:szCs w:val="22"/>
                      <w:u w:val="none"/>
                    </w:rPr>
                  </w:pPr>
                </w:p>
              </w:tc>
              <w:tc>
                <w:tcPr>
                  <w:tcW w:w="2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D0094">
                  <w:pPr>
                    <w:jc w:val="center"/>
                    <w:rPr>
                      <w:rFonts w:hint="default" w:ascii="Times New Roman" w:hAnsi="Times New Roman" w:eastAsia="宋体" w:cs="Times New Roman"/>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45296">
                  <w:pPr>
                    <w:jc w:val="center"/>
                    <w:rPr>
                      <w:rFonts w:hint="default" w:ascii="Times New Roman" w:hAnsi="Times New Roman" w:eastAsia="宋体" w:cs="Times New Roman"/>
                      <w:i w:val="0"/>
                      <w:iCs w:val="0"/>
                      <w:color w:val="000000"/>
                      <w:sz w:val="22"/>
                      <w:szCs w:val="22"/>
                      <w:u w:val="none"/>
                    </w:rPr>
                  </w:pPr>
                </w:p>
              </w:tc>
            </w:tr>
            <w:tr w14:paraId="3245D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 w:hRule="atLeast"/>
                <w:jc w:val="center"/>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04F4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340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洗砂用水</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2D0D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1.58</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0F68F">
                  <w:pPr>
                    <w:jc w:val="center"/>
                    <w:rPr>
                      <w:rFonts w:hint="default" w:ascii="Times New Roman" w:hAnsi="Times New Roman" w:eastAsia="宋体" w:cs="Times New Roman"/>
                      <w:i w:val="0"/>
                      <w:iCs w:val="0"/>
                      <w:color w:val="000000"/>
                      <w:sz w:val="22"/>
                      <w:szCs w:val="22"/>
                      <w:u w:val="none"/>
                    </w:rPr>
                  </w:pPr>
                </w:p>
              </w:tc>
              <w:tc>
                <w:tcPr>
                  <w:tcW w:w="2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08901">
                  <w:pPr>
                    <w:jc w:val="center"/>
                    <w:rPr>
                      <w:rFonts w:hint="default" w:ascii="Times New Roman" w:hAnsi="Times New Roman" w:eastAsia="宋体" w:cs="Times New Roman"/>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76189">
                  <w:pPr>
                    <w:jc w:val="center"/>
                    <w:rPr>
                      <w:rFonts w:hint="default" w:ascii="Times New Roman" w:hAnsi="Times New Roman" w:eastAsia="宋体" w:cs="Times New Roman"/>
                      <w:i w:val="0"/>
                      <w:iCs w:val="0"/>
                      <w:color w:val="000000"/>
                      <w:sz w:val="22"/>
                      <w:szCs w:val="22"/>
                      <w:u w:val="none"/>
                    </w:rPr>
                  </w:pPr>
                </w:p>
              </w:tc>
            </w:tr>
            <w:tr w14:paraId="4FF2A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jc w:val="center"/>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CBA0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F9B5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喷淋塔用水</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82E6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lang w:val="en-US"/>
                    </w:rPr>
                  </w:pPr>
                  <w:r>
                    <w:rPr>
                      <w:rFonts w:hint="eastAsia" w:ascii="Times New Roman" w:hAnsi="Times New Roman" w:eastAsia="宋体" w:cs="Times New Roman"/>
                      <w:i w:val="0"/>
                      <w:iCs w:val="0"/>
                      <w:color w:val="000000"/>
                      <w:kern w:val="0"/>
                      <w:sz w:val="22"/>
                      <w:szCs w:val="22"/>
                      <w:u w:val="none"/>
                      <w:lang w:val="en-US" w:eastAsia="zh-CN" w:bidi="ar"/>
                    </w:rPr>
                    <w:t>.6.24</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508CD">
                  <w:pPr>
                    <w:jc w:val="center"/>
                    <w:rPr>
                      <w:rFonts w:hint="default" w:ascii="Times New Roman" w:hAnsi="Times New Roman" w:eastAsia="宋体" w:cs="Times New Roman"/>
                      <w:i w:val="0"/>
                      <w:iCs w:val="0"/>
                      <w:color w:val="000000"/>
                      <w:sz w:val="22"/>
                      <w:szCs w:val="22"/>
                      <w:u w:val="none"/>
                    </w:rPr>
                  </w:pPr>
                </w:p>
              </w:tc>
              <w:tc>
                <w:tcPr>
                  <w:tcW w:w="2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546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喷淋塔定期排水</w:t>
                  </w: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53BB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lang w:val="en-US"/>
                    </w:rPr>
                  </w:pPr>
                  <w:r>
                    <w:rPr>
                      <w:rFonts w:hint="eastAsia" w:ascii="Times New Roman" w:hAnsi="Times New Roman" w:eastAsia="宋体" w:cs="Times New Roman"/>
                      <w:i w:val="0"/>
                      <w:iCs w:val="0"/>
                      <w:color w:val="000000"/>
                      <w:kern w:val="0"/>
                      <w:sz w:val="22"/>
                      <w:szCs w:val="22"/>
                      <w:u w:val="none"/>
                      <w:lang w:val="en-US" w:eastAsia="zh-CN" w:bidi="ar"/>
                    </w:rPr>
                    <w:t>0.184</w:t>
                  </w:r>
                </w:p>
              </w:tc>
            </w:tr>
            <w:tr w14:paraId="2B5BF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 w:hRule="atLeast"/>
                <w:jc w:val="center"/>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BF30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7</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3C12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地面冲洗用水</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0F7D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CEE0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0.8</w:t>
                  </w:r>
                </w:p>
              </w:tc>
              <w:tc>
                <w:tcPr>
                  <w:tcW w:w="2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F93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地面冲洗废水</w:t>
                  </w: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8EF2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0.24</w:t>
                  </w:r>
                </w:p>
              </w:tc>
            </w:tr>
            <w:tr w14:paraId="47BDF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jc w:val="center"/>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2D59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w:t>
                  </w:r>
                </w:p>
              </w:tc>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3DF0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B24C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2"/>
                      <w:szCs w:val="22"/>
                      <w:u w:val="none"/>
                      <w:lang w:val="en-US"/>
                    </w:rPr>
                  </w:pPr>
                  <w:r>
                    <w:rPr>
                      <w:rFonts w:hint="eastAsia" w:cs="Times New Roman"/>
                      <w:b/>
                      <w:bCs/>
                      <w:i w:val="0"/>
                      <w:iCs w:val="0"/>
                      <w:color w:val="000000"/>
                      <w:kern w:val="0"/>
                      <w:sz w:val="22"/>
                      <w:szCs w:val="22"/>
                      <w:u w:val="none"/>
                      <w:lang w:val="en-US" w:eastAsia="zh-CN" w:bidi="ar"/>
                    </w:rPr>
                    <w:t>19.124</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667A9">
                  <w:pPr>
                    <w:jc w:val="center"/>
                    <w:rPr>
                      <w:rFonts w:hint="default" w:ascii="Times New Roman" w:hAnsi="Times New Roman" w:eastAsia="宋体" w:cs="Times New Roman"/>
                      <w:b/>
                      <w:bCs/>
                      <w:i w:val="0"/>
                      <w:iCs w:val="0"/>
                      <w:color w:val="000000"/>
                      <w:sz w:val="22"/>
                      <w:szCs w:val="22"/>
                      <w:u w:val="none"/>
                    </w:rPr>
                  </w:pPr>
                </w:p>
              </w:tc>
              <w:tc>
                <w:tcPr>
                  <w:tcW w:w="2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BB69">
                  <w:pPr>
                    <w:jc w:val="center"/>
                    <w:rPr>
                      <w:rFonts w:hint="default" w:ascii="Times New Roman" w:hAnsi="Times New Roman" w:eastAsia="宋体" w:cs="Times New Roman"/>
                      <w:b/>
                      <w:bCs/>
                      <w:i w:val="0"/>
                      <w:iCs w:val="0"/>
                      <w:color w:val="000000"/>
                      <w:sz w:val="22"/>
                      <w:szCs w:val="22"/>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29E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b/>
                      <w:bCs/>
                      <w:i w:val="0"/>
                      <w:iCs w:val="0"/>
                      <w:color w:val="000000"/>
                      <w:kern w:val="0"/>
                      <w:sz w:val="22"/>
                      <w:szCs w:val="22"/>
                      <w:u w:val="none"/>
                      <w:lang w:val="en-US" w:eastAsia="zh-CN" w:bidi="ar"/>
                    </w:rPr>
                    <w:t>5.</w:t>
                  </w:r>
                  <w:r>
                    <w:rPr>
                      <w:rFonts w:hint="eastAsia" w:cs="Times New Roman"/>
                      <w:b/>
                      <w:bCs/>
                      <w:i w:val="0"/>
                      <w:iCs w:val="0"/>
                      <w:color w:val="000000"/>
                      <w:kern w:val="0"/>
                      <w:sz w:val="22"/>
                      <w:szCs w:val="22"/>
                      <w:u w:val="none"/>
                      <w:lang w:val="en-US" w:eastAsia="zh-CN" w:bidi="ar"/>
                    </w:rPr>
                    <w:t>22</w:t>
                  </w:r>
                  <w:r>
                    <w:rPr>
                      <w:rFonts w:hint="default" w:ascii="Times New Roman" w:hAnsi="Times New Roman" w:eastAsia="宋体" w:cs="Times New Roman"/>
                      <w:b/>
                      <w:bCs/>
                      <w:i w:val="0"/>
                      <w:iCs w:val="0"/>
                      <w:color w:val="000000"/>
                      <w:kern w:val="0"/>
                      <w:sz w:val="22"/>
                      <w:szCs w:val="22"/>
                      <w:u w:val="none"/>
                      <w:lang w:val="en-US" w:eastAsia="zh-CN" w:bidi="ar"/>
                    </w:rPr>
                    <w:t>4</w:t>
                  </w:r>
                </w:p>
              </w:tc>
            </w:tr>
          </w:tbl>
          <w:p w14:paraId="164A380C">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水平衡图如下</w:t>
            </w:r>
            <w:r>
              <w:rPr>
                <w:rFonts w:hint="eastAsia" w:cs="Times New Roman"/>
                <w:color w:val="auto"/>
                <w:sz w:val="24"/>
                <w:highlight w:val="none"/>
                <w:lang w:val="en-US" w:eastAsia="zh-CN"/>
              </w:rPr>
              <w:t>：</w:t>
            </w:r>
          </w:p>
          <w:p w14:paraId="6FF51EF3">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4"/>
                <w:highlight w:val="none"/>
                <w:lang w:val="en-US" w:eastAsia="zh-CN"/>
              </w:rPr>
            </w:pPr>
            <w:r>
              <w:drawing>
                <wp:inline distT="0" distB="0" distL="114300" distR="114300">
                  <wp:extent cx="5608320" cy="3926840"/>
                  <wp:effectExtent l="0" t="0" r="0" b="508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3"/>
                          <a:stretch>
                            <a:fillRect/>
                          </a:stretch>
                        </pic:blipFill>
                        <pic:spPr>
                          <a:xfrm>
                            <a:off x="0" y="0"/>
                            <a:ext cx="5608320" cy="3926840"/>
                          </a:xfrm>
                          <a:prstGeom prst="rect">
                            <a:avLst/>
                          </a:prstGeom>
                          <a:noFill/>
                          <a:ln>
                            <a:noFill/>
                          </a:ln>
                        </pic:spPr>
                      </pic:pic>
                    </a:graphicData>
                  </a:graphic>
                </wp:inline>
              </w:drawing>
            </w:r>
          </w:p>
          <w:p w14:paraId="789D6B08">
            <w:pPr>
              <w:pStyle w:val="51"/>
              <w:keepNext w:val="0"/>
              <w:keepLines w:val="0"/>
              <w:pageBreakBefore w:val="0"/>
              <w:widowControl w:val="0"/>
              <w:kinsoku/>
              <w:wordWrap/>
              <w:overflowPunct/>
              <w:topLinePunct w:val="0"/>
              <w:autoSpaceDE/>
              <w:autoSpaceDN/>
              <w:bidi w:val="0"/>
              <w:adjustRightInd/>
              <w:snapToGrid/>
              <w:spacing w:line="480" w:lineRule="exact"/>
              <w:ind w:firstLine="0"/>
              <w:jc w:val="center"/>
              <w:textAlignment w:val="auto"/>
              <w:rPr>
                <w:rFonts w:hint="eastAsia" w:ascii="Times New Roman" w:hAnsi="Times New Roman" w:eastAsia="宋体" w:cs="Times New Roman"/>
                <w:b/>
                <w:bCs/>
                <w:color w:val="auto"/>
                <w:sz w:val="21"/>
                <w:szCs w:val="21"/>
                <w:highlight w:val="none"/>
                <w:lang w:eastAsia="zh-CN"/>
              </w:rPr>
            </w:pPr>
            <w:r>
              <w:rPr>
                <w:rFonts w:hint="default" w:ascii="Times New Roman" w:hAnsi="Times New Roman" w:cs="Times New Roman"/>
                <w:b/>
                <w:bCs/>
                <w:color w:val="auto"/>
                <w:sz w:val="21"/>
                <w:szCs w:val="21"/>
                <w:highlight w:val="none"/>
              </w:rPr>
              <w:t>图2</w:t>
            </w:r>
            <w:r>
              <w:rPr>
                <w:rFonts w:hint="eastAsia" w:hAnsi="Times New Roman" w:cs="Times New Roman"/>
                <w:b/>
                <w:bCs/>
                <w:color w:val="auto"/>
                <w:sz w:val="21"/>
                <w:szCs w:val="21"/>
                <w:highlight w:val="none"/>
                <w:lang w:val="en-US" w:eastAsia="zh-CN"/>
              </w:rPr>
              <w:t>-3</w:t>
            </w:r>
            <w:r>
              <w:rPr>
                <w:rFonts w:hint="default" w:ascii="Times New Roman" w:hAnsi="Times New Roman" w:cs="Times New Roman"/>
                <w:b/>
                <w:bCs/>
                <w:color w:val="auto"/>
                <w:sz w:val="21"/>
                <w:szCs w:val="21"/>
                <w:highlight w:val="none"/>
              </w:rPr>
              <w:t xml:space="preserve">  </w:t>
            </w:r>
            <w:r>
              <w:rPr>
                <w:rFonts w:hint="eastAsia" w:ascii="Times New Roman" w:hAnsi="Times New Roman" w:cs="Times New Roman"/>
                <w:b/>
                <w:bCs/>
                <w:color w:val="auto"/>
                <w:sz w:val="21"/>
                <w:szCs w:val="21"/>
                <w:highlight w:val="none"/>
                <w:lang w:val="en-US" w:eastAsia="zh-CN"/>
              </w:rPr>
              <w:t>本</w:t>
            </w:r>
            <w:r>
              <w:rPr>
                <w:rFonts w:hint="default" w:ascii="Times New Roman" w:hAnsi="Times New Roman" w:cs="Times New Roman"/>
                <w:b/>
                <w:bCs/>
                <w:color w:val="auto"/>
                <w:sz w:val="21"/>
                <w:szCs w:val="21"/>
                <w:highlight w:val="none"/>
              </w:rPr>
              <w:t>项目水平衡图</w:t>
            </w:r>
            <w:r>
              <w:rPr>
                <w:rFonts w:hint="eastAsia" w:hAnsi="Times New Roman" w:cs="Times New Roman"/>
                <w:b/>
                <w:bCs/>
                <w:color w:val="auto"/>
                <w:sz w:val="21"/>
                <w:szCs w:val="21"/>
                <w:highlight w:val="none"/>
                <w:lang w:eastAsia="zh-CN"/>
              </w:rPr>
              <w:t>（</w:t>
            </w:r>
            <w:r>
              <w:rPr>
                <w:rFonts w:hint="eastAsia" w:ascii="Times New Roman" w:hAnsi="Times New Roman" w:cs="Times New Roman"/>
                <w:b/>
                <w:bCs/>
                <w:color w:val="auto"/>
                <w:sz w:val="21"/>
                <w:szCs w:val="21"/>
                <w:highlight w:val="none"/>
                <w:lang w:val="en-US" w:eastAsia="zh-CN"/>
              </w:rPr>
              <w:t>t/d</w:t>
            </w:r>
            <w:r>
              <w:rPr>
                <w:rFonts w:hint="eastAsia" w:ascii="Times New Roman" w:hAnsi="Times New Roman" w:cs="Times New Roman"/>
                <w:b/>
                <w:bCs/>
                <w:color w:val="auto"/>
                <w:sz w:val="21"/>
                <w:szCs w:val="21"/>
                <w:highlight w:val="none"/>
                <w:lang w:eastAsia="zh-CN"/>
              </w:rPr>
              <w:t>）</w:t>
            </w:r>
          </w:p>
          <w:p w14:paraId="2514F824">
            <w:pPr>
              <w:keepNext w:val="0"/>
              <w:keepLines w:val="0"/>
              <w:pageBreakBefore w:val="0"/>
              <w:widowControl w:val="0"/>
              <w:kinsoku/>
              <w:wordWrap/>
              <w:overflowPunct/>
              <w:topLinePunct w:val="0"/>
              <w:autoSpaceDE/>
              <w:autoSpaceDN/>
              <w:bidi w:val="0"/>
              <w:snapToGrid/>
              <w:spacing w:line="480" w:lineRule="exact"/>
              <w:textAlignment w:val="auto"/>
              <w:rPr>
                <w:rFonts w:hint="default" w:ascii="Times New Roman" w:hAnsi="Times New Roman" w:cs="Times New Roman"/>
                <w:b/>
                <w:color w:val="auto"/>
                <w:sz w:val="24"/>
                <w:highlight w:val="none"/>
              </w:rPr>
            </w:pPr>
            <w:r>
              <w:rPr>
                <w:rFonts w:hint="eastAsia" w:ascii="Times New Roman" w:hAnsi="Times New Roman" w:cs="Times New Roman"/>
                <w:b/>
                <w:color w:val="auto"/>
                <w:sz w:val="24"/>
                <w:highlight w:val="none"/>
                <w:lang w:val="en-US" w:eastAsia="zh-CN"/>
              </w:rPr>
              <w:t>7、</w:t>
            </w:r>
            <w:r>
              <w:rPr>
                <w:rFonts w:hint="default" w:ascii="Times New Roman" w:hAnsi="Times New Roman" w:cs="Times New Roman"/>
                <w:b/>
                <w:color w:val="auto"/>
                <w:sz w:val="24"/>
                <w:highlight w:val="none"/>
              </w:rPr>
              <w:t>总定员人数及工作制度</w:t>
            </w:r>
          </w:p>
          <w:p w14:paraId="021FB5C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cs="Times New Roman"/>
                <w:color w:val="auto"/>
                <w:sz w:val="24"/>
                <w:highlight w:val="none"/>
                <w:lang w:val="en-US"/>
              </w:rPr>
            </w:pPr>
            <w:r>
              <w:rPr>
                <w:rFonts w:hint="default" w:ascii="Times New Roman" w:hAnsi="Times New Roman" w:cs="Times New Roman"/>
                <w:color w:val="auto"/>
                <w:sz w:val="24"/>
                <w:highlight w:val="none"/>
              </w:rPr>
              <w:t>本项目劳动定员为</w:t>
            </w:r>
            <w:r>
              <w:rPr>
                <w:rFonts w:hint="eastAsia" w:cs="Times New Roman"/>
                <w:color w:val="auto"/>
                <w:sz w:val="24"/>
                <w:highlight w:val="none"/>
                <w:lang w:val="en-US" w:eastAsia="zh-CN"/>
              </w:rPr>
              <w:t>3</w:t>
            </w:r>
            <w:r>
              <w:rPr>
                <w:rFonts w:hint="eastAsia" w:ascii="Times New Roman" w:hAnsi="Times New Roman" w:cs="Times New Roman"/>
                <w:color w:val="auto"/>
                <w:sz w:val="24"/>
                <w:highlight w:val="none"/>
                <w:lang w:val="en-US" w:eastAsia="zh-CN"/>
              </w:rPr>
              <w:t>0</w:t>
            </w:r>
            <w:r>
              <w:rPr>
                <w:rFonts w:hint="default" w:ascii="Times New Roman" w:hAnsi="Times New Roman" w:cs="Times New Roman"/>
                <w:color w:val="auto"/>
                <w:sz w:val="24"/>
                <w:highlight w:val="none"/>
              </w:rPr>
              <w:t>人，</w:t>
            </w:r>
            <w:r>
              <w:rPr>
                <w:rFonts w:hint="eastAsia" w:ascii="Times New Roman" w:hAnsi="Times New Roman" w:cs="Times New Roman"/>
                <w:color w:val="auto"/>
                <w:sz w:val="24"/>
                <w:highlight w:val="none"/>
                <w:lang w:val="en-US" w:eastAsia="zh-CN"/>
              </w:rPr>
              <w:t>全年工作300天，</w:t>
            </w:r>
            <w:r>
              <w:rPr>
                <w:rFonts w:hint="eastAsia" w:cs="Times New Roman"/>
                <w:color w:val="auto"/>
                <w:sz w:val="24"/>
                <w:highlight w:val="none"/>
                <w:lang w:val="en-US" w:eastAsia="zh-CN"/>
              </w:rPr>
              <w:t>生产线每天2班制24小时。</w:t>
            </w:r>
          </w:p>
          <w:p w14:paraId="01AE07E6">
            <w:pPr>
              <w:keepNext w:val="0"/>
              <w:keepLines w:val="0"/>
              <w:pageBreakBefore w:val="0"/>
              <w:widowControl w:val="0"/>
              <w:kinsoku/>
              <w:wordWrap/>
              <w:overflowPunct/>
              <w:topLinePunct w:val="0"/>
              <w:autoSpaceDE/>
              <w:autoSpaceDN/>
              <w:bidi w:val="0"/>
              <w:snapToGrid/>
              <w:spacing w:line="480" w:lineRule="exact"/>
              <w:textAlignment w:val="auto"/>
              <w:rPr>
                <w:rFonts w:hint="default" w:ascii="Times New Roman" w:hAnsi="Times New Roman" w:cs="Times New Roman"/>
                <w:b/>
                <w:color w:val="auto"/>
                <w:sz w:val="24"/>
                <w:highlight w:val="none"/>
              </w:rPr>
            </w:pPr>
            <w:r>
              <w:rPr>
                <w:rFonts w:hint="eastAsia" w:ascii="Times New Roman" w:hAnsi="Times New Roman" w:cs="Times New Roman"/>
                <w:b/>
                <w:color w:val="auto"/>
                <w:sz w:val="24"/>
                <w:highlight w:val="none"/>
                <w:lang w:val="en-US" w:eastAsia="zh-CN"/>
              </w:rPr>
              <w:t>8、</w:t>
            </w:r>
            <w:r>
              <w:rPr>
                <w:rFonts w:hint="default" w:ascii="Times New Roman" w:hAnsi="Times New Roman" w:cs="Times New Roman"/>
                <w:b/>
                <w:color w:val="auto"/>
                <w:sz w:val="24"/>
                <w:highlight w:val="none"/>
              </w:rPr>
              <w:t>平面布置</w:t>
            </w:r>
          </w:p>
          <w:p w14:paraId="4AA05C36">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eastAsia"/>
                <w:bCs/>
                <w:color w:val="auto"/>
                <w:sz w:val="24"/>
              </w:rPr>
            </w:pPr>
            <w:r>
              <w:rPr>
                <w:rFonts w:hint="default" w:ascii="Times New Roman" w:hAnsi="Times New Roman" w:cs="Times New Roman"/>
                <w:bCs/>
                <w:color w:val="auto"/>
                <w:sz w:val="24"/>
                <w:highlight w:val="none"/>
              </w:rPr>
              <w:t>项目</w:t>
            </w:r>
            <w:r>
              <w:rPr>
                <w:rFonts w:hint="eastAsia" w:cs="Times New Roman"/>
                <w:bCs/>
                <w:color w:val="auto"/>
                <w:sz w:val="24"/>
                <w:highlight w:val="none"/>
                <w:lang w:val="en-US" w:eastAsia="zh-CN"/>
              </w:rPr>
              <w:t>租赁</w:t>
            </w:r>
            <w:r>
              <w:rPr>
                <w:rFonts w:hint="eastAsia"/>
                <w:color w:val="auto"/>
                <w:spacing w:val="0"/>
                <w:position w:val="0"/>
                <w:sz w:val="24"/>
                <w:lang w:val="en-US" w:eastAsia="zh-CN"/>
              </w:rPr>
              <w:t>皖江江南新兴产业集中区万凯产业园7#厂房</w:t>
            </w:r>
            <w:r>
              <w:rPr>
                <w:rFonts w:hint="eastAsia" w:ascii="Times New Roman" w:hAnsi="Times New Roman" w:eastAsia="宋体" w:cs="Times New Roman"/>
                <w:color w:val="auto"/>
                <w:spacing w:val="0"/>
                <w:position w:val="0"/>
                <w:sz w:val="24"/>
                <w:highlight w:val="none"/>
                <w:lang w:val="en-US" w:eastAsia="zh-CN"/>
              </w:rPr>
              <w:t>，</w:t>
            </w:r>
            <w:r>
              <w:rPr>
                <w:rFonts w:hint="eastAsia" w:cs="Times New Roman"/>
                <w:color w:val="auto"/>
                <w:spacing w:val="0"/>
                <w:position w:val="0"/>
                <w:sz w:val="24"/>
                <w:highlight w:val="none"/>
                <w:lang w:val="en-US" w:eastAsia="zh-CN"/>
              </w:rPr>
              <w:t>厂房内东南角布置办公生活区，西南侧为主要仓储区。厂房内中部分两个生产区，每个生产区布置2条热解分选生产线，洗硅生产线位于热解分选生产线右侧。生产厂房外根据产污设备和工序分设废气、废水处理系统。</w:t>
            </w:r>
            <w:r>
              <w:rPr>
                <w:rFonts w:hint="eastAsia"/>
                <w:bCs/>
                <w:color w:val="auto"/>
                <w:sz w:val="24"/>
                <w:vertAlign w:val="baseline"/>
                <w:lang w:val="en-US" w:eastAsia="zh-CN"/>
              </w:rPr>
              <w:t>厂房内</w:t>
            </w:r>
            <w:r>
              <w:rPr>
                <w:rFonts w:hint="eastAsia"/>
                <w:bCs/>
                <w:color w:val="auto"/>
                <w:sz w:val="24"/>
              </w:rPr>
              <w:t>设置专用的货物通道，方便进出，生产线布置按照最优化的路线进行，原材料和成品按照最短的运输距离进行布局设计。</w:t>
            </w:r>
          </w:p>
          <w:p w14:paraId="57934BD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eastAsia"/>
                <w:b w:val="0"/>
                <w:bCs w:val="0"/>
                <w:color w:val="auto"/>
                <w:sz w:val="24"/>
                <w:vertAlign w:val="baseline"/>
                <w:lang w:val="en-US" w:eastAsia="zh-CN"/>
              </w:rPr>
            </w:pPr>
            <w:r>
              <w:rPr>
                <w:rFonts w:hint="eastAsia"/>
                <w:b w:val="0"/>
                <w:bCs w:val="0"/>
                <w:color w:val="auto"/>
                <w:sz w:val="24"/>
                <w:vertAlign w:val="baseline"/>
                <w:lang w:val="en-US" w:eastAsia="zh-CN"/>
              </w:rPr>
              <w:t>本项目厂区总平面布置中功能分区明确，管线走向短捷，交通组织合理，便于生产安全管理，生产区布局紧凑，便于生产原料在各个生产工序中顺畅转移。从总体上看，本项目整个厂区总体平面布局合理。</w:t>
            </w:r>
          </w:p>
          <w:p w14:paraId="7451785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b w:val="0"/>
                <w:bCs w:val="0"/>
                <w:color w:val="auto"/>
                <w:sz w:val="24"/>
                <w:vertAlign w:val="baseline"/>
                <w:lang w:val="en-US" w:eastAsia="zh-CN"/>
              </w:rPr>
            </w:pPr>
          </w:p>
          <w:p w14:paraId="01DFC85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b w:val="0"/>
                <w:bCs w:val="0"/>
                <w:color w:val="auto"/>
                <w:sz w:val="24"/>
                <w:vertAlign w:val="baseline"/>
                <w:lang w:val="en-US" w:eastAsia="zh-CN"/>
              </w:rPr>
            </w:pPr>
          </w:p>
          <w:p w14:paraId="70DEB778">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cs="Times New Roman"/>
                <w:color w:val="auto"/>
                <w:spacing w:val="0"/>
                <w:position w:val="0"/>
                <w:lang w:val="en-US" w:eastAsia="zh-CN"/>
              </w:rPr>
            </w:pPr>
          </w:p>
        </w:tc>
      </w:tr>
    </w:tbl>
    <w:p w14:paraId="54C729AE">
      <w:pPr>
        <w:pStyle w:val="23"/>
        <w:adjustRightInd w:val="0"/>
        <w:snapToGrid w:val="0"/>
        <w:spacing w:before="0" w:beforeAutospacing="0" w:after="0" w:afterAutospacing="0"/>
        <w:jc w:val="both"/>
        <w:rPr>
          <w:rFonts w:hint="eastAsia" w:ascii="Times New Roman" w:hAnsi="Times New Roman" w:cs="Times New Roman"/>
          <w:b/>
          <w:bCs/>
          <w:color w:val="auto"/>
          <w:spacing w:val="0"/>
          <w:position w:val="0"/>
          <w:szCs w:val="24"/>
          <w:lang w:eastAsia="zh-CN"/>
        </w:rPr>
        <w:sectPr>
          <w:pgSz w:w="11905" w:h="16838"/>
          <w:pgMar w:top="1440" w:right="1083" w:bottom="1440" w:left="1083" w:header="851" w:footer="1077" w:gutter="0"/>
          <w:pgBorders>
            <w:top w:val="none" w:sz="0" w:space="0"/>
            <w:left w:val="none" w:sz="0" w:space="0"/>
            <w:bottom w:val="none" w:sz="0" w:space="0"/>
            <w:right w:val="none" w:sz="0" w:space="0"/>
          </w:pgBorders>
          <w:pgNumType w:fmt="decimal"/>
          <w:cols w:space="0" w:num="1"/>
          <w:rtlGutter w:val="0"/>
          <w:docGrid w:linePitch="312" w:charSpace="0"/>
        </w:sectPr>
      </w:pPr>
    </w:p>
    <w:tbl>
      <w:tblPr>
        <w:tblStyle w:val="27"/>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14820"/>
      </w:tblGrid>
      <w:tr w14:paraId="6098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68" w:hRule="atLeast"/>
        </w:trPr>
        <w:tc>
          <w:tcPr>
            <w:tcW w:w="659" w:type="dxa"/>
            <w:vAlign w:val="center"/>
          </w:tcPr>
          <w:p w14:paraId="0B3E28D7">
            <w:pPr>
              <w:pStyle w:val="23"/>
              <w:adjustRightInd w:val="0"/>
              <w:snapToGrid w:val="0"/>
              <w:spacing w:before="0" w:beforeAutospacing="0" w:after="0" w:afterAutospacing="0"/>
              <w:jc w:val="center"/>
              <w:rPr>
                <w:rFonts w:hint="eastAsia" w:ascii="Times New Roman" w:hAnsi="Times New Roman" w:cs="Times New Roman"/>
                <w:b/>
                <w:bCs/>
                <w:color w:val="auto"/>
                <w:spacing w:val="0"/>
                <w:position w:val="0"/>
                <w:szCs w:val="24"/>
                <w:vertAlign w:val="baseline"/>
                <w:lang w:eastAsia="zh-CN"/>
              </w:rPr>
            </w:pPr>
            <w:r>
              <w:rPr>
                <w:rFonts w:hint="default" w:ascii="Times New Roman" w:hAnsi="Times New Roman" w:eastAsia="宋体" w:cs="Times New Roman"/>
                <w:b/>
                <w:bCs/>
                <w:color w:val="auto"/>
                <w:spacing w:val="0"/>
                <w:kern w:val="0"/>
                <w:position w:val="0"/>
                <w:sz w:val="24"/>
                <w:szCs w:val="24"/>
                <w:lang w:val="en-US" w:eastAsia="zh-CN" w:bidi="ar-SA"/>
              </w:rPr>
              <w:t>工艺流程和产排污环节</w:t>
            </w:r>
          </w:p>
        </w:tc>
        <w:tc>
          <w:tcPr>
            <w:tcW w:w="14820" w:type="dxa"/>
          </w:tcPr>
          <w:p w14:paraId="3163AFC7">
            <w:pPr>
              <w:pStyle w:val="23"/>
              <w:keepNext w:val="0"/>
              <w:keepLines w:val="0"/>
              <w:pageBreakBefore w:val="0"/>
              <w:widowControl/>
              <w:kinsoku/>
              <w:wordWrap/>
              <w:overflowPunct/>
              <w:topLinePunct w:val="0"/>
              <w:autoSpaceDE/>
              <w:autoSpaceDN/>
              <w:bidi w:val="0"/>
              <w:adjustRightInd w:val="0"/>
              <w:snapToGrid w:val="0"/>
              <w:spacing w:before="0" w:beforeAutospacing="0" w:after="0" w:afterAutospacing="0" w:line="480" w:lineRule="atLeast"/>
              <w:ind w:firstLine="482" w:firstLineChars="200"/>
              <w:jc w:val="both"/>
              <w:textAlignment w:val="auto"/>
              <w:rPr>
                <w:rFonts w:hint="eastAsia"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（一）工艺流程及产污节点</w:t>
            </w:r>
          </w:p>
          <w:p w14:paraId="18ABAB0A">
            <w:pPr>
              <w:pStyle w:val="23"/>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rPr>
                <w:rFonts w:hint="eastAsia"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drawing>
                <wp:inline distT="0" distB="0" distL="114300" distR="114300">
                  <wp:extent cx="9269095" cy="11397615"/>
                  <wp:effectExtent l="0" t="0" r="0" b="0"/>
                  <wp:docPr id="31" name="图片 31" descr="卓盛工艺调整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卓盛工艺调整09.16"/>
                          <pic:cNvPicPr>
                            <a:picLocks noChangeAspect="1"/>
                          </pic:cNvPicPr>
                        </pic:nvPicPr>
                        <pic:blipFill>
                          <a:blip r:embed="rId14"/>
                          <a:stretch>
                            <a:fillRect/>
                          </a:stretch>
                        </pic:blipFill>
                        <pic:spPr>
                          <a:xfrm>
                            <a:off x="0" y="0"/>
                            <a:ext cx="9269095" cy="11397615"/>
                          </a:xfrm>
                          <a:prstGeom prst="rect">
                            <a:avLst/>
                          </a:prstGeom>
                        </pic:spPr>
                      </pic:pic>
                    </a:graphicData>
                  </a:graphic>
                </wp:inline>
              </w:drawing>
            </w:r>
          </w:p>
          <w:p w14:paraId="2FDEF0E3">
            <w:pPr>
              <w:pStyle w:val="23"/>
              <w:keepNext w:val="0"/>
              <w:keepLines w:val="0"/>
              <w:pageBreakBefore w:val="0"/>
              <w:widowControl/>
              <w:kinsoku/>
              <w:wordWrap/>
              <w:overflowPunct/>
              <w:topLinePunct w:val="0"/>
              <w:autoSpaceDE/>
              <w:autoSpaceDN/>
              <w:bidi w:val="0"/>
              <w:adjustRightInd w:val="0"/>
              <w:snapToGrid w:val="0"/>
              <w:spacing w:before="0" w:beforeAutospacing="0" w:after="0" w:afterAutospacing="0" w:line="480" w:lineRule="exact"/>
              <w:ind w:firstLine="0" w:firstLineChars="0"/>
              <w:jc w:val="center"/>
              <w:textAlignment w:val="auto"/>
              <w:rPr>
                <w:rFonts w:hint="default" w:ascii="Times New Roman" w:hAnsi="Times New Roman" w:cs="Times New Roman"/>
                <w:b/>
                <w:bCs w:val="0"/>
                <w:color w:val="auto"/>
                <w:spacing w:val="0"/>
                <w:position w:val="0"/>
                <w:sz w:val="21"/>
                <w:szCs w:val="16"/>
                <w:lang w:val="en-US" w:eastAsia="zh-CN"/>
              </w:rPr>
            </w:pPr>
            <w:r>
              <w:rPr>
                <w:rFonts w:hint="default" w:ascii="Times New Roman" w:hAnsi="Times New Roman" w:cs="Times New Roman"/>
                <w:b/>
                <w:bCs w:val="0"/>
                <w:color w:val="auto"/>
                <w:spacing w:val="0"/>
                <w:position w:val="0"/>
                <w:sz w:val="21"/>
                <w:szCs w:val="16"/>
                <w:lang w:val="en-US" w:eastAsia="zh-CN"/>
              </w:rPr>
              <w:t>图2-4  项目生产工艺流程及产污节点示意图</w:t>
            </w:r>
          </w:p>
          <w:p w14:paraId="16BCC635">
            <w:pPr>
              <w:pStyle w:val="23"/>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rPr>
                <w:rFonts w:hint="default" w:ascii="Times New Roman" w:hAnsi="Times New Roman" w:cs="Times New Roman"/>
                <w:b/>
                <w:bCs w:val="0"/>
                <w:color w:val="auto"/>
                <w:spacing w:val="0"/>
                <w:position w:val="0"/>
                <w:sz w:val="21"/>
                <w:szCs w:val="16"/>
                <w:lang w:val="en-US" w:eastAsia="zh-CN"/>
              </w:rPr>
            </w:pPr>
          </w:p>
          <w:p w14:paraId="2225304F">
            <w:pPr>
              <w:pStyle w:val="23"/>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rPr>
                <w:rFonts w:hint="default" w:ascii="Times New Roman" w:hAnsi="Times New Roman" w:cs="Times New Roman"/>
                <w:b/>
                <w:bCs w:val="0"/>
                <w:color w:val="auto"/>
                <w:spacing w:val="0"/>
                <w:position w:val="0"/>
                <w:sz w:val="21"/>
                <w:szCs w:val="16"/>
                <w:lang w:val="en-US" w:eastAsia="zh-CN"/>
              </w:rPr>
            </w:pPr>
            <w:r>
              <w:rPr>
                <w:rFonts w:hint="default" w:ascii="Times New Roman" w:hAnsi="Times New Roman" w:cs="Times New Roman"/>
                <w:b/>
                <w:bCs w:val="0"/>
                <w:color w:val="auto"/>
                <w:spacing w:val="0"/>
                <w:position w:val="0"/>
                <w:sz w:val="21"/>
                <w:szCs w:val="16"/>
                <w:lang w:val="en-US" w:eastAsia="zh-CN"/>
              </w:rPr>
              <w:drawing>
                <wp:inline distT="0" distB="0" distL="114300" distR="114300">
                  <wp:extent cx="9169400" cy="13185140"/>
                  <wp:effectExtent l="0" t="0" r="0" b="0"/>
                  <wp:docPr id="33" name="图片 33" descr="卓盛物料平衡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卓盛物料平衡09.16"/>
                          <pic:cNvPicPr>
                            <a:picLocks noChangeAspect="1"/>
                          </pic:cNvPicPr>
                        </pic:nvPicPr>
                        <pic:blipFill>
                          <a:blip r:embed="rId15"/>
                          <a:srcRect t="549" b="985"/>
                          <a:stretch>
                            <a:fillRect/>
                          </a:stretch>
                        </pic:blipFill>
                        <pic:spPr>
                          <a:xfrm>
                            <a:off x="0" y="0"/>
                            <a:ext cx="9169400" cy="13185140"/>
                          </a:xfrm>
                          <a:prstGeom prst="rect">
                            <a:avLst/>
                          </a:prstGeom>
                        </pic:spPr>
                      </pic:pic>
                    </a:graphicData>
                  </a:graphic>
                </wp:inline>
              </w:drawing>
            </w:r>
          </w:p>
          <w:p w14:paraId="08E44703">
            <w:pPr>
              <w:pStyle w:val="23"/>
              <w:keepNext w:val="0"/>
              <w:keepLines w:val="0"/>
              <w:pageBreakBefore w:val="0"/>
              <w:widowControl/>
              <w:kinsoku/>
              <w:wordWrap/>
              <w:overflowPunct/>
              <w:topLinePunct w:val="0"/>
              <w:autoSpaceDE/>
              <w:autoSpaceDN/>
              <w:bidi w:val="0"/>
              <w:adjustRightInd w:val="0"/>
              <w:snapToGrid w:val="0"/>
              <w:spacing w:before="0" w:beforeAutospacing="0" w:after="0" w:afterAutospacing="0" w:line="480" w:lineRule="exact"/>
              <w:ind w:firstLine="0" w:firstLineChars="0"/>
              <w:jc w:val="center"/>
              <w:textAlignment w:val="auto"/>
              <w:rPr>
                <w:rFonts w:hint="default" w:ascii="Times New Roman" w:hAnsi="Times New Roman" w:cs="Times New Roman"/>
                <w:b/>
                <w:bCs w:val="0"/>
                <w:color w:val="auto"/>
                <w:spacing w:val="0"/>
                <w:position w:val="0"/>
                <w:sz w:val="21"/>
                <w:szCs w:val="16"/>
                <w:lang w:val="en-US" w:eastAsia="zh-CN"/>
              </w:rPr>
            </w:pPr>
            <w:r>
              <w:rPr>
                <w:rFonts w:hint="eastAsia" w:ascii="Times New Roman" w:hAnsi="Times New Roman" w:cs="Times New Roman"/>
                <w:b/>
                <w:bCs w:val="0"/>
                <w:color w:val="auto"/>
                <w:spacing w:val="0"/>
                <w:position w:val="0"/>
                <w:sz w:val="21"/>
                <w:szCs w:val="16"/>
                <w:lang w:val="en-US" w:eastAsia="zh-CN"/>
              </w:rPr>
              <w:t>图2-5  项目物料平衡图（t/a）</w:t>
            </w:r>
          </w:p>
          <w:p w14:paraId="73FC00A1">
            <w:pPr>
              <w:pStyle w:val="23"/>
              <w:keepNext w:val="0"/>
              <w:keepLines w:val="0"/>
              <w:pageBreakBefore w:val="0"/>
              <w:widowControl/>
              <w:kinsoku/>
              <w:wordWrap/>
              <w:overflowPunct/>
              <w:topLinePunct w:val="0"/>
              <w:autoSpaceDE/>
              <w:autoSpaceDN/>
              <w:bidi w:val="0"/>
              <w:adjustRightInd w:val="0"/>
              <w:snapToGrid w:val="0"/>
              <w:spacing w:before="0" w:beforeAutospacing="0" w:after="0" w:afterAutospacing="0" w:line="480" w:lineRule="exact"/>
              <w:ind w:firstLine="0" w:firstLineChars="0"/>
              <w:jc w:val="both"/>
              <w:textAlignment w:val="auto"/>
              <w:rPr>
                <w:rFonts w:hint="default" w:cs="Times New Roman"/>
                <w:b/>
                <w:bCs w:val="0"/>
                <w:color w:val="auto"/>
                <w:spacing w:val="0"/>
                <w:position w:val="0"/>
                <w:sz w:val="24"/>
                <w:lang w:val="en-US" w:eastAsia="zh-CN"/>
              </w:rPr>
            </w:pPr>
          </w:p>
        </w:tc>
      </w:tr>
    </w:tbl>
    <w:p w14:paraId="3E82E9F4">
      <w:pPr>
        <w:pStyle w:val="23"/>
        <w:adjustRightInd w:val="0"/>
        <w:snapToGrid w:val="0"/>
        <w:spacing w:before="0" w:beforeAutospacing="0" w:after="0" w:afterAutospacing="0"/>
        <w:jc w:val="both"/>
        <w:rPr>
          <w:rFonts w:hint="eastAsia" w:ascii="Times New Roman" w:hAnsi="Times New Roman" w:cs="Times New Roman"/>
          <w:b/>
          <w:bCs/>
          <w:color w:val="auto"/>
          <w:spacing w:val="0"/>
          <w:position w:val="0"/>
          <w:szCs w:val="24"/>
          <w:lang w:eastAsia="zh-CN"/>
        </w:rPr>
        <w:sectPr>
          <w:pgSz w:w="16838" w:h="23811"/>
          <w:pgMar w:top="720" w:right="720" w:bottom="720" w:left="720" w:header="851" w:footer="1077" w:gutter="0"/>
          <w:pgBorders>
            <w:top w:val="none" w:sz="0" w:space="0"/>
            <w:left w:val="none" w:sz="0" w:space="0"/>
            <w:bottom w:val="none" w:sz="0" w:space="0"/>
            <w:right w:val="none" w:sz="0" w:space="0"/>
          </w:pgBorders>
          <w:pgNumType w:fmt="decimal"/>
          <w:cols w:space="0" w:num="1"/>
          <w:rtlGutter w:val="0"/>
          <w:docGrid w:linePitch="312" w:charSpace="0"/>
        </w:sectPr>
      </w:pPr>
    </w:p>
    <w:tbl>
      <w:tblPr>
        <w:tblStyle w:val="26"/>
        <w:tblW w:w="4996"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25"/>
        <w:gridCol w:w="9128"/>
      </w:tblGrid>
      <w:tr w14:paraId="1E183D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536" w:hRule="atLeast"/>
        </w:trPr>
        <w:tc>
          <w:tcPr>
            <w:tcW w:w="414" w:type="pct"/>
            <w:vAlign w:val="center"/>
          </w:tcPr>
          <w:p w14:paraId="560BE992">
            <w:pPr>
              <w:widowControl/>
              <w:adjustRightInd w:val="0"/>
              <w:snapToGrid w:val="0"/>
              <w:spacing w:before="0" w:beforeAutospacing="0" w:after="0" w:afterAutospacing="0"/>
              <w:jc w:val="center"/>
              <w:rPr>
                <w:rFonts w:hint="default" w:ascii="Times New Roman" w:hAnsi="Times New Roman" w:eastAsia="宋体" w:cs="Times New Roman"/>
                <w:b/>
                <w:bCs/>
                <w:color w:val="auto"/>
                <w:spacing w:val="0"/>
                <w:kern w:val="0"/>
                <w:position w:val="0"/>
                <w:sz w:val="24"/>
                <w:szCs w:val="24"/>
                <w:lang w:val="en-US" w:eastAsia="zh-CN" w:bidi="ar-SA"/>
              </w:rPr>
            </w:pPr>
            <w:r>
              <w:rPr>
                <w:rFonts w:hint="default" w:ascii="Times New Roman" w:hAnsi="Times New Roman" w:eastAsia="宋体" w:cs="Times New Roman"/>
                <w:b/>
                <w:bCs/>
                <w:color w:val="auto"/>
                <w:spacing w:val="0"/>
                <w:kern w:val="0"/>
                <w:position w:val="0"/>
                <w:sz w:val="24"/>
                <w:szCs w:val="24"/>
                <w:lang w:val="en-US" w:eastAsia="zh-CN" w:bidi="ar-SA"/>
              </w:rPr>
              <w:t>工艺流程和产排污环节</w:t>
            </w:r>
          </w:p>
        </w:tc>
        <w:tc>
          <w:tcPr>
            <w:tcW w:w="4585" w:type="pct"/>
          </w:tcPr>
          <w:p w14:paraId="4CCE872B">
            <w:pPr>
              <w:adjustRightInd w:val="0"/>
              <w:snapToGrid w:val="0"/>
              <w:spacing w:line="480" w:lineRule="exact"/>
              <w:ind w:firstLine="482" w:firstLineChars="200"/>
              <w:rPr>
                <w:rFonts w:hint="default" w:cs="Times New Roman"/>
                <w:snapToGrid w:val="0"/>
                <w:color w:val="auto"/>
                <w:spacing w:val="0"/>
                <w:kern w:val="0"/>
                <w:position w:val="0"/>
                <w:sz w:val="24"/>
                <w:lang w:val="en-US" w:eastAsia="zh-CN"/>
              </w:rPr>
            </w:pPr>
            <w:r>
              <w:rPr>
                <w:rFonts w:hint="eastAsia" w:cs="Times New Roman"/>
                <w:b/>
                <w:bCs w:val="0"/>
                <w:color w:val="auto"/>
                <w:spacing w:val="0"/>
                <w:position w:val="0"/>
                <w:sz w:val="24"/>
                <w:lang w:val="en-US" w:eastAsia="zh-CN"/>
              </w:rPr>
              <w:t>工艺流程简述：</w:t>
            </w:r>
          </w:p>
          <w:p w14:paraId="4A273F4E">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项目年处理废旧光伏组件3万吨，包括单玻光伏组件9000吨和双玻光伏组件21000吨。废旧光伏组件进厂严格控制，严禁接收受含铅焊带的光伏组件，进厂后于</w:t>
            </w:r>
            <w:r>
              <w:rPr>
                <w:rFonts w:hint="default" w:cs="Times New Roman"/>
                <w:b w:val="0"/>
                <w:bCs/>
                <w:color w:val="auto"/>
                <w:spacing w:val="0"/>
                <w:position w:val="0"/>
                <w:sz w:val="24"/>
                <w:lang w:val="en-US" w:eastAsia="zh-CN"/>
              </w:rPr>
              <w:t>待加工原料区</w:t>
            </w:r>
            <w:r>
              <w:rPr>
                <w:rFonts w:hint="eastAsia" w:cs="Times New Roman"/>
                <w:b w:val="0"/>
                <w:bCs/>
                <w:color w:val="auto"/>
                <w:spacing w:val="0"/>
                <w:position w:val="0"/>
                <w:sz w:val="24"/>
                <w:lang w:val="en-US" w:eastAsia="zh-CN"/>
              </w:rPr>
              <w:t>堆放，首先进行信息录取，记录废光伏</w:t>
            </w:r>
            <w:r>
              <w:rPr>
                <w:rFonts w:hint="eastAsia" w:cs="Times New Roman"/>
                <w:color w:val="auto"/>
                <w:spacing w:val="0"/>
                <w:kern w:val="2"/>
                <w:position w:val="0"/>
                <w:sz w:val="24"/>
                <w:szCs w:val="24"/>
                <w:lang w:val="en-US" w:eastAsia="zh-CN" w:bidi="ar-SA"/>
              </w:rPr>
              <w:t>板来源、数量、类型、重量等基本信息，再依次送入生产线。生产线</w:t>
            </w:r>
            <w:r>
              <w:rPr>
                <w:rFonts w:hint="eastAsia" w:cs="Times New Roman"/>
                <w:b w:val="0"/>
                <w:bCs/>
                <w:color w:val="auto"/>
                <w:spacing w:val="0"/>
                <w:position w:val="0"/>
                <w:sz w:val="24"/>
                <w:lang w:val="en-US" w:eastAsia="zh-CN"/>
              </w:rPr>
              <w:t>工艺流程如下：</w:t>
            </w:r>
          </w:p>
          <w:p w14:paraId="5CDECA41">
            <w:pPr>
              <w:keepNext w:val="0"/>
              <w:keepLines w:val="0"/>
              <w:pageBreakBefore w:val="0"/>
              <w:widowControl w:val="0"/>
              <w:kinsoku/>
              <w:wordWrap/>
              <w:overflowPunct/>
              <w:topLinePunct w:val="0"/>
              <w:autoSpaceDE/>
              <w:autoSpaceDN/>
              <w:bidi w:val="0"/>
              <w:adjustRightInd w:val="0"/>
              <w:snapToGrid w:val="0"/>
              <w:spacing w:line="480" w:lineRule="atLeast"/>
              <w:ind w:firstLine="482" w:firstLineChars="200"/>
              <w:textAlignment w:val="auto"/>
              <w:rPr>
                <w:rFonts w:hint="default"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1、拆框、撕碎、分选</w:t>
            </w:r>
          </w:p>
          <w:p w14:paraId="2905860A">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拆框区设置单玻拆框机和双玻拆框机，全自动运行，分别将单玻光伏组件和双玻光伏组件送入拆框机内，拆出铝合金边框和接线盒。铝合金边框作为产品送入1#仓库。接线盒送入撕碎机撕碎后，通过铜米机器人分选出塑料和铜丝，塑料作为产品送入1#仓库，铜丝作为产品送入铜丝仓库。撕碎机工作原理是通过刀具对物料进行剪切、撕裂、挤压，从而将物料破碎成较小的尺寸，因此撕碎过程不会产生粉尘。分选过程会有少量粉尘逸散。</w:t>
            </w:r>
          </w:p>
          <w:p w14:paraId="6ECE9245">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该过程会产生G1-1分选粉尘。</w:t>
            </w:r>
          </w:p>
          <w:p w14:paraId="444D5485">
            <w:pPr>
              <w:keepNext w:val="0"/>
              <w:keepLines w:val="0"/>
              <w:pageBreakBefore w:val="0"/>
              <w:widowControl w:val="0"/>
              <w:kinsoku/>
              <w:wordWrap/>
              <w:overflowPunct/>
              <w:topLinePunct w:val="0"/>
              <w:autoSpaceDE/>
              <w:autoSpaceDN/>
              <w:bidi w:val="0"/>
              <w:adjustRightInd w:val="0"/>
              <w:snapToGrid w:val="0"/>
              <w:spacing w:line="480" w:lineRule="atLeast"/>
              <w:ind w:firstLine="482" w:firstLineChars="200"/>
              <w:textAlignment w:val="auto"/>
              <w:rPr>
                <w:rFonts w:hint="default"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2、热解</w:t>
            </w:r>
          </w:p>
          <w:p w14:paraId="3E548108">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default"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拆解后的无边框光伏组件利用叉车转运进入到热解炉内，之后关闭热解炉炉门，使光伏组件可热解的部分</w:t>
            </w:r>
            <w:r>
              <w:rPr>
                <w:rFonts w:hint="default" w:ascii="Times New Roman" w:hAnsi="Times New Roman" w:cs="Times New Roman"/>
                <w:b w:val="0"/>
                <w:bCs/>
                <w:color w:val="auto"/>
                <w:spacing w:val="0"/>
                <w:position w:val="0"/>
                <w:sz w:val="24"/>
                <w:szCs w:val="24"/>
                <w:lang w:val="en-US" w:eastAsia="zh-CN"/>
              </w:rPr>
              <w:t>在密闭缺氧的环境下进行热解气化，以去除光伏组件上残留的胶膜、背板层等有机物。</w:t>
            </w:r>
            <w:r>
              <w:rPr>
                <w:rFonts w:hint="default" w:ascii="Times New Roman" w:hAnsi="Times New Roman" w:cs="Times New Roman"/>
                <w:sz w:val="24"/>
                <w:szCs w:val="24"/>
                <w:lang w:eastAsia="zh-CN"/>
              </w:rPr>
              <w:t>热处理是指在无氧或缺氧工况及适当的温度下，EVA、PVF、PET等物质发生热解。EVA热解产物为小分子，以二氧化碳、甲烷、乙烯、乙烷等C4以下烷烃和烯烃为主。PET在加热条</w:t>
            </w:r>
            <w:r>
              <w:rPr>
                <w:rFonts w:hint="default" w:cs="Times New Roman"/>
                <w:b w:val="0"/>
                <w:bCs/>
                <w:color w:val="auto"/>
                <w:spacing w:val="0"/>
                <w:position w:val="0"/>
                <w:sz w:val="24"/>
                <w:lang w:val="en-US" w:eastAsia="zh-CN"/>
              </w:rPr>
              <w:t>件下，发生酯键断裂，产物为二氧化碳、一氧化碳、乙醛及芳香族化合物等。PVF热解产物主要是氟化氢、氟代烃、烷烃、烯烃等。</w:t>
            </w:r>
          </w:p>
          <w:p w14:paraId="4B0A68EE">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2" w:firstLineChars="200"/>
              <w:jc w:val="both"/>
              <w:textAlignment w:val="auto"/>
              <w:rPr>
                <w:rFonts w:hint="default"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热解系统工作原理如下：</w:t>
            </w:r>
          </w:p>
          <w:p w14:paraId="45AF2E55">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2" w:firstLineChars="200"/>
              <w:jc w:val="both"/>
              <w:textAlignment w:val="auto"/>
              <w:rPr>
                <w:rFonts w:hint="eastAsia"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（1）热解温度区间在120℃以内阶段</w:t>
            </w:r>
          </w:p>
          <w:p w14:paraId="1340B1EC">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进料完成之后，封门，使整个热解炉密闭，然后检查机器所有阀门、电机和密封是否都正常。由于热解过程刚刚开始，光伏板此阶段要进行吸热、传热过程，因此在此阶段需要缓慢加热，一般以 2℃/min 的速率进行加热，在温度到达 120℃ 左右时，会发现炉内温度维持一段时间，不会有显著升温现象，此时光伏板开始大量吸热，热解反应过程逐渐开始，热解气逐渐开始产生。此阶段一般在 2 小时左右。在此过程有热解废气和进料点火废气产生。</w:t>
            </w:r>
          </w:p>
          <w:p w14:paraId="74675CA9">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2" w:firstLineChars="200"/>
              <w:jc w:val="both"/>
              <w:textAlignment w:val="auto"/>
              <w:rPr>
                <w:rFonts w:hint="eastAsia"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（2）热解温度区间在 120~380℃阶段</w:t>
            </w:r>
          </w:p>
          <w:p w14:paraId="3FF86CFA">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收集热解产生的油、气等产物。热解炉内是一个持续升温的环境，炉体内部在 4 小时内升温至 200~300℃，此时热解气开始处于稳定生成状态，接下来的 5~8 小时内温度缓慢爬升，当温度到达 350℃~380℃时，可认为光伏板热解已基本完成。热解过程中产生大量油气，其成分主要包含热解气和少量水蒸气等，热解气经管道流入分汽包。在分汽包内重质油气混合物通过气包的初步净化，重质物质沉淀在底部（可进入主炉二次热解）；从分气包顶部出来的气体进入二次净化装置，热解出来的热解气经过两次净化后的轻质气态成分经管道进入循环水冷却系统。在管道内经过液化分为液体和不可液化的气体，其中气体为不凝气，液体为轻油和水的混合物。液体流入油水分离器，分离出的轻质油分经油泵进入油罐储存；不凝气经管道输送至热解炉燃烧室作为燃料使用。为了防止可燃气体燃烧过快，导致升温速率太高，必须对其进行流量控制，根据实际情况，将多余的可燃气体在配套的单独燃烧室内燃烧。</w:t>
            </w:r>
          </w:p>
          <w:p w14:paraId="4311B7F6">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该过程中炉内光伏板热解速率加快，产生大量热解气，其中热解气中约75%的气体冷凝为轻质油和重油进入中间油罐，通过中间油罐进入成品储罐作为半成品供给自身项目使用，或者外售给下游炼化企业进行进一步加工，剩余约15%的气体为不凝气，经不凝气净化系统净化处理后，作为燃料为热解炉提供热量。</w:t>
            </w:r>
          </w:p>
          <w:p w14:paraId="3E97D0F0">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2" w:firstLineChars="200"/>
              <w:jc w:val="both"/>
              <w:textAlignment w:val="auto"/>
              <w:rPr>
                <w:rFonts w:hint="default"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（3）热解炉配套系统</w:t>
            </w:r>
          </w:p>
          <w:p w14:paraId="0E905015">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①立式分油器：立式分油器又称气包，气包是对从主炉内出来的气体进行初步的净化沉淀。部分没有沉淀下来的杂质进入二次净化器。</w:t>
            </w:r>
          </w:p>
          <w:p w14:paraId="7D49A270">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②二次净化器：二次净化器，对通过气包的气体经过二次净化沉淀，将气体里面的粉尘杂质沉淀至罐体内，析出干净的油气。</w:t>
            </w:r>
          </w:p>
          <w:p w14:paraId="2C56D36F">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③箱式冷凝器：箱式冷凝器内是干净的清水，清水主要作为冷却介质对热的油气进行降温液化。从出油口排出热解油和不可液化的气体（不凝气）。</w:t>
            </w:r>
          </w:p>
          <w:p w14:paraId="1D623960">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④中间油罐：热解气经上述冷凝器冷凝后，约75%热解气冷凝为液相，约15%无法冷凝，作为不凝气。气液混合物在暂存分离后，热解油进入油罐暂存，作为自身项目燃烧使用或者外售给下游炼化企业进行进一步加工，不凝气进入净化系统处理。</w:t>
            </w:r>
          </w:p>
          <w:p w14:paraId="709390F3">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⑤不凝气净化系统：不凝气经过水封罐后通过管道送至燃烧系统作为燃料使用，不凝气燃烧供热过程产生燃烧废气。水封罐的作用为安全止回，通过水压抵抗管道内气压变化以防止燃烧系统回火，水封罐中少量水封水被不凝气裹挟带走损耗，需定期补充新鲜水。</w:t>
            </w:r>
          </w:p>
          <w:p w14:paraId="412FF8C0">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正常状态下不凝气作为燃料完全消耗，但生产过程中会有因热解炉升温速率过快导致产生过剩不凝气的情况。因不设不凝气储存设施，为控制釜升温速率过快导致产生过量不凝气的情况，通过水封罐和燃烧系统之间设置调节阀，控制不凝气通入炉膛流量。产生过剩不凝气的通过调节阀控制，经管道送至燃烧室燃烧消耗，确保生产安全。</w:t>
            </w:r>
          </w:p>
          <w:p w14:paraId="191B042E">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2" w:firstLineChars="200"/>
              <w:jc w:val="both"/>
              <w:textAlignment w:val="auto"/>
              <w:rPr>
                <w:rFonts w:hint="eastAsia"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（4）热解完成冷却阶段</w:t>
            </w:r>
          </w:p>
          <w:p w14:paraId="3215A2CD">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经过 10-12小时的热解，热解过程中分解的炭黑、金属、玻璃残渣混合物存留在热解炉内。炉体停止加热后，关掉热解炉电机、电源，待热解炉自然冷却，同时打开热解炉上的放空阀，使炉内恢复正常压力。冷却工段共持续时间约 7小时，直到温度降到 70℃左右，进行出料。</w:t>
            </w:r>
          </w:p>
          <w:p w14:paraId="1D5B4564">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2" w:firstLineChars="200"/>
              <w:jc w:val="both"/>
              <w:textAlignment w:val="auto"/>
              <w:rPr>
                <w:rFonts w:hint="eastAsia"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（5）出料和打包阶段</w:t>
            </w:r>
          </w:p>
          <w:p w14:paraId="474E49FF">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出渣采用的是炉门中心密封出渣，当炉体冷却至70℃以下时，此时炭黑、金属、玻璃残渣混合物流动性较强，可在炉体内导流螺旋作用下，炭黑、金属、玻璃残渣混合物被运送导出气口内的出渣装置上，出渣装置通过角度的配合，让炭黑、金属、玻璃残渣混合物进入出渣口中，通过螺旋片旋转带动将炭黑、金属、玻璃残渣混合物自动排出出渣口，混合物从热解炉排出完毕后炉内温度已降到 35~45℃。</w:t>
            </w:r>
          </w:p>
          <w:p w14:paraId="38E71125">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default" w:cs="Times New Roman"/>
                <w:b w:val="0"/>
                <w:bCs/>
                <w:color w:val="auto"/>
                <w:spacing w:val="0"/>
                <w:position w:val="0"/>
                <w:sz w:val="24"/>
                <w:lang w:val="en-US" w:eastAsia="zh-CN"/>
              </w:rPr>
            </w:pPr>
            <w:r>
              <w:rPr>
                <w:rFonts w:hint="eastAsia" w:cs="Times New Roman"/>
                <w:b w:val="0"/>
                <w:bCs/>
                <w:color w:val="auto"/>
                <w:spacing w:val="0"/>
                <w:position w:val="0"/>
                <w:sz w:val="24"/>
                <w:lang w:val="en-US" w:eastAsia="zh-CN"/>
              </w:rPr>
              <w:t>热解炉打开放空阀时，会产生热解炉放空阀放空后产生的少量热解废气，热解炉渣收集过程约 2~3h。</w:t>
            </w:r>
          </w:p>
          <w:p w14:paraId="7E50425F">
            <w:pPr>
              <w:keepNext w:val="0"/>
              <w:keepLines w:val="0"/>
              <w:pageBreakBefore w:val="0"/>
              <w:widowControl w:val="0"/>
              <w:kinsoku/>
              <w:wordWrap/>
              <w:overflowPunct/>
              <w:topLinePunct w:val="0"/>
              <w:autoSpaceDE/>
              <w:autoSpaceDN/>
              <w:bidi w:val="0"/>
              <w:adjustRightInd w:val="0"/>
              <w:snapToGrid w:val="0"/>
              <w:spacing w:line="480" w:lineRule="atLeast"/>
              <w:ind w:left="0" w:right="0" w:firstLine="0" w:firstLineChars="0"/>
              <w:jc w:val="center"/>
              <w:textAlignment w:val="auto"/>
              <w:rPr>
                <w:rFonts w:hint="default" w:cs="Times New Roman"/>
                <w:b w:val="0"/>
                <w:bCs/>
                <w:color w:val="auto"/>
                <w:spacing w:val="0"/>
                <w:position w:val="0"/>
                <w:sz w:val="24"/>
                <w:lang w:val="en-US" w:eastAsia="zh-CN"/>
              </w:rPr>
            </w:pPr>
            <w:r>
              <w:rPr>
                <w:rFonts w:hint="default" w:cs="Times New Roman"/>
                <w:b w:val="0"/>
                <w:bCs/>
                <w:color w:val="auto"/>
                <w:spacing w:val="0"/>
                <w:position w:val="0"/>
                <w:sz w:val="24"/>
                <w:lang w:val="en-US" w:eastAsia="zh-CN"/>
              </w:rPr>
              <w:drawing>
                <wp:inline distT="0" distB="0" distL="114300" distR="114300">
                  <wp:extent cx="5652135" cy="1995170"/>
                  <wp:effectExtent l="9525" t="9525" r="22860" b="22225"/>
                  <wp:docPr id="10" name="图片 10" descr="0c90bb16c873554d083c6a0b8a67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c90bb16c873554d083c6a0b8a67881"/>
                          <pic:cNvPicPr>
                            <a:picLocks noChangeAspect="1"/>
                          </pic:cNvPicPr>
                        </pic:nvPicPr>
                        <pic:blipFill>
                          <a:blip r:embed="rId16"/>
                          <a:srcRect t="27983" b="14775"/>
                          <a:stretch>
                            <a:fillRect/>
                          </a:stretch>
                        </pic:blipFill>
                        <pic:spPr>
                          <a:xfrm>
                            <a:off x="0" y="0"/>
                            <a:ext cx="5652135" cy="1995170"/>
                          </a:xfrm>
                          <a:prstGeom prst="rect">
                            <a:avLst/>
                          </a:prstGeom>
                          <a:ln>
                            <a:solidFill>
                              <a:schemeClr val="tx1"/>
                            </a:solidFill>
                          </a:ln>
                        </pic:spPr>
                      </pic:pic>
                    </a:graphicData>
                  </a:graphic>
                </wp:inline>
              </w:drawing>
            </w:r>
          </w:p>
          <w:p w14:paraId="11B0FEA9">
            <w:pPr>
              <w:keepNext w:val="0"/>
              <w:keepLines w:val="0"/>
              <w:pageBreakBefore w:val="0"/>
              <w:widowControl w:val="0"/>
              <w:kinsoku/>
              <w:wordWrap/>
              <w:overflowPunct/>
              <w:topLinePunct w:val="0"/>
              <w:autoSpaceDE/>
              <w:autoSpaceDN/>
              <w:bidi w:val="0"/>
              <w:adjustRightInd w:val="0"/>
              <w:snapToGrid w:val="0"/>
              <w:spacing w:line="480" w:lineRule="atLeast"/>
              <w:ind w:left="0" w:right="0" w:firstLine="0" w:firstLineChars="0"/>
              <w:jc w:val="center"/>
              <w:textAlignment w:val="auto"/>
              <w:rPr>
                <w:rFonts w:hint="default" w:cs="Times New Roman"/>
                <w:b/>
                <w:bCs w:val="0"/>
                <w:color w:val="auto"/>
                <w:spacing w:val="0"/>
                <w:position w:val="0"/>
                <w:sz w:val="21"/>
                <w:szCs w:val="21"/>
                <w:lang w:val="en-US" w:eastAsia="zh-CN"/>
              </w:rPr>
            </w:pPr>
            <w:r>
              <w:rPr>
                <w:rFonts w:hint="eastAsia" w:cs="Times New Roman"/>
                <w:b/>
                <w:bCs w:val="0"/>
                <w:color w:val="auto"/>
                <w:spacing w:val="0"/>
                <w:position w:val="0"/>
                <w:sz w:val="21"/>
                <w:szCs w:val="21"/>
                <w:lang w:val="en-US" w:eastAsia="zh-CN"/>
              </w:rPr>
              <w:t>图2-6  热解工艺流程图</w:t>
            </w:r>
          </w:p>
          <w:p w14:paraId="6E409F0C">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default" w:cs="Times New Roman"/>
                <w:b w:val="0"/>
                <w:bCs/>
                <w:color w:val="auto"/>
                <w:spacing w:val="0"/>
                <w:position w:val="0"/>
                <w:sz w:val="24"/>
                <w:szCs w:val="24"/>
                <w:lang w:val="en-US" w:eastAsia="zh-CN"/>
              </w:rPr>
            </w:pPr>
            <w:r>
              <w:rPr>
                <w:rFonts w:hint="eastAsia" w:cs="Times New Roman"/>
                <w:b w:val="0"/>
                <w:bCs/>
                <w:color w:val="auto"/>
                <w:spacing w:val="0"/>
                <w:position w:val="0"/>
                <w:sz w:val="24"/>
                <w:szCs w:val="24"/>
                <w:lang w:val="en-US" w:eastAsia="zh-CN"/>
              </w:rPr>
              <w:t>热解过程会产生G1-2热解炉尾气、G1-4热解炉开炉废气和G1-3</w:t>
            </w:r>
            <w:r>
              <w:rPr>
                <w:rFonts w:hint="default" w:ascii="Times New Roman" w:hAnsi="Times New Roman" w:eastAsia="宋体" w:cs="Times New Roman"/>
                <w:caps w:val="0"/>
                <w:smallCaps w:val="0"/>
                <w:color w:val="auto"/>
                <w:spacing w:val="0"/>
                <w:w w:val="100"/>
                <w:position w:val="0"/>
                <w:sz w:val="24"/>
                <w:szCs w:val="24"/>
                <w:lang w:val="en-US" w:eastAsia="zh-CN"/>
              </w:rPr>
              <w:t>燃烧室不凝气燃烧废</w:t>
            </w:r>
            <w:r>
              <w:rPr>
                <w:rFonts w:hint="default" w:cs="Times New Roman"/>
                <w:b w:val="0"/>
                <w:bCs/>
                <w:color w:val="auto"/>
                <w:spacing w:val="0"/>
                <w:position w:val="0"/>
                <w:sz w:val="24"/>
                <w:szCs w:val="24"/>
                <w:lang w:val="en-US" w:eastAsia="zh-CN"/>
              </w:rPr>
              <w:t>气</w:t>
            </w:r>
            <w:r>
              <w:rPr>
                <w:rFonts w:hint="eastAsia" w:cs="Times New Roman"/>
                <w:b w:val="0"/>
                <w:bCs/>
                <w:color w:val="auto"/>
                <w:spacing w:val="0"/>
                <w:position w:val="0"/>
                <w:sz w:val="24"/>
                <w:szCs w:val="24"/>
                <w:lang w:val="en-US" w:eastAsia="zh-CN"/>
              </w:rPr>
              <w:t>以及N噪声。</w:t>
            </w:r>
          </w:p>
          <w:p w14:paraId="1ACAAD07">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2" w:firstLineChars="200"/>
              <w:jc w:val="both"/>
              <w:textAlignment w:val="auto"/>
              <w:rPr>
                <w:rFonts w:hint="default" w:cs="Times New Roman"/>
                <w:b w:val="0"/>
                <w:bCs/>
                <w:color w:val="auto"/>
                <w:spacing w:val="0"/>
                <w:position w:val="0"/>
                <w:sz w:val="24"/>
                <w:szCs w:val="24"/>
                <w:lang w:val="en-US" w:eastAsia="zh-CN"/>
              </w:rPr>
            </w:pPr>
            <w:r>
              <w:rPr>
                <w:rFonts w:hint="eastAsia" w:cs="Times New Roman"/>
                <w:b/>
                <w:bCs w:val="0"/>
                <w:color w:val="auto"/>
                <w:spacing w:val="0"/>
                <w:position w:val="0"/>
                <w:sz w:val="24"/>
                <w:szCs w:val="24"/>
                <w:lang w:val="en-US" w:eastAsia="zh-CN"/>
              </w:rPr>
              <w:t>关于二噁英的生成情况说明：</w:t>
            </w:r>
          </w:p>
          <w:p w14:paraId="01518531">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szCs w:val="24"/>
                <w:lang w:val="en-US" w:eastAsia="zh-CN"/>
              </w:rPr>
            </w:pPr>
            <w:r>
              <w:rPr>
                <w:rFonts w:hint="eastAsia" w:cs="Times New Roman"/>
                <w:b w:val="0"/>
                <w:bCs/>
                <w:color w:val="auto"/>
                <w:spacing w:val="0"/>
                <w:position w:val="0"/>
                <w:sz w:val="24"/>
                <w:szCs w:val="24"/>
                <w:lang w:val="en-US" w:eastAsia="zh-CN"/>
              </w:rPr>
              <w:t>二噁英主要是含氯的碳氢化合物在燃烧过程中形成的，氧气、氯元素和金属元素是生成二噁英的必备条件。其中氯源（如PVC、氯气、HCI等）是二噁英产生的前驱物，金属元素如（Cu、Fe）为二噁英产生的催化剂。当燃烧温度低于800℃，烟气停留时间小于2s时，燃烧物中部分有机物就会与分子氯或氯游离基反应生成二噁英。本项目热处理的主要是EVA、TPT等物料，物料中不含氯元素。项目热处理过程中不存在金属阳离子作为催化剂，热解过程温度为380℃左右，热解过程为真空环境。《国家鼓励发展的重大环保技术装备目录（2011年版）》指出：在无氧和缺氧条件下进行加热蒸馏，无二噁英产生条件。本项目是在无氧状态下进行加热裂解，其工艺原理与之相同。因此，本项目热处理过程不具备生成二噁英的条件。</w:t>
            </w:r>
          </w:p>
          <w:p w14:paraId="07E6331C">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2" w:firstLineChars="200"/>
              <w:jc w:val="both"/>
              <w:textAlignment w:val="auto"/>
              <w:rPr>
                <w:rFonts w:hint="default" w:cs="Times New Roman"/>
                <w:b/>
                <w:bCs w:val="0"/>
                <w:color w:val="auto"/>
                <w:spacing w:val="0"/>
                <w:position w:val="0"/>
                <w:sz w:val="24"/>
                <w:szCs w:val="24"/>
                <w:lang w:val="en-US" w:eastAsia="zh-CN"/>
              </w:rPr>
            </w:pPr>
            <w:r>
              <w:rPr>
                <w:rFonts w:hint="eastAsia" w:cs="Times New Roman"/>
                <w:b/>
                <w:bCs w:val="0"/>
                <w:color w:val="auto"/>
                <w:spacing w:val="0"/>
                <w:position w:val="0"/>
                <w:sz w:val="24"/>
                <w:szCs w:val="24"/>
                <w:lang w:val="en-US" w:eastAsia="zh-CN"/>
              </w:rPr>
              <w:t>关于金属化合物产生情况的说明：</w:t>
            </w:r>
          </w:p>
          <w:p w14:paraId="541DD4C5">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default" w:cs="Times New Roman"/>
                <w:b w:val="0"/>
                <w:bCs/>
                <w:color w:val="auto"/>
                <w:spacing w:val="0"/>
                <w:position w:val="0"/>
                <w:sz w:val="24"/>
                <w:szCs w:val="24"/>
                <w:lang w:val="en-US" w:eastAsia="zh-CN"/>
              </w:rPr>
            </w:pPr>
            <w:r>
              <w:rPr>
                <w:rFonts w:hint="eastAsia" w:cs="Times New Roman"/>
                <w:b w:val="0"/>
                <w:bCs/>
                <w:color w:val="auto"/>
                <w:spacing w:val="0"/>
                <w:position w:val="0"/>
                <w:sz w:val="24"/>
                <w:szCs w:val="24"/>
                <w:lang w:val="en-US" w:eastAsia="zh-CN"/>
              </w:rPr>
              <w:t>本项目回收的废旧光伏板焊带采用的均为成本较低、市场占有率较高的无铅环保型涂锡铜带，原料无铅成分，因此不产生铅及其化合物。经调查，金属铝的沸点是2467℃，金属铜的沸点为2567℃，金属锡的沸点为2260℃，金属银的沸点为2213℃，因此，焊带会融化成软态，冷却后形成金属进入分选工序实现金属和非金属的分离，本项目不具备产生金属化合物的条件。但微量金属粉末会随烟气或颗粒物进入废气中。</w:t>
            </w:r>
          </w:p>
          <w:p w14:paraId="18A1E625">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2" w:firstLineChars="200"/>
              <w:jc w:val="both"/>
              <w:textAlignment w:val="auto"/>
              <w:rPr>
                <w:rFonts w:hint="default" w:cs="Times New Roman"/>
                <w:b/>
                <w:bCs w:val="0"/>
                <w:color w:val="auto"/>
                <w:spacing w:val="0"/>
                <w:position w:val="0"/>
                <w:sz w:val="24"/>
                <w:szCs w:val="24"/>
                <w:lang w:val="en-US" w:eastAsia="zh-CN"/>
              </w:rPr>
            </w:pPr>
            <w:r>
              <w:rPr>
                <w:rFonts w:hint="eastAsia" w:cs="Times New Roman"/>
                <w:b/>
                <w:bCs w:val="0"/>
                <w:color w:val="auto"/>
                <w:spacing w:val="0"/>
                <w:position w:val="0"/>
                <w:sz w:val="24"/>
                <w:szCs w:val="24"/>
                <w:lang w:val="en-US" w:eastAsia="zh-CN"/>
              </w:rPr>
              <w:t>3、物料分选</w:t>
            </w:r>
          </w:p>
          <w:p w14:paraId="7BF07ABB">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szCs w:val="24"/>
                <w:lang w:val="en-US" w:eastAsia="zh-CN"/>
              </w:rPr>
            </w:pPr>
            <w:r>
              <w:rPr>
                <w:rFonts w:hint="eastAsia" w:cs="Times New Roman"/>
                <w:b w:val="0"/>
                <w:bCs/>
                <w:color w:val="auto"/>
                <w:spacing w:val="0"/>
                <w:position w:val="0"/>
                <w:sz w:val="24"/>
                <w:szCs w:val="24"/>
                <w:lang w:val="en-US" w:eastAsia="zh-CN"/>
              </w:rPr>
              <w:t>（1）热解炉出料通过密闭传送带输送至1#储料仓，通过储料仓1底部，把物料送到振动筛上面，筛出＞5mm、0.8~5mm、80目~0.8mm、＜80目四种物料。</w:t>
            </w:r>
          </w:p>
          <w:p w14:paraId="7D93862E">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default" w:cs="Times New Roman"/>
                <w:b w:val="0"/>
                <w:bCs/>
                <w:color w:val="auto"/>
                <w:spacing w:val="0"/>
                <w:position w:val="0"/>
                <w:sz w:val="24"/>
                <w:szCs w:val="24"/>
                <w:lang w:val="en-US" w:eastAsia="zh-CN"/>
              </w:rPr>
            </w:pPr>
            <w:r>
              <w:rPr>
                <w:rFonts w:hint="eastAsia" w:cs="Times New Roman"/>
                <w:b w:val="0"/>
                <w:bCs/>
                <w:color w:val="auto"/>
                <w:spacing w:val="0"/>
                <w:position w:val="0"/>
                <w:sz w:val="24"/>
                <w:szCs w:val="24"/>
                <w:lang w:val="en-US" w:eastAsia="zh-CN"/>
              </w:rPr>
              <w:t>（2）＜80目物料通过吸尘沙克龙（旋风分离器）分离出来，硅粉进入2#储料仓，即为“硅粉+炭黑”。</w:t>
            </w:r>
          </w:p>
          <w:p w14:paraId="035BB247">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szCs w:val="24"/>
                <w:lang w:val="en-US" w:eastAsia="zh-CN"/>
              </w:rPr>
            </w:pPr>
            <w:r>
              <w:rPr>
                <w:rFonts w:hint="eastAsia" w:cs="Times New Roman"/>
                <w:b w:val="0"/>
                <w:bCs/>
                <w:color w:val="auto"/>
                <w:spacing w:val="0"/>
                <w:position w:val="0"/>
                <w:sz w:val="24"/>
                <w:szCs w:val="24"/>
                <w:lang w:val="en-US" w:eastAsia="zh-CN"/>
              </w:rPr>
              <w:t>（3）＞5mm物料，进3#储料仓后通过密闭传送带，运输到涡电流分选机，分选出铜和玻璃，玻璃进入待清洗8#储料仓，铜丝经分选进入7#储料仓。</w:t>
            </w:r>
          </w:p>
          <w:p w14:paraId="7E9E45EF">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szCs w:val="24"/>
                <w:lang w:val="en-US" w:eastAsia="zh-CN"/>
              </w:rPr>
            </w:pPr>
            <w:r>
              <w:rPr>
                <w:rFonts w:hint="eastAsia" w:cs="Times New Roman"/>
                <w:b w:val="0"/>
                <w:bCs/>
                <w:color w:val="auto"/>
                <w:spacing w:val="0"/>
                <w:position w:val="0"/>
                <w:sz w:val="24"/>
                <w:szCs w:val="24"/>
                <w:lang w:val="en-US" w:eastAsia="zh-CN"/>
              </w:rPr>
              <w:t>（4）0.8~5mm物料，进4#储料仓后通过密闭传送带</w:t>
            </w:r>
            <w:bookmarkStart w:id="4" w:name="_Hlk202209128"/>
            <w:r>
              <w:rPr>
                <w:rFonts w:hint="eastAsia" w:cs="Times New Roman"/>
                <w:b w:val="0"/>
                <w:bCs/>
                <w:color w:val="auto"/>
                <w:spacing w:val="0"/>
                <w:position w:val="0"/>
                <w:sz w:val="24"/>
                <w:szCs w:val="24"/>
                <w:lang w:val="en-US" w:eastAsia="zh-CN"/>
              </w:rPr>
              <w:t>进入风选机，分选出硅片和玻璃+铜丝，</w:t>
            </w:r>
            <w:bookmarkEnd w:id="4"/>
            <w:r>
              <w:rPr>
                <w:rFonts w:hint="eastAsia" w:cs="Times New Roman"/>
                <w:b w:val="0"/>
                <w:bCs/>
                <w:color w:val="auto"/>
                <w:spacing w:val="0"/>
                <w:position w:val="0"/>
                <w:sz w:val="24"/>
                <w:szCs w:val="24"/>
                <w:lang w:val="en-US" w:eastAsia="zh-CN"/>
              </w:rPr>
              <w:t>硅片经过传送带进5#储料仓，玻璃+铜丝经过传送带进6#储料仓。6#储料仓物料再由密闭传送带进入气流比重色选机，分选出铜丝进7#储料仓，分选出玻璃进入待清洗8#储料仓。</w:t>
            </w:r>
          </w:p>
          <w:p w14:paraId="5EECB605">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szCs w:val="24"/>
                <w:lang w:val="en-US" w:eastAsia="zh-CN"/>
              </w:rPr>
            </w:pPr>
            <w:r>
              <w:rPr>
                <w:rFonts w:hint="eastAsia" w:cs="Times New Roman"/>
                <w:b w:val="0"/>
                <w:bCs/>
                <w:color w:val="auto"/>
                <w:spacing w:val="0"/>
                <w:position w:val="0"/>
                <w:sz w:val="24"/>
                <w:szCs w:val="24"/>
                <w:lang w:val="en-US" w:eastAsia="zh-CN"/>
              </w:rPr>
              <w:t>（5）80目~0.8mm物料，进9#储料仓后通过密闭传送带进入风选机，分选出硅片和铜丝，硅片</w:t>
            </w:r>
            <w:bookmarkStart w:id="5" w:name="OLE_LINK17"/>
            <w:r>
              <w:rPr>
                <w:rFonts w:hint="eastAsia" w:cs="Times New Roman"/>
                <w:b w:val="0"/>
                <w:bCs/>
                <w:color w:val="auto"/>
                <w:spacing w:val="0"/>
                <w:position w:val="0"/>
                <w:sz w:val="24"/>
                <w:szCs w:val="24"/>
                <w:lang w:val="en-US" w:eastAsia="zh-CN"/>
              </w:rPr>
              <w:t>通过密闭传送带进入5#储料仓</w:t>
            </w:r>
            <w:bookmarkEnd w:id="5"/>
            <w:r>
              <w:rPr>
                <w:rFonts w:hint="eastAsia" w:cs="Times New Roman"/>
                <w:b w:val="0"/>
                <w:bCs/>
                <w:color w:val="auto"/>
                <w:spacing w:val="0"/>
                <w:position w:val="0"/>
                <w:sz w:val="24"/>
                <w:szCs w:val="24"/>
                <w:lang w:val="en-US" w:eastAsia="zh-CN"/>
              </w:rPr>
              <w:t>，铜丝通过传送带进入7#储料仓。</w:t>
            </w:r>
          </w:p>
          <w:p w14:paraId="58FD38ED">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tLeast"/>
              <w:ind w:left="0" w:leftChars="0" w:right="0" w:rightChars="0" w:firstLine="480" w:firstLineChars="200"/>
              <w:jc w:val="both"/>
              <w:textAlignment w:val="auto"/>
              <w:rPr>
                <w:rFonts w:hint="eastAsia" w:cs="Times New Roman"/>
                <w:b w:val="0"/>
                <w:bCs/>
                <w:color w:val="auto"/>
                <w:spacing w:val="0"/>
                <w:position w:val="0"/>
                <w:sz w:val="24"/>
                <w:szCs w:val="24"/>
                <w:lang w:val="en-US" w:eastAsia="zh-CN"/>
              </w:rPr>
            </w:pPr>
            <w:r>
              <w:rPr>
                <w:rFonts w:hint="eastAsia" w:ascii="Times New Roman" w:hAnsi="Times New Roman" w:eastAsia="宋体" w:cs="Times New Roman"/>
                <w:b w:val="0"/>
                <w:bCs/>
                <w:color w:val="auto"/>
                <w:spacing w:val="0"/>
                <w:kern w:val="2"/>
                <w:position w:val="0"/>
                <w:sz w:val="24"/>
                <w:szCs w:val="24"/>
                <w:lang w:val="en-US" w:eastAsia="zh-CN" w:bidi="ar-SA"/>
              </w:rPr>
              <w:t>（6）</w:t>
            </w:r>
            <w:r>
              <w:rPr>
                <w:rFonts w:hint="eastAsia" w:cs="Times New Roman"/>
                <w:b w:val="0"/>
                <w:bCs/>
                <w:color w:val="auto"/>
                <w:spacing w:val="0"/>
                <w:position w:val="0"/>
                <w:sz w:val="24"/>
                <w:szCs w:val="24"/>
                <w:lang w:val="en-US" w:eastAsia="zh-CN"/>
              </w:rPr>
              <w:t>待清洗8#储料仓的物料，通过密闭传送带进入30%含量碱液清洗炉清洗。清洗后物料通过小直线筛过滤，过滤后的物料进入洗砂机去除表面碱性，洗砂后再通过小直线筛过滤，过滤后的物料进入烘干炉内，维持80℃温度旋转烘干。烘干后的物料通过密闭传送带送入10#储料仓。</w:t>
            </w:r>
          </w:p>
          <w:p w14:paraId="108F9EA3">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tLeast"/>
              <w:ind w:left="0" w:leftChars="0" w:right="0" w:rightChars="0" w:firstLine="480" w:firstLineChars="200"/>
              <w:jc w:val="both"/>
              <w:textAlignment w:val="auto"/>
              <w:rPr>
                <w:rFonts w:hint="eastAsia" w:cs="Times New Roman"/>
                <w:b w:val="0"/>
                <w:bCs/>
                <w:color w:val="auto"/>
                <w:spacing w:val="0"/>
                <w:position w:val="0"/>
                <w:sz w:val="24"/>
                <w:szCs w:val="24"/>
                <w:lang w:val="en-US" w:eastAsia="zh-CN"/>
              </w:rPr>
            </w:pPr>
            <w:r>
              <w:rPr>
                <w:rFonts w:hint="eastAsia" w:ascii="Times New Roman" w:hAnsi="Times New Roman" w:eastAsia="宋体" w:cs="Times New Roman"/>
                <w:b w:val="0"/>
                <w:bCs/>
                <w:color w:val="auto"/>
                <w:spacing w:val="0"/>
                <w:kern w:val="2"/>
                <w:position w:val="0"/>
                <w:sz w:val="24"/>
                <w:szCs w:val="24"/>
                <w:lang w:val="en-US" w:eastAsia="zh-CN" w:bidi="ar-SA"/>
              </w:rPr>
              <w:t>（7）</w:t>
            </w:r>
            <w:r>
              <w:rPr>
                <w:rFonts w:hint="eastAsia" w:cs="Times New Roman"/>
                <w:b w:val="0"/>
                <w:bCs/>
                <w:color w:val="auto"/>
                <w:spacing w:val="0"/>
                <w:position w:val="0"/>
                <w:sz w:val="24"/>
                <w:szCs w:val="24"/>
                <w:lang w:val="en-US" w:eastAsia="zh-CN"/>
              </w:rPr>
              <w:t>10#储料仓内物料继续通过密闭传送带进入色选机，选出杂质（铜、硅、难溶物等）进入11#储料仓，选出纯白玻璃，通过振动筛筛出＜0.8mm的玻璃粉进行吨袋包装，＞0.8mm的玻璃通过上料提升机进入12#和13#储料仓。</w:t>
            </w:r>
          </w:p>
          <w:p w14:paraId="65FB9F31">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tLeast"/>
              <w:ind w:left="0" w:leftChars="0" w:right="0" w:rightChars="0" w:firstLine="480" w:firstLineChars="200"/>
              <w:jc w:val="both"/>
              <w:textAlignment w:val="auto"/>
              <w:rPr>
                <w:rFonts w:hint="eastAsia" w:cs="Times New Roman"/>
                <w:b w:val="0"/>
                <w:bCs/>
                <w:color w:val="auto"/>
                <w:spacing w:val="0"/>
                <w:position w:val="0"/>
                <w:sz w:val="24"/>
                <w:szCs w:val="24"/>
                <w:lang w:val="en-US" w:eastAsia="zh-CN"/>
              </w:rPr>
            </w:pPr>
            <w:r>
              <w:rPr>
                <w:rFonts w:hint="eastAsia" w:cs="Times New Roman"/>
                <w:b w:val="0"/>
                <w:bCs/>
                <w:color w:val="auto"/>
                <w:spacing w:val="0"/>
                <w:position w:val="0"/>
                <w:sz w:val="24"/>
                <w:szCs w:val="24"/>
                <w:lang w:val="en-US" w:eastAsia="zh-CN"/>
              </w:rPr>
              <w:t>涡电流分选机工作原理：</w:t>
            </w:r>
            <w:r>
              <w:rPr>
                <w:rFonts w:hint="default" w:cs="Times New Roman"/>
                <w:b w:val="0"/>
                <w:bCs/>
                <w:color w:val="auto"/>
                <w:spacing w:val="0"/>
                <w:position w:val="0"/>
                <w:sz w:val="24"/>
                <w:szCs w:val="24"/>
                <w:lang w:val="en-US" w:eastAsia="zh-CN"/>
              </w:rPr>
              <w:t>混合物料通过磁力或气流送入涡电流分选通道，进入磁辊产生的高频交变磁场区域。金属颗粒在磁场中感应出涡电流，受排斥力作用向前飞跃；非金属颗粒无涡电流产生，保持原有运动状态。通过调节磁场强度、物料流速等参数，控制排斥力大小，使金属与非金属分别落入不同收集区域，完成分选</w:t>
            </w:r>
            <w:r>
              <w:rPr>
                <w:rFonts w:hint="eastAsia" w:cs="Times New Roman"/>
                <w:b w:val="0"/>
                <w:bCs/>
                <w:color w:val="auto"/>
                <w:spacing w:val="0"/>
                <w:position w:val="0"/>
                <w:sz w:val="24"/>
                <w:szCs w:val="24"/>
                <w:lang w:val="en-US" w:eastAsia="zh-CN"/>
              </w:rPr>
              <w:t>。</w:t>
            </w:r>
          </w:p>
          <w:p w14:paraId="01B9030C">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eastAsia" w:cs="Times New Roman"/>
                <w:b w:val="0"/>
                <w:bCs/>
                <w:color w:val="auto"/>
                <w:spacing w:val="0"/>
                <w:position w:val="0"/>
                <w:sz w:val="24"/>
                <w:szCs w:val="24"/>
                <w:u w:val="single"/>
                <w:lang w:val="en-US" w:eastAsia="zh-CN"/>
              </w:rPr>
            </w:pPr>
            <w:r>
              <w:rPr>
                <w:rFonts w:hint="eastAsia" w:cs="Times New Roman"/>
                <w:b w:val="0"/>
                <w:bCs/>
                <w:color w:val="auto"/>
                <w:spacing w:val="0"/>
                <w:position w:val="0"/>
                <w:sz w:val="24"/>
                <w:szCs w:val="24"/>
                <w:lang w:val="en-US" w:eastAsia="zh-CN"/>
              </w:rPr>
              <w:t>上述过程会产生G1-5进仓粉尘、G1-6炉渣筛分粉尘、G1-7旋风分离粉尘、G1-8硅粉包装粉尘、G1-9风选粉尘、G2-1清洗炉燃烧烟气、G2-2烘干炉燃烧烟气、G3-3进仓粉尘、G2-4玻璃筛分粉尘、G2-5玻璃粉包装粉尘、S2-1沉淀池渣以及N噪声。</w:t>
            </w:r>
          </w:p>
          <w:p w14:paraId="1AB15E25">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default" w:cs="Times New Roman"/>
                <w:b w:val="0"/>
                <w:bCs/>
                <w:color w:val="auto"/>
                <w:spacing w:val="0"/>
                <w:position w:val="0"/>
                <w:sz w:val="24"/>
                <w:szCs w:val="24"/>
                <w:u w:val="single"/>
                <w:lang w:val="en-US" w:eastAsia="zh-CN"/>
              </w:rPr>
            </w:pPr>
            <w:r>
              <w:rPr>
                <w:rFonts w:hint="eastAsia" w:cs="Times New Roman"/>
                <w:b w:val="0"/>
                <w:bCs/>
                <w:color w:val="auto"/>
                <w:spacing w:val="0"/>
                <w:position w:val="0"/>
                <w:sz w:val="24"/>
                <w:szCs w:val="24"/>
                <w:u w:val="single"/>
                <w:lang w:val="en-US" w:eastAsia="zh-CN"/>
              </w:rPr>
              <w:t>风选机工作原理：风选机通常由进料口、筛分机构和排料口三部分组成。物料通过进料口进入风选机，经过筛分机构，其中带有较轻松散的杂质和轻质物体在高速气流的作用下被吹散并排出机外，而较重的物料则沉积在底部，最后排出机外。</w:t>
            </w:r>
          </w:p>
          <w:p w14:paraId="57F75D4C">
            <w:pPr>
              <w:keepNext w:val="0"/>
              <w:keepLines w:val="0"/>
              <w:pageBreakBefore w:val="0"/>
              <w:widowControl w:val="0"/>
              <w:kinsoku/>
              <w:wordWrap/>
              <w:overflowPunct/>
              <w:topLinePunct w:val="0"/>
              <w:autoSpaceDE/>
              <w:autoSpaceDN/>
              <w:bidi w:val="0"/>
              <w:adjustRightInd w:val="0"/>
              <w:snapToGrid w:val="0"/>
              <w:spacing w:line="480" w:lineRule="atLeast"/>
              <w:ind w:left="0" w:right="0" w:firstLine="480" w:firstLineChars="200"/>
              <w:jc w:val="both"/>
              <w:textAlignment w:val="auto"/>
              <w:rPr>
                <w:rFonts w:hint="default" w:cs="Times New Roman"/>
                <w:b w:val="0"/>
                <w:bCs/>
                <w:color w:val="auto"/>
                <w:spacing w:val="0"/>
                <w:position w:val="0"/>
                <w:sz w:val="24"/>
                <w:szCs w:val="24"/>
                <w:lang w:val="en-US" w:eastAsia="zh-CN"/>
              </w:rPr>
            </w:pPr>
            <w:r>
              <w:rPr>
                <w:rFonts w:hint="eastAsia" w:cs="Times New Roman"/>
                <w:b w:val="0"/>
                <w:bCs/>
                <w:color w:val="auto"/>
                <w:spacing w:val="0"/>
                <w:position w:val="0"/>
                <w:sz w:val="24"/>
                <w:szCs w:val="24"/>
                <w:u w:val="single"/>
                <w:lang w:val="en-US" w:eastAsia="zh-CN"/>
              </w:rPr>
              <w:t>气流比重色选机工作原理：利用风的吸浮力作用，对不同比重和不同粒状的物料吸浮力的不同，和物料的重力及其他有效力，把不同比重物料和同种物料粒度、形状的不同，进行比重风选分离。</w:t>
            </w:r>
          </w:p>
          <w:p w14:paraId="342FF334">
            <w:pPr>
              <w:adjustRightInd w:val="0"/>
              <w:snapToGrid w:val="0"/>
              <w:spacing w:line="480" w:lineRule="exact"/>
              <w:ind w:firstLine="482" w:firstLineChars="200"/>
              <w:rPr>
                <w:rFonts w:hint="eastAsia" w:ascii="Times New Roman" w:hAnsi="Times New Roman" w:eastAsia="宋体"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w:t>
            </w:r>
            <w:r>
              <w:rPr>
                <w:rFonts w:hint="eastAsia" w:ascii="Times New Roman" w:hAnsi="Times New Roman" w:eastAsia="宋体" w:cs="Times New Roman"/>
                <w:b/>
                <w:bCs w:val="0"/>
                <w:color w:val="auto"/>
                <w:spacing w:val="0"/>
                <w:position w:val="0"/>
                <w:sz w:val="24"/>
                <w:lang w:val="en-US" w:eastAsia="zh-CN"/>
              </w:rPr>
              <w:t>二）</w:t>
            </w:r>
            <w:r>
              <w:rPr>
                <w:rFonts w:hint="default" w:ascii="Times New Roman" w:hAnsi="Times New Roman" w:cs="Times New Roman"/>
                <w:b/>
                <w:bCs w:val="0"/>
                <w:color w:val="auto"/>
                <w:spacing w:val="0"/>
                <w:sz w:val="24"/>
                <w:szCs w:val="24"/>
                <w:lang w:val="en-US" w:eastAsia="zh-CN"/>
              </w:rPr>
              <w:t>主要污染物</w:t>
            </w:r>
            <w:r>
              <w:rPr>
                <w:rFonts w:hint="default" w:ascii="Times New Roman" w:hAnsi="Times New Roman" w:cs="Times New Roman"/>
                <w:b/>
                <w:bCs w:val="0"/>
                <w:color w:val="auto"/>
                <w:spacing w:val="0"/>
                <w:sz w:val="24"/>
                <w:szCs w:val="24"/>
              </w:rPr>
              <w:t>产生</w:t>
            </w:r>
            <w:r>
              <w:rPr>
                <w:rFonts w:hint="default" w:ascii="Times New Roman" w:hAnsi="Times New Roman" w:cs="Times New Roman"/>
                <w:b/>
                <w:bCs w:val="0"/>
                <w:color w:val="auto"/>
                <w:spacing w:val="0"/>
                <w:sz w:val="24"/>
                <w:szCs w:val="24"/>
                <w:lang w:val="en-US" w:eastAsia="zh-CN"/>
              </w:rPr>
              <w:t>处置</w:t>
            </w:r>
            <w:r>
              <w:rPr>
                <w:rFonts w:hint="default" w:ascii="Times New Roman" w:hAnsi="Times New Roman" w:cs="Times New Roman"/>
                <w:b/>
                <w:bCs w:val="0"/>
                <w:color w:val="auto"/>
                <w:spacing w:val="0"/>
                <w:sz w:val="24"/>
                <w:szCs w:val="24"/>
              </w:rPr>
              <w:t>情况</w:t>
            </w:r>
          </w:p>
          <w:p w14:paraId="7085D6A6">
            <w:pPr>
              <w:keepNext w:val="0"/>
              <w:keepLines w:val="0"/>
              <w:pageBreakBefore w:val="0"/>
              <w:widowControl w:val="0"/>
              <w:kinsoku/>
              <w:wordWrap/>
              <w:overflowPunct/>
              <w:topLinePunct w:val="0"/>
              <w:autoSpaceDE/>
              <w:autoSpaceDN/>
              <w:bidi w:val="0"/>
              <w:adjustRightInd/>
              <w:snapToGrid/>
              <w:spacing w:line="480" w:lineRule="atLeast"/>
              <w:ind w:firstLine="480" w:firstLineChars="200"/>
              <w:jc w:val="both"/>
              <w:textAlignment w:val="auto"/>
              <w:rPr>
                <w:rFonts w:hint="default" w:ascii="Times New Roman" w:hAnsi="Times New Roman" w:cs="Times New Roman"/>
                <w:color w:val="auto"/>
                <w:spacing w:val="0"/>
                <w:sz w:val="24"/>
                <w:szCs w:val="24"/>
              </w:rPr>
            </w:pPr>
            <w:r>
              <w:rPr>
                <w:rFonts w:hint="eastAsia" w:cs="Times New Roman"/>
                <w:color w:val="auto"/>
                <w:spacing w:val="0"/>
                <w:sz w:val="24"/>
                <w:szCs w:val="24"/>
                <w:lang w:val="en-US" w:eastAsia="zh-CN"/>
              </w:rPr>
              <w:t>综上，</w:t>
            </w:r>
            <w:r>
              <w:rPr>
                <w:rFonts w:hint="default" w:ascii="Times New Roman" w:hAnsi="Times New Roman" w:cs="Times New Roman"/>
                <w:color w:val="auto"/>
                <w:spacing w:val="0"/>
                <w:sz w:val="24"/>
                <w:szCs w:val="24"/>
                <w:lang w:val="en-US" w:eastAsia="zh-CN"/>
              </w:rPr>
              <w:t>项目</w:t>
            </w:r>
            <w:r>
              <w:rPr>
                <w:rFonts w:hint="eastAsia" w:cs="Times New Roman"/>
                <w:color w:val="auto"/>
                <w:spacing w:val="0"/>
                <w:sz w:val="24"/>
                <w:szCs w:val="24"/>
                <w:lang w:val="en-US" w:eastAsia="zh-CN"/>
              </w:rPr>
              <w:t>运营期</w:t>
            </w:r>
            <w:r>
              <w:rPr>
                <w:rFonts w:hint="default" w:ascii="Times New Roman" w:hAnsi="Times New Roman" w:cs="Times New Roman"/>
                <w:color w:val="auto"/>
                <w:spacing w:val="0"/>
                <w:sz w:val="24"/>
                <w:szCs w:val="24"/>
                <w:lang w:val="en-US" w:eastAsia="zh-CN"/>
              </w:rPr>
              <w:t>主要污染物</w:t>
            </w:r>
            <w:r>
              <w:rPr>
                <w:rFonts w:hint="default" w:ascii="Times New Roman" w:hAnsi="Times New Roman" w:cs="Times New Roman"/>
                <w:color w:val="auto"/>
                <w:spacing w:val="0"/>
                <w:sz w:val="24"/>
                <w:szCs w:val="24"/>
              </w:rPr>
              <w:t>产生</w:t>
            </w:r>
            <w:r>
              <w:rPr>
                <w:rFonts w:hint="default" w:ascii="Times New Roman" w:hAnsi="Times New Roman" w:cs="Times New Roman"/>
                <w:color w:val="auto"/>
                <w:spacing w:val="0"/>
                <w:sz w:val="24"/>
                <w:szCs w:val="24"/>
                <w:lang w:val="en-US" w:eastAsia="zh-CN"/>
              </w:rPr>
              <w:t>处置</w:t>
            </w:r>
            <w:r>
              <w:rPr>
                <w:rFonts w:hint="default" w:ascii="Times New Roman" w:hAnsi="Times New Roman" w:cs="Times New Roman"/>
                <w:color w:val="auto"/>
                <w:spacing w:val="0"/>
                <w:sz w:val="24"/>
                <w:szCs w:val="24"/>
              </w:rPr>
              <w:t>情况详见</w:t>
            </w:r>
            <w:r>
              <w:rPr>
                <w:rFonts w:hint="default" w:ascii="Times New Roman" w:hAnsi="Times New Roman" w:cs="Times New Roman"/>
                <w:color w:val="auto"/>
                <w:spacing w:val="0"/>
                <w:sz w:val="24"/>
                <w:szCs w:val="24"/>
                <w:lang w:val="en-US" w:eastAsia="zh-CN"/>
              </w:rPr>
              <w:t>下表</w:t>
            </w:r>
            <w:r>
              <w:rPr>
                <w:rFonts w:hint="default" w:ascii="Times New Roman" w:hAnsi="Times New Roman" w:cs="Times New Roman"/>
                <w:color w:val="auto"/>
                <w:spacing w:val="0"/>
                <w:sz w:val="24"/>
                <w:szCs w:val="24"/>
              </w:rPr>
              <w:t>。</w:t>
            </w:r>
          </w:p>
          <w:p w14:paraId="2A5DCA65">
            <w:pPr>
              <w:keepNext/>
              <w:keepLines/>
              <w:pageBreakBefore w:val="0"/>
              <w:widowControl w:val="0"/>
              <w:kinsoku/>
              <w:wordWrap/>
              <w:overflowPunct/>
              <w:topLinePunct w:val="0"/>
              <w:autoSpaceDE/>
              <w:autoSpaceDN/>
              <w:bidi w:val="0"/>
              <w:adjustRightInd/>
              <w:snapToGrid/>
              <w:spacing w:line="480" w:lineRule="atLeast"/>
              <w:jc w:val="center"/>
              <w:textAlignment w:val="auto"/>
              <w:rPr>
                <w:rFonts w:hint="default" w:ascii="Times New Roman" w:hAnsi="Times New Roman" w:eastAsia="宋体" w:cs="Times New Roman"/>
                <w:bCs/>
                <w:color w:val="auto"/>
                <w:spacing w:val="0"/>
                <w:sz w:val="24"/>
                <w:lang w:eastAsia="zh-CN"/>
              </w:rPr>
            </w:pPr>
            <w:bookmarkStart w:id="6" w:name="_Toc2782_WPSOffice_Level2"/>
            <w:bookmarkStart w:id="7" w:name="_Toc14153_WPSOffice_Level3"/>
            <w:r>
              <w:rPr>
                <w:rFonts w:hint="default" w:ascii="Times New Roman" w:hAnsi="Times New Roman" w:cs="Times New Roman"/>
                <w:b/>
                <w:color w:val="auto"/>
                <w:spacing w:val="0"/>
                <w:szCs w:val="21"/>
              </w:rPr>
              <w:t>表2-</w:t>
            </w:r>
            <w:r>
              <w:rPr>
                <w:rFonts w:hint="eastAsia" w:cs="Times New Roman"/>
                <w:b/>
                <w:color w:val="auto"/>
                <w:spacing w:val="0"/>
                <w:szCs w:val="21"/>
                <w:lang w:val="en-US" w:eastAsia="zh-CN"/>
              </w:rPr>
              <w:t>20</w:t>
            </w:r>
            <w:r>
              <w:rPr>
                <w:rFonts w:hint="default" w:ascii="Times New Roman" w:hAnsi="Times New Roman" w:cs="Times New Roman"/>
                <w:b/>
                <w:color w:val="auto"/>
                <w:spacing w:val="0"/>
                <w:szCs w:val="21"/>
                <w:lang w:val="en-US" w:eastAsia="zh-CN"/>
              </w:rPr>
              <w:t xml:space="preserve">  </w:t>
            </w:r>
            <w:r>
              <w:rPr>
                <w:rFonts w:hint="default" w:ascii="Times New Roman" w:hAnsi="Times New Roman" w:cs="Times New Roman"/>
                <w:b/>
                <w:color w:val="auto"/>
                <w:spacing w:val="0"/>
                <w:szCs w:val="21"/>
              </w:rPr>
              <w:t>污染物产生环节一览表</w:t>
            </w:r>
            <w:bookmarkEnd w:id="6"/>
            <w:bookmarkEnd w:id="7"/>
          </w:p>
          <w:tbl>
            <w:tblPr>
              <w:tblStyle w:val="26"/>
              <w:tblW w:w="8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40"/>
              <w:gridCol w:w="800"/>
              <w:gridCol w:w="693"/>
              <w:gridCol w:w="1672"/>
              <w:gridCol w:w="904"/>
              <w:gridCol w:w="3928"/>
            </w:tblGrid>
            <w:tr w14:paraId="097BB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tcBorders>
                    <w:tl2br w:val="nil"/>
                    <w:tr2bl w:val="nil"/>
                  </w:tcBorders>
                  <w:shd w:val="clear" w:color="auto" w:fill="auto"/>
                  <w:noWrap/>
                  <w:vAlign w:val="center"/>
                </w:tcPr>
                <w:p w14:paraId="627526B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类型</w:t>
                  </w:r>
                </w:p>
              </w:tc>
              <w:tc>
                <w:tcPr>
                  <w:tcW w:w="800" w:type="dxa"/>
                  <w:tcBorders>
                    <w:tl2br w:val="nil"/>
                    <w:tr2bl w:val="nil"/>
                  </w:tcBorders>
                  <w:shd w:val="clear" w:color="auto" w:fill="auto"/>
                  <w:vAlign w:val="center"/>
                </w:tcPr>
                <w:p w14:paraId="660C443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365" w:type="dxa"/>
                  <w:gridSpan w:val="2"/>
                  <w:tcBorders>
                    <w:tl2br w:val="nil"/>
                    <w:tr2bl w:val="nil"/>
                  </w:tcBorders>
                  <w:shd w:val="clear" w:color="auto" w:fill="auto"/>
                  <w:vAlign w:val="center"/>
                </w:tcPr>
                <w:p w14:paraId="542CA5D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污染类型</w:t>
                  </w:r>
                </w:p>
              </w:tc>
              <w:tc>
                <w:tcPr>
                  <w:tcW w:w="904" w:type="dxa"/>
                  <w:tcBorders>
                    <w:tl2br w:val="nil"/>
                    <w:tr2bl w:val="nil"/>
                  </w:tcBorders>
                  <w:shd w:val="clear" w:color="auto" w:fill="auto"/>
                  <w:vAlign w:val="center"/>
                </w:tcPr>
                <w:p w14:paraId="53028B3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编号</w:t>
                  </w:r>
                </w:p>
              </w:tc>
              <w:tc>
                <w:tcPr>
                  <w:tcW w:w="3928" w:type="dxa"/>
                  <w:tcBorders>
                    <w:tl2br w:val="nil"/>
                    <w:tr2bl w:val="nil"/>
                  </w:tcBorders>
                  <w:shd w:val="clear" w:color="auto" w:fill="auto"/>
                  <w:vAlign w:val="center"/>
                </w:tcPr>
                <w:p w14:paraId="2DF6DB9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污染因子</w:t>
                  </w:r>
                </w:p>
              </w:tc>
            </w:tr>
            <w:tr w14:paraId="2B096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restart"/>
                  <w:tcBorders>
                    <w:tl2br w:val="nil"/>
                    <w:tr2bl w:val="nil"/>
                  </w:tcBorders>
                  <w:shd w:val="clear" w:color="auto" w:fill="auto"/>
                  <w:noWrap/>
                  <w:vAlign w:val="center"/>
                </w:tcPr>
                <w:p w14:paraId="512E4B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废气</w:t>
                  </w:r>
                </w:p>
              </w:tc>
              <w:tc>
                <w:tcPr>
                  <w:tcW w:w="800" w:type="dxa"/>
                  <w:tcBorders>
                    <w:tl2br w:val="nil"/>
                    <w:tr2bl w:val="nil"/>
                  </w:tcBorders>
                  <w:shd w:val="clear" w:color="auto" w:fill="auto"/>
                  <w:vAlign w:val="center"/>
                </w:tcPr>
                <w:p w14:paraId="31D121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365" w:type="dxa"/>
                  <w:gridSpan w:val="2"/>
                  <w:tcBorders>
                    <w:tl2br w:val="nil"/>
                    <w:tr2bl w:val="nil"/>
                  </w:tcBorders>
                  <w:shd w:val="clear" w:color="auto" w:fill="auto"/>
                  <w:vAlign w:val="center"/>
                </w:tcPr>
                <w:p w14:paraId="314A26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分选粉尘</w:t>
                  </w:r>
                </w:p>
              </w:tc>
              <w:tc>
                <w:tcPr>
                  <w:tcW w:w="904" w:type="dxa"/>
                  <w:tcBorders>
                    <w:tl2br w:val="nil"/>
                    <w:tr2bl w:val="nil"/>
                  </w:tcBorders>
                  <w:shd w:val="clear" w:color="auto" w:fill="auto"/>
                  <w:vAlign w:val="center"/>
                </w:tcPr>
                <w:p w14:paraId="227CAC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G1-1</w:t>
                  </w:r>
                </w:p>
              </w:tc>
              <w:tc>
                <w:tcPr>
                  <w:tcW w:w="3928" w:type="dxa"/>
                  <w:tcBorders>
                    <w:tl2br w:val="nil"/>
                    <w:tr2bl w:val="nil"/>
                  </w:tcBorders>
                  <w:shd w:val="clear" w:color="auto" w:fill="auto"/>
                  <w:vAlign w:val="center"/>
                </w:tcPr>
                <w:p w14:paraId="66ACB8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r>
            <w:tr w14:paraId="2C7A1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25F089B1">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106BBE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2365" w:type="dxa"/>
                  <w:gridSpan w:val="2"/>
                  <w:tcBorders>
                    <w:tl2br w:val="nil"/>
                    <w:tr2bl w:val="nil"/>
                  </w:tcBorders>
                  <w:shd w:val="clear" w:color="auto" w:fill="auto"/>
                  <w:vAlign w:val="center"/>
                </w:tcPr>
                <w:p w14:paraId="2579E3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热解炉尾气</w:t>
                  </w:r>
                </w:p>
              </w:tc>
              <w:tc>
                <w:tcPr>
                  <w:tcW w:w="904" w:type="dxa"/>
                  <w:tcBorders>
                    <w:tl2br w:val="nil"/>
                    <w:tr2bl w:val="nil"/>
                  </w:tcBorders>
                  <w:shd w:val="clear" w:color="auto" w:fill="auto"/>
                  <w:vAlign w:val="center"/>
                </w:tcPr>
                <w:p w14:paraId="1F48CC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G1-2</w:t>
                  </w:r>
                </w:p>
              </w:tc>
              <w:tc>
                <w:tcPr>
                  <w:tcW w:w="3928" w:type="dxa"/>
                  <w:tcBorders>
                    <w:tl2br w:val="nil"/>
                    <w:tr2bl w:val="nil"/>
                  </w:tcBorders>
                  <w:shd w:val="clear" w:color="auto" w:fill="auto"/>
                  <w:vAlign w:val="center"/>
                </w:tcPr>
                <w:p w14:paraId="47B08C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二氧化硫</w:t>
                  </w: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氮氧化物</w:t>
                  </w:r>
                  <w:r>
                    <w:rPr>
                      <w:rFonts w:hint="eastAsia" w:cs="Times New Roman"/>
                      <w:i w:val="0"/>
                      <w:iCs w:val="0"/>
                      <w:color w:val="000000"/>
                      <w:sz w:val="21"/>
                      <w:szCs w:val="21"/>
                      <w:u w:val="none"/>
                      <w:lang w:eastAsia="zh-CN"/>
                    </w:rPr>
                    <w:t>、</w:t>
                  </w:r>
                  <w:r>
                    <w:rPr>
                      <w:rFonts w:hint="default" w:ascii="Times New Roman" w:hAnsi="Times New Roman" w:eastAsia="宋体" w:cs="Times New Roman"/>
                      <w:i w:val="0"/>
                      <w:iCs w:val="0"/>
                      <w:color w:val="000000"/>
                      <w:kern w:val="0"/>
                      <w:sz w:val="21"/>
                      <w:szCs w:val="21"/>
                      <w:u w:val="none"/>
                      <w:lang w:val="en-US" w:eastAsia="zh-CN" w:bidi="ar"/>
                    </w:rPr>
                    <w:t>颗粒物（</w:t>
                  </w:r>
                  <w:r>
                    <w:rPr>
                      <w:rFonts w:hint="eastAsia" w:cs="Times New Roman"/>
                      <w:i w:val="0"/>
                      <w:iCs w:val="0"/>
                      <w:color w:val="000000"/>
                      <w:kern w:val="0"/>
                      <w:sz w:val="21"/>
                      <w:szCs w:val="21"/>
                      <w:u w:val="none"/>
                      <w:lang w:val="en-US" w:eastAsia="zh-CN" w:bidi="ar"/>
                    </w:rPr>
                    <w:t>含炭黑尘、铜、锡等</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cs="Times New Roman"/>
                      <w:i w:val="0"/>
                      <w:iCs w:val="0"/>
                      <w:color w:val="000000"/>
                      <w:sz w:val="21"/>
                      <w:szCs w:val="21"/>
                      <w:u w:val="none"/>
                      <w:lang w:eastAsia="zh-CN"/>
                    </w:rPr>
                    <w:t>、</w:t>
                  </w:r>
                  <w:r>
                    <w:rPr>
                      <w:rFonts w:hint="default" w:ascii="Times New Roman" w:hAnsi="Times New Roman" w:eastAsia="宋体" w:cs="Times New Roman"/>
                      <w:i w:val="0"/>
                      <w:iCs w:val="0"/>
                      <w:color w:val="000000"/>
                      <w:kern w:val="0"/>
                      <w:sz w:val="21"/>
                      <w:szCs w:val="21"/>
                      <w:u w:val="none"/>
                      <w:lang w:val="en-US" w:eastAsia="zh-CN" w:bidi="ar"/>
                    </w:rPr>
                    <w:t>锡及其化合物</w:t>
                  </w:r>
                  <w:r>
                    <w:rPr>
                      <w:rFonts w:hint="eastAsia" w:cs="Times New Roman"/>
                      <w:i w:val="0"/>
                      <w:iCs w:val="0"/>
                      <w:color w:val="000000"/>
                      <w:sz w:val="21"/>
                      <w:szCs w:val="21"/>
                      <w:u w:val="none"/>
                      <w:lang w:eastAsia="zh-CN"/>
                    </w:rPr>
                    <w:t>、</w:t>
                  </w:r>
                  <w:r>
                    <w:rPr>
                      <w:rFonts w:hint="default" w:ascii="Times New Roman" w:hAnsi="Times New Roman" w:eastAsia="宋体" w:cs="Times New Roman"/>
                      <w:i w:val="0"/>
                      <w:iCs w:val="0"/>
                      <w:color w:val="000000"/>
                      <w:kern w:val="0"/>
                      <w:sz w:val="21"/>
                      <w:szCs w:val="21"/>
                      <w:u w:val="none"/>
                      <w:lang w:val="en-US" w:eastAsia="zh-CN" w:bidi="ar"/>
                    </w:rPr>
                    <w:t>氟化物</w:t>
                  </w:r>
                  <w:r>
                    <w:rPr>
                      <w:rFonts w:hint="eastAsia" w:cs="Times New Roman"/>
                      <w:i w:val="0"/>
                      <w:iCs w:val="0"/>
                      <w:color w:val="000000"/>
                      <w:sz w:val="21"/>
                      <w:szCs w:val="21"/>
                      <w:u w:val="none"/>
                      <w:lang w:eastAsia="zh-CN"/>
                    </w:rPr>
                    <w:t>、</w:t>
                  </w:r>
                  <w:r>
                    <w:rPr>
                      <w:rFonts w:hint="default" w:ascii="Times New Roman" w:hAnsi="Times New Roman" w:eastAsia="宋体" w:cs="Times New Roman"/>
                      <w:i w:val="0"/>
                      <w:iCs w:val="0"/>
                      <w:color w:val="000000"/>
                      <w:kern w:val="0"/>
                      <w:sz w:val="21"/>
                      <w:szCs w:val="21"/>
                      <w:u w:val="none"/>
                      <w:lang w:val="en-US" w:eastAsia="zh-CN" w:bidi="ar"/>
                    </w:rPr>
                    <w:t>非甲烷总烃</w:t>
                  </w:r>
                </w:p>
              </w:tc>
            </w:tr>
            <w:tr w14:paraId="4F341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1451140A">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1A4B49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2365" w:type="dxa"/>
                  <w:gridSpan w:val="2"/>
                  <w:tcBorders>
                    <w:tl2br w:val="nil"/>
                    <w:tr2bl w:val="nil"/>
                  </w:tcBorders>
                  <w:shd w:val="clear" w:color="auto" w:fill="auto"/>
                  <w:vAlign w:val="center"/>
                </w:tcPr>
                <w:p w14:paraId="4BF2E0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油罐呼吸气</w:t>
                  </w:r>
                </w:p>
              </w:tc>
              <w:tc>
                <w:tcPr>
                  <w:tcW w:w="904" w:type="dxa"/>
                  <w:tcBorders>
                    <w:tl2br w:val="nil"/>
                    <w:tr2bl w:val="nil"/>
                  </w:tcBorders>
                  <w:shd w:val="clear" w:color="auto" w:fill="auto"/>
                  <w:vAlign w:val="center"/>
                </w:tcPr>
                <w:p w14:paraId="190CC4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G</w:t>
                  </w:r>
                  <w:r>
                    <w:rPr>
                      <w:rFonts w:hint="eastAsia" w:ascii="Times New Roman" w:hAnsi="Times New Roman" w:eastAsia="宋体" w:cs="Times New Roman"/>
                      <w:i w:val="0"/>
                      <w:iCs w:val="0"/>
                      <w:color w:val="000000"/>
                      <w:kern w:val="0"/>
                      <w:sz w:val="21"/>
                      <w:szCs w:val="21"/>
                      <w:u w:val="none"/>
                      <w:vertAlign w:val="subscript"/>
                      <w:lang w:val="en-US" w:eastAsia="zh-CN" w:bidi="ar"/>
                    </w:rPr>
                    <w:t>油罐</w:t>
                  </w:r>
                </w:p>
              </w:tc>
              <w:tc>
                <w:tcPr>
                  <w:tcW w:w="3928" w:type="dxa"/>
                  <w:tcBorders>
                    <w:tl2br w:val="nil"/>
                    <w:tr2bl w:val="nil"/>
                  </w:tcBorders>
                  <w:shd w:val="clear" w:color="auto" w:fill="auto"/>
                  <w:vAlign w:val="center"/>
                </w:tcPr>
                <w:p w14:paraId="3E5AB9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r>
            <w:tr w14:paraId="4ED39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79F0D01D">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2C192B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2365" w:type="dxa"/>
                  <w:gridSpan w:val="2"/>
                  <w:tcBorders>
                    <w:tl2br w:val="nil"/>
                    <w:tr2bl w:val="nil"/>
                  </w:tcBorders>
                  <w:shd w:val="clear" w:color="auto" w:fill="auto"/>
                  <w:vAlign w:val="center"/>
                </w:tcPr>
                <w:p w14:paraId="665684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燃烧室不凝气燃烧废气</w:t>
                  </w:r>
                </w:p>
              </w:tc>
              <w:tc>
                <w:tcPr>
                  <w:tcW w:w="904" w:type="dxa"/>
                  <w:tcBorders>
                    <w:tl2br w:val="nil"/>
                    <w:tr2bl w:val="nil"/>
                  </w:tcBorders>
                  <w:shd w:val="clear" w:color="auto" w:fill="auto"/>
                  <w:vAlign w:val="center"/>
                </w:tcPr>
                <w:p w14:paraId="14301F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G1-3</w:t>
                  </w:r>
                </w:p>
              </w:tc>
              <w:tc>
                <w:tcPr>
                  <w:tcW w:w="3928" w:type="dxa"/>
                  <w:tcBorders>
                    <w:tl2br w:val="nil"/>
                    <w:tr2bl w:val="nil"/>
                  </w:tcBorders>
                  <w:shd w:val="clear" w:color="auto" w:fill="auto"/>
                  <w:vAlign w:val="center"/>
                </w:tcPr>
                <w:p w14:paraId="0C136B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r>
                    <w:rPr>
                      <w:rFonts w:hint="eastAsia" w:cs="Times New Roman"/>
                      <w:i w:val="0"/>
                      <w:iCs w:val="0"/>
                      <w:color w:val="000000"/>
                      <w:sz w:val="21"/>
                      <w:szCs w:val="21"/>
                      <w:u w:val="none"/>
                      <w:lang w:eastAsia="zh-CN"/>
                    </w:rPr>
                    <w:t>、</w:t>
                  </w: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非甲烷总烃</w:t>
                  </w:r>
                </w:p>
              </w:tc>
            </w:tr>
            <w:tr w14:paraId="3118E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108CE900">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681AA0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365" w:type="dxa"/>
                  <w:gridSpan w:val="2"/>
                  <w:tcBorders>
                    <w:tl2br w:val="nil"/>
                    <w:tr2bl w:val="nil"/>
                  </w:tcBorders>
                  <w:shd w:val="clear" w:color="auto" w:fill="auto"/>
                  <w:vAlign w:val="center"/>
                </w:tcPr>
                <w:p w14:paraId="08C8CC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开炉废气</w:t>
                  </w:r>
                </w:p>
              </w:tc>
              <w:tc>
                <w:tcPr>
                  <w:tcW w:w="904" w:type="dxa"/>
                  <w:tcBorders>
                    <w:tl2br w:val="nil"/>
                    <w:tr2bl w:val="nil"/>
                  </w:tcBorders>
                  <w:shd w:val="clear" w:color="auto" w:fill="auto"/>
                  <w:vAlign w:val="center"/>
                </w:tcPr>
                <w:p w14:paraId="015DF5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G1-4</w:t>
                  </w:r>
                </w:p>
              </w:tc>
              <w:tc>
                <w:tcPr>
                  <w:tcW w:w="3928" w:type="dxa"/>
                  <w:tcBorders>
                    <w:tl2br w:val="nil"/>
                    <w:tr2bl w:val="nil"/>
                  </w:tcBorders>
                  <w:shd w:val="clear" w:color="auto" w:fill="auto"/>
                  <w:vAlign w:val="center"/>
                </w:tcPr>
                <w:p w14:paraId="2FF143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二氧化硫</w:t>
                  </w: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氮氧化物</w:t>
                  </w:r>
                  <w:r>
                    <w:rPr>
                      <w:rFonts w:hint="eastAsia" w:cs="Times New Roman"/>
                      <w:i w:val="0"/>
                      <w:iCs w:val="0"/>
                      <w:color w:val="000000"/>
                      <w:sz w:val="21"/>
                      <w:szCs w:val="21"/>
                      <w:u w:val="none"/>
                      <w:lang w:eastAsia="zh-CN"/>
                    </w:rPr>
                    <w:t>、</w:t>
                  </w:r>
                  <w:r>
                    <w:rPr>
                      <w:rFonts w:hint="default" w:ascii="Times New Roman" w:hAnsi="Times New Roman" w:eastAsia="宋体" w:cs="Times New Roman"/>
                      <w:i w:val="0"/>
                      <w:iCs w:val="0"/>
                      <w:color w:val="000000"/>
                      <w:kern w:val="0"/>
                      <w:sz w:val="21"/>
                      <w:szCs w:val="21"/>
                      <w:u w:val="none"/>
                      <w:lang w:val="en-US" w:eastAsia="zh-CN" w:bidi="ar"/>
                    </w:rPr>
                    <w:t>颗粒物（</w:t>
                  </w:r>
                  <w:r>
                    <w:rPr>
                      <w:rFonts w:hint="eastAsia" w:cs="Times New Roman"/>
                      <w:i w:val="0"/>
                      <w:iCs w:val="0"/>
                      <w:color w:val="000000"/>
                      <w:kern w:val="0"/>
                      <w:sz w:val="21"/>
                      <w:szCs w:val="21"/>
                      <w:u w:val="none"/>
                      <w:lang w:val="en-US" w:eastAsia="zh-CN" w:bidi="ar"/>
                    </w:rPr>
                    <w:t>含炭黑尘、铜、锡等</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cs="Times New Roman"/>
                      <w:i w:val="0"/>
                      <w:iCs w:val="0"/>
                      <w:color w:val="000000"/>
                      <w:sz w:val="21"/>
                      <w:szCs w:val="21"/>
                      <w:u w:val="none"/>
                      <w:lang w:eastAsia="zh-CN"/>
                    </w:rPr>
                    <w:t>、</w:t>
                  </w:r>
                  <w:r>
                    <w:rPr>
                      <w:rFonts w:hint="default" w:ascii="Times New Roman" w:hAnsi="Times New Roman" w:eastAsia="宋体" w:cs="Times New Roman"/>
                      <w:i w:val="0"/>
                      <w:iCs w:val="0"/>
                      <w:color w:val="000000"/>
                      <w:kern w:val="0"/>
                      <w:sz w:val="21"/>
                      <w:szCs w:val="21"/>
                      <w:u w:val="none"/>
                      <w:lang w:val="en-US" w:eastAsia="zh-CN" w:bidi="ar"/>
                    </w:rPr>
                    <w:t>锡及其化合物</w:t>
                  </w:r>
                  <w:r>
                    <w:rPr>
                      <w:rFonts w:hint="eastAsia" w:cs="Times New Roman"/>
                      <w:i w:val="0"/>
                      <w:iCs w:val="0"/>
                      <w:color w:val="000000"/>
                      <w:sz w:val="21"/>
                      <w:szCs w:val="21"/>
                      <w:u w:val="none"/>
                      <w:lang w:eastAsia="zh-CN"/>
                    </w:rPr>
                    <w:t>、</w:t>
                  </w:r>
                  <w:r>
                    <w:rPr>
                      <w:rFonts w:hint="default" w:ascii="Times New Roman" w:hAnsi="Times New Roman" w:eastAsia="宋体" w:cs="Times New Roman"/>
                      <w:i w:val="0"/>
                      <w:iCs w:val="0"/>
                      <w:color w:val="000000"/>
                      <w:kern w:val="0"/>
                      <w:sz w:val="21"/>
                      <w:szCs w:val="21"/>
                      <w:u w:val="none"/>
                      <w:lang w:val="en-US" w:eastAsia="zh-CN" w:bidi="ar"/>
                    </w:rPr>
                    <w:t>氟化物</w:t>
                  </w:r>
                  <w:r>
                    <w:rPr>
                      <w:rFonts w:hint="eastAsia" w:cs="Times New Roman"/>
                      <w:i w:val="0"/>
                      <w:iCs w:val="0"/>
                      <w:color w:val="000000"/>
                      <w:sz w:val="21"/>
                      <w:szCs w:val="21"/>
                      <w:u w:val="none"/>
                      <w:lang w:eastAsia="zh-CN"/>
                    </w:rPr>
                    <w:t>、</w:t>
                  </w:r>
                  <w:r>
                    <w:rPr>
                      <w:rFonts w:hint="default" w:ascii="Times New Roman" w:hAnsi="Times New Roman" w:eastAsia="宋体" w:cs="Times New Roman"/>
                      <w:i w:val="0"/>
                      <w:iCs w:val="0"/>
                      <w:color w:val="000000"/>
                      <w:kern w:val="0"/>
                      <w:sz w:val="21"/>
                      <w:szCs w:val="21"/>
                      <w:u w:val="none"/>
                      <w:lang w:val="en-US" w:eastAsia="zh-CN" w:bidi="ar"/>
                    </w:rPr>
                    <w:t>非甲烷总烃</w:t>
                  </w:r>
                </w:p>
              </w:tc>
            </w:tr>
            <w:tr w14:paraId="23461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1BC5973A">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587B9F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693" w:type="dxa"/>
                  <w:vMerge w:val="restart"/>
                  <w:tcBorders>
                    <w:tl2br w:val="nil"/>
                    <w:tr2bl w:val="nil"/>
                  </w:tcBorders>
                  <w:shd w:val="clear" w:color="auto" w:fill="auto"/>
                  <w:vAlign w:val="center"/>
                </w:tcPr>
                <w:p w14:paraId="1ACB87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进仓粉尘</w:t>
                  </w:r>
                </w:p>
              </w:tc>
              <w:tc>
                <w:tcPr>
                  <w:tcW w:w="1672" w:type="dxa"/>
                  <w:tcBorders>
                    <w:tl2br w:val="nil"/>
                    <w:tr2bl w:val="nil"/>
                  </w:tcBorders>
                  <w:shd w:val="clear" w:color="auto" w:fill="auto"/>
                  <w:vAlign w:val="center"/>
                </w:tcPr>
                <w:p w14:paraId="79DCB1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w:t>
                  </w:r>
                </w:p>
              </w:tc>
              <w:tc>
                <w:tcPr>
                  <w:tcW w:w="904" w:type="dxa"/>
                  <w:vMerge w:val="restart"/>
                  <w:tcBorders>
                    <w:tl2br w:val="nil"/>
                    <w:tr2bl w:val="nil"/>
                  </w:tcBorders>
                  <w:shd w:val="clear" w:color="auto" w:fill="auto"/>
                  <w:vAlign w:val="center"/>
                </w:tcPr>
                <w:p w14:paraId="08BF2B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G1-5</w:t>
                  </w:r>
                </w:p>
              </w:tc>
              <w:tc>
                <w:tcPr>
                  <w:tcW w:w="3928" w:type="dxa"/>
                  <w:vMerge w:val="restart"/>
                  <w:tcBorders>
                    <w:tl2br w:val="nil"/>
                    <w:tr2bl w:val="nil"/>
                  </w:tcBorders>
                  <w:shd w:val="clear" w:color="auto" w:fill="auto"/>
                  <w:vAlign w:val="center"/>
                </w:tcPr>
                <w:p w14:paraId="552A38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r>
            <w:tr w14:paraId="4FDEB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488883EB">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118913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693" w:type="dxa"/>
                  <w:vMerge w:val="continue"/>
                  <w:tcBorders>
                    <w:tl2br w:val="nil"/>
                    <w:tr2bl w:val="nil"/>
                  </w:tcBorders>
                  <w:shd w:val="clear" w:color="auto" w:fill="auto"/>
                  <w:vAlign w:val="center"/>
                </w:tcPr>
                <w:p w14:paraId="7AC95BD4">
                  <w:pPr>
                    <w:jc w:val="center"/>
                    <w:rPr>
                      <w:rFonts w:hint="default" w:ascii="Times New Roman" w:hAnsi="Times New Roman" w:eastAsia="宋体" w:cs="Times New Roman"/>
                      <w:i w:val="0"/>
                      <w:iCs w:val="0"/>
                      <w:color w:val="000000"/>
                      <w:sz w:val="21"/>
                      <w:szCs w:val="21"/>
                      <w:u w:val="none"/>
                    </w:rPr>
                  </w:pPr>
                </w:p>
              </w:tc>
              <w:tc>
                <w:tcPr>
                  <w:tcW w:w="1672" w:type="dxa"/>
                  <w:tcBorders>
                    <w:tl2br w:val="nil"/>
                    <w:tr2bl w:val="nil"/>
                  </w:tcBorders>
                  <w:shd w:val="clear" w:color="auto" w:fill="auto"/>
                  <w:vAlign w:val="center"/>
                </w:tcPr>
                <w:p w14:paraId="673D74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3</w:t>
                  </w:r>
                </w:p>
              </w:tc>
              <w:tc>
                <w:tcPr>
                  <w:tcW w:w="904" w:type="dxa"/>
                  <w:vMerge w:val="continue"/>
                  <w:tcBorders>
                    <w:tl2br w:val="nil"/>
                    <w:tr2bl w:val="nil"/>
                  </w:tcBorders>
                  <w:shd w:val="clear" w:color="auto" w:fill="auto"/>
                  <w:vAlign w:val="center"/>
                </w:tcPr>
                <w:p w14:paraId="0F29C693">
                  <w:pPr>
                    <w:jc w:val="center"/>
                    <w:rPr>
                      <w:rFonts w:hint="default" w:ascii="Times New Roman" w:hAnsi="Times New Roman" w:eastAsia="宋体" w:cs="Times New Roman"/>
                      <w:i w:val="0"/>
                      <w:iCs w:val="0"/>
                      <w:color w:val="000000"/>
                      <w:sz w:val="21"/>
                      <w:szCs w:val="21"/>
                      <w:u w:val="none"/>
                    </w:rPr>
                  </w:pPr>
                </w:p>
              </w:tc>
              <w:tc>
                <w:tcPr>
                  <w:tcW w:w="3928" w:type="dxa"/>
                  <w:vMerge w:val="continue"/>
                  <w:tcBorders>
                    <w:tl2br w:val="nil"/>
                    <w:tr2bl w:val="nil"/>
                  </w:tcBorders>
                  <w:shd w:val="clear" w:color="auto" w:fill="auto"/>
                  <w:vAlign w:val="center"/>
                </w:tcPr>
                <w:p w14:paraId="226D5676">
                  <w:pPr>
                    <w:jc w:val="center"/>
                    <w:rPr>
                      <w:rFonts w:hint="eastAsia" w:ascii="宋体" w:hAnsi="宋体" w:eastAsia="宋体" w:cs="宋体"/>
                      <w:i w:val="0"/>
                      <w:iCs w:val="0"/>
                      <w:color w:val="000000"/>
                      <w:sz w:val="21"/>
                      <w:szCs w:val="21"/>
                      <w:u w:val="none"/>
                    </w:rPr>
                  </w:pPr>
                </w:p>
              </w:tc>
            </w:tr>
            <w:tr w14:paraId="08950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1C1BD3CE">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32D624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693" w:type="dxa"/>
                  <w:vMerge w:val="continue"/>
                  <w:tcBorders>
                    <w:tl2br w:val="nil"/>
                    <w:tr2bl w:val="nil"/>
                  </w:tcBorders>
                  <w:shd w:val="clear" w:color="auto" w:fill="auto"/>
                  <w:vAlign w:val="center"/>
                </w:tcPr>
                <w:p w14:paraId="479A6223">
                  <w:pPr>
                    <w:jc w:val="center"/>
                    <w:rPr>
                      <w:rFonts w:hint="default" w:ascii="Times New Roman" w:hAnsi="Times New Roman" w:eastAsia="宋体" w:cs="Times New Roman"/>
                      <w:i w:val="0"/>
                      <w:iCs w:val="0"/>
                      <w:color w:val="000000"/>
                      <w:sz w:val="21"/>
                      <w:szCs w:val="21"/>
                      <w:u w:val="none"/>
                    </w:rPr>
                  </w:pPr>
                </w:p>
              </w:tc>
              <w:tc>
                <w:tcPr>
                  <w:tcW w:w="1672" w:type="dxa"/>
                  <w:tcBorders>
                    <w:tl2br w:val="nil"/>
                    <w:tr2bl w:val="nil"/>
                  </w:tcBorders>
                  <w:shd w:val="clear" w:color="auto" w:fill="auto"/>
                  <w:vAlign w:val="center"/>
                </w:tcPr>
                <w:p w14:paraId="6F3009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4</w:t>
                  </w:r>
                </w:p>
              </w:tc>
              <w:tc>
                <w:tcPr>
                  <w:tcW w:w="904" w:type="dxa"/>
                  <w:vMerge w:val="continue"/>
                  <w:tcBorders>
                    <w:tl2br w:val="nil"/>
                    <w:tr2bl w:val="nil"/>
                  </w:tcBorders>
                  <w:shd w:val="clear" w:color="auto" w:fill="auto"/>
                  <w:vAlign w:val="center"/>
                </w:tcPr>
                <w:p w14:paraId="2E0ED235">
                  <w:pPr>
                    <w:jc w:val="center"/>
                    <w:rPr>
                      <w:rFonts w:hint="default" w:ascii="Times New Roman" w:hAnsi="Times New Roman" w:eastAsia="宋体" w:cs="Times New Roman"/>
                      <w:i w:val="0"/>
                      <w:iCs w:val="0"/>
                      <w:color w:val="000000"/>
                      <w:sz w:val="21"/>
                      <w:szCs w:val="21"/>
                      <w:u w:val="none"/>
                    </w:rPr>
                  </w:pPr>
                </w:p>
              </w:tc>
              <w:tc>
                <w:tcPr>
                  <w:tcW w:w="3928" w:type="dxa"/>
                  <w:vMerge w:val="continue"/>
                  <w:tcBorders>
                    <w:tl2br w:val="nil"/>
                    <w:tr2bl w:val="nil"/>
                  </w:tcBorders>
                  <w:shd w:val="clear" w:color="auto" w:fill="auto"/>
                  <w:vAlign w:val="center"/>
                </w:tcPr>
                <w:p w14:paraId="70C15664">
                  <w:pPr>
                    <w:jc w:val="center"/>
                    <w:rPr>
                      <w:rFonts w:hint="eastAsia" w:ascii="宋体" w:hAnsi="宋体" w:eastAsia="宋体" w:cs="宋体"/>
                      <w:i w:val="0"/>
                      <w:iCs w:val="0"/>
                      <w:color w:val="000000"/>
                      <w:sz w:val="21"/>
                      <w:szCs w:val="21"/>
                      <w:u w:val="none"/>
                    </w:rPr>
                  </w:pPr>
                </w:p>
              </w:tc>
            </w:tr>
            <w:tr w14:paraId="33F35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3344078A">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2D91F1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693" w:type="dxa"/>
                  <w:vMerge w:val="continue"/>
                  <w:tcBorders>
                    <w:tl2br w:val="nil"/>
                    <w:tr2bl w:val="nil"/>
                  </w:tcBorders>
                  <w:shd w:val="clear" w:color="auto" w:fill="auto"/>
                  <w:vAlign w:val="center"/>
                </w:tcPr>
                <w:p w14:paraId="6E8B357B">
                  <w:pPr>
                    <w:jc w:val="center"/>
                    <w:rPr>
                      <w:rFonts w:hint="default" w:ascii="Times New Roman" w:hAnsi="Times New Roman" w:eastAsia="宋体" w:cs="Times New Roman"/>
                      <w:i w:val="0"/>
                      <w:iCs w:val="0"/>
                      <w:color w:val="000000"/>
                      <w:sz w:val="21"/>
                      <w:szCs w:val="21"/>
                      <w:u w:val="none"/>
                    </w:rPr>
                  </w:pPr>
                </w:p>
              </w:tc>
              <w:tc>
                <w:tcPr>
                  <w:tcW w:w="1672" w:type="dxa"/>
                  <w:tcBorders>
                    <w:tl2br w:val="nil"/>
                    <w:tr2bl w:val="nil"/>
                  </w:tcBorders>
                  <w:shd w:val="clear" w:color="auto" w:fill="auto"/>
                  <w:vAlign w:val="center"/>
                </w:tcPr>
                <w:p w14:paraId="3A2AC2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5</w:t>
                  </w:r>
                </w:p>
              </w:tc>
              <w:tc>
                <w:tcPr>
                  <w:tcW w:w="904" w:type="dxa"/>
                  <w:vMerge w:val="continue"/>
                  <w:tcBorders>
                    <w:tl2br w:val="nil"/>
                    <w:tr2bl w:val="nil"/>
                  </w:tcBorders>
                  <w:shd w:val="clear" w:color="auto" w:fill="auto"/>
                  <w:vAlign w:val="center"/>
                </w:tcPr>
                <w:p w14:paraId="544D5551">
                  <w:pPr>
                    <w:jc w:val="center"/>
                    <w:rPr>
                      <w:rFonts w:hint="default" w:ascii="Times New Roman" w:hAnsi="Times New Roman" w:eastAsia="宋体" w:cs="Times New Roman"/>
                      <w:i w:val="0"/>
                      <w:iCs w:val="0"/>
                      <w:color w:val="000000"/>
                      <w:sz w:val="21"/>
                      <w:szCs w:val="21"/>
                      <w:u w:val="none"/>
                    </w:rPr>
                  </w:pPr>
                </w:p>
              </w:tc>
              <w:tc>
                <w:tcPr>
                  <w:tcW w:w="3928" w:type="dxa"/>
                  <w:vMerge w:val="continue"/>
                  <w:tcBorders>
                    <w:tl2br w:val="nil"/>
                    <w:tr2bl w:val="nil"/>
                  </w:tcBorders>
                  <w:shd w:val="clear" w:color="auto" w:fill="auto"/>
                  <w:vAlign w:val="center"/>
                </w:tcPr>
                <w:p w14:paraId="317FC9A8">
                  <w:pPr>
                    <w:jc w:val="center"/>
                    <w:rPr>
                      <w:rFonts w:hint="eastAsia" w:ascii="宋体" w:hAnsi="宋体" w:eastAsia="宋体" w:cs="宋体"/>
                      <w:i w:val="0"/>
                      <w:iCs w:val="0"/>
                      <w:color w:val="000000"/>
                      <w:sz w:val="21"/>
                      <w:szCs w:val="21"/>
                      <w:u w:val="none"/>
                    </w:rPr>
                  </w:pPr>
                </w:p>
              </w:tc>
            </w:tr>
            <w:tr w14:paraId="3CF57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4A642560">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5BF17C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693" w:type="dxa"/>
                  <w:vMerge w:val="continue"/>
                  <w:tcBorders>
                    <w:tl2br w:val="nil"/>
                    <w:tr2bl w:val="nil"/>
                  </w:tcBorders>
                  <w:shd w:val="clear" w:color="auto" w:fill="auto"/>
                  <w:vAlign w:val="center"/>
                </w:tcPr>
                <w:p w14:paraId="04022EA5">
                  <w:pPr>
                    <w:jc w:val="center"/>
                    <w:rPr>
                      <w:rFonts w:hint="default" w:ascii="Times New Roman" w:hAnsi="Times New Roman" w:eastAsia="宋体" w:cs="Times New Roman"/>
                      <w:i w:val="0"/>
                      <w:iCs w:val="0"/>
                      <w:color w:val="000000"/>
                      <w:sz w:val="21"/>
                      <w:szCs w:val="21"/>
                      <w:u w:val="none"/>
                    </w:rPr>
                  </w:pPr>
                </w:p>
              </w:tc>
              <w:tc>
                <w:tcPr>
                  <w:tcW w:w="1672" w:type="dxa"/>
                  <w:tcBorders>
                    <w:tl2br w:val="nil"/>
                    <w:tr2bl w:val="nil"/>
                  </w:tcBorders>
                  <w:shd w:val="clear" w:color="auto" w:fill="auto"/>
                  <w:vAlign w:val="center"/>
                </w:tcPr>
                <w:p w14:paraId="01B4AC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6</w:t>
                  </w:r>
                </w:p>
              </w:tc>
              <w:tc>
                <w:tcPr>
                  <w:tcW w:w="904" w:type="dxa"/>
                  <w:vMerge w:val="continue"/>
                  <w:tcBorders>
                    <w:tl2br w:val="nil"/>
                    <w:tr2bl w:val="nil"/>
                  </w:tcBorders>
                  <w:shd w:val="clear" w:color="auto" w:fill="auto"/>
                  <w:vAlign w:val="center"/>
                </w:tcPr>
                <w:p w14:paraId="58EC060B">
                  <w:pPr>
                    <w:jc w:val="center"/>
                    <w:rPr>
                      <w:rFonts w:hint="default" w:ascii="Times New Roman" w:hAnsi="Times New Roman" w:eastAsia="宋体" w:cs="Times New Roman"/>
                      <w:i w:val="0"/>
                      <w:iCs w:val="0"/>
                      <w:color w:val="000000"/>
                      <w:sz w:val="21"/>
                      <w:szCs w:val="21"/>
                      <w:u w:val="none"/>
                    </w:rPr>
                  </w:pPr>
                </w:p>
              </w:tc>
              <w:tc>
                <w:tcPr>
                  <w:tcW w:w="3928" w:type="dxa"/>
                  <w:vMerge w:val="continue"/>
                  <w:tcBorders>
                    <w:tl2br w:val="nil"/>
                    <w:tr2bl w:val="nil"/>
                  </w:tcBorders>
                  <w:shd w:val="clear" w:color="auto" w:fill="auto"/>
                  <w:vAlign w:val="center"/>
                </w:tcPr>
                <w:p w14:paraId="16C0EEA1">
                  <w:pPr>
                    <w:jc w:val="center"/>
                    <w:rPr>
                      <w:rFonts w:hint="eastAsia" w:ascii="宋体" w:hAnsi="宋体" w:eastAsia="宋体" w:cs="宋体"/>
                      <w:i w:val="0"/>
                      <w:iCs w:val="0"/>
                      <w:color w:val="000000"/>
                      <w:sz w:val="21"/>
                      <w:szCs w:val="21"/>
                      <w:u w:val="none"/>
                    </w:rPr>
                  </w:pPr>
                </w:p>
              </w:tc>
            </w:tr>
            <w:tr w14:paraId="1E19A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2A6373A0">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0EF22C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693" w:type="dxa"/>
                  <w:vMerge w:val="continue"/>
                  <w:tcBorders>
                    <w:tl2br w:val="nil"/>
                    <w:tr2bl w:val="nil"/>
                  </w:tcBorders>
                  <w:shd w:val="clear" w:color="auto" w:fill="auto"/>
                  <w:vAlign w:val="center"/>
                </w:tcPr>
                <w:p w14:paraId="03F05BF4">
                  <w:pPr>
                    <w:jc w:val="center"/>
                    <w:rPr>
                      <w:rFonts w:hint="default" w:ascii="Times New Roman" w:hAnsi="Times New Roman" w:eastAsia="宋体" w:cs="Times New Roman"/>
                      <w:i w:val="0"/>
                      <w:iCs w:val="0"/>
                      <w:color w:val="000000"/>
                      <w:sz w:val="21"/>
                      <w:szCs w:val="21"/>
                      <w:u w:val="none"/>
                    </w:rPr>
                  </w:pPr>
                </w:p>
              </w:tc>
              <w:tc>
                <w:tcPr>
                  <w:tcW w:w="1672" w:type="dxa"/>
                  <w:tcBorders>
                    <w:tl2br w:val="nil"/>
                    <w:tr2bl w:val="nil"/>
                  </w:tcBorders>
                  <w:shd w:val="clear" w:color="auto" w:fill="auto"/>
                  <w:vAlign w:val="center"/>
                </w:tcPr>
                <w:p w14:paraId="118E11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7</w:t>
                  </w:r>
                </w:p>
              </w:tc>
              <w:tc>
                <w:tcPr>
                  <w:tcW w:w="904" w:type="dxa"/>
                  <w:vMerge w:val="continue"/>
                  <w:tcBorders>
                    <w:tl2br w:val="nil"/>
                    <w:tr2bl w:val="nil"/>
                  </w:tcBorders>
                  <w:shd w:val="clear" w:color="auto" w:fill="auto"/>
                  <w:vAlign w:val="center"/>
                </w:tcPr>
                <w:p w14:paraId="4F6EFCBE">
                  <w:pPr>
                    <w:jc w:val="center"/>
                    <w:rPr>
                      <w:rFonts w:hint="default" w:ascii="Times New Roman" w:hAnsi="Times New Roman" w:eastAsia="宋体" w:cs="Times New Roman"/>
                      <w:i w:val="0"/>
                      <w:iCs w:val="0"/>
                      <w:color w:val="000000"/>
                      <w:sz w:val="21"/>
                      <w:szCs w:val="21"/>
                      <w:u w:val="none"/>
                    </w:rPr>
                  </w:pPr>
                </w:p>
              </w:tc>
              <w:tc>
                <w:tcPr>
                  <w:tcW w:w="3928" w:type="dxa"/>
                  <w:vMerge w:val="continue"/>
                  <w:tcBorders>
                    <w:tl2br w:val="nil"/>
                    <w:tr2bl w:val="nil"/>
                  </w:tcBorders>
                  <w:shd w:val="clear" w:color="auto" w:fill="auto"/>
                  <w:vAlign w:val="center"/>
                </w:tcPr>
                <w:p w14:paraId="74574237">
                  <w:pPr>
                    <w:jc w:val="center"/>
                    <w:rPr>
                      <w:rFonts w:hint="eastAsia" w:ascii="宋体" w:hAnsi="宋体" w:eastAsia="宋体" w:cs="宋体"/>
                      <w:i w:val="0"/>
                      <w:iCs w:val="0"/>
                      <w:color w:val="000000"/>
                      <w:sz w:val="21"/>
                      <w:szCs w:val="21"/>
                      <w:u w:val="none"/>
                    </w:rPr>
                  </w:pPr>
                </w:p>
              </w:tc>
            </w:tr>
            <w:tr w14:paraId="1A983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40083851">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690599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693" w:type="dxa"/>
                  <w:vMerge w:val="continue"/>
                  <w:tcBorders>
                    <w:tl2br w:val="nil"/>
                    <w:tr2bl w:val="nil"/>
                  </w:tcBorders>
                  <w:shd w:val="clear" w:color="auto" w:fill="auto"/>
                  <w:vAlign w:val="center"/>
                </w:tcPr>
                <w:p w14:paraId="10DB2C46">
                  <w:pPr>
                    <w:jc w:val="center"/>
                    <w:rPr>
                      <w:rFonts w:hint="default" w:ascii="Times New Roman" w:hAnsi="Times New Roman" w:eastAsia="宋体" w:cs="Times New Roman"/>
                      <w:i w:val="0"/>
                      <w:iCs w:val="0"/>
                      <w:color w:val="000000"/>
                      <w:sz w:val="21"/>
                      <w:szCs w:val="21"/>
                      <w:u w:val="none"/>
                    </w:rPr>
                  </w:pPr>
                </w:p>
              </w:tc>
              <w:tc>
                <w:tcPr>
                  <w:tcW w:w="1672" w:type="dxa"/>
                  <w:tcBorders>
                    <w:tl2br w:val="nil"/>
                    <w:tr2bl w:val="nil"/>
                  </w:tcBorders>
                  <w:shd w:val="clear" w:color="auto" w:fill="auto"/>
                  <w:vAlign w:val="center"/>
                </w:tcPr>
                <w:p w14:paraId="7B8A66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8</w:t>
                  </w:r>
                </w:p>
              </w:tc>
              <w:tc>
                <w:tcPr>
                  <w:tcW w:w="904" w:type="dxa"/>
                  <w:vMerge w:val="continue"/>
                  <w:tcBorders>
                    <w:tl2br w:val="nil"/>
                    <w:tr2bl w:val="nil"/>
                  </w:tcBorders>
                  <w:shd w:val="clear" w:color="auto" w:fill="auto"/>
                  <w:vAlign w:val="center"/>
                </w:tcPr>
                <w:p w14:paraId="18435986">
                  <w:pPr>
                    <w:jc w:val="center"/>
                    <w:rPr>
                      <w:rFonts w:hint="default" w:ascii="Times New Roman" w:hAnsi="Times New Roman" w:eastAsia="宋体" w:cs="Times New Roman"/>
                      <w:i w:val="0"/>
                      <w:iCs w:val="0"/>
                      <w:color w:val="000000"/>
                      <w:sz w:val="21"/>
                      <w:szCs w:val="21"/>
                      <w:u w:val="none"/>
                    </w:rPr>
                  </w:pPr>
                </w:p>
              </w:tc>
              <w:tc>
                <w:tcPr>
                  <w:tcW w:w="3928" w:type="dxa"/>
                  <w:vMerge w:val="continue"/>
                  <w:tcBorders>
                    <w:tl2br w:val="nil"/>
                    <w:tr2bl w:val="nil"/>
                  </w:tcBorders>
                  <w:shd w:val="clear" w:color="auto" w:fill="auto"/>
                  <w:vAlign w:val="center"/>
                </w:tcPr>
                <w:p w14:paraId="553DBCDE">
                  <w:pPr>
                    <w:jc w:val="center"/>
                    <w:rPr>
                      <w:rFonts w:hint="eastAsia" w:ascii="宋体" w:hAnsi="宋体" w:eastAsia="宋体" w:cs="宋体"/>
                      <w:i w:val="0"/>
                      <w:iCs w:val="0"/>
                      <w:color w:val="000000"/>
                      <w:sz w:val="21"/>
                      <w:szCs w:val="21"/>
                      <w:u w:val="none"/>
                    </w:rPr>
                  </w:pPr>
                </w:p>
              </w:tc>
            </w:tr>
            <w:tr w14:paraId="3C9DA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00777E14">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1025EA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693" w:type="dxa"/>
                  <w:vMerge w:val="continue"/>
                  <w:tcBorders>
                    <w:tl2br w:val="nil"/>
                    <w:tr2bl w:val="nil"/>
                  </w:tcBorders>
                  <w:shd w:val="clear" w:color="auto" w:fill="auto"/>
                  <w:vAlign w:val="center"/>
                </w:tcPr>
                <w:p w14:paraId="08043B29">
                  <w:pPr>
                    <w:jc w:val="center"/>
                    <w:rPr>
                      <w:rFonts w:hint="default" w:ascii="Times New Roman" w:hAnsi="Times New Roman" w:eastAsia="宋体" w:cs="Times New Roman"/>
                      <w:i w:val="0"/>
                      <w:iCs w:val="0"/>
                      <w:color w:val="000000"/>
                      <w:sz w:val="21"/>
                      <w:szCs w:val="21"/>
                      <w:u w:val="none"/>
                    </w:rPr>
                  </w:pPr>
                </w:p>
              </w:tc>
              <w:tc>
                <w:tcPr>
                  <w:tcW w:w="1672" w:type="dxa"/>
                  <w:tcBorders>
                    <w:tl2br w:val="nil"/>
                    <w:tr2bl w:val="nil"/>
                  </w:tcBorders>
                  <w:shd w:val="clear" w:color="auto" w:fill="auto"/>
                  <w:vAlign w:val="center"/>
                </w:tcPr>
                <w:p w14:paraId="4B1249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9</w:t>
                  </w:r>
                </w:p>
              </w:tc>
              <w:tc>
                <w:tcPr>
                  <w:tcW w:w="904" w:type="dxa"/>
                  <w:vMerge w:val="continue"/>
                  <w:tcBorders>
                    <w:tl2br w:val="nil"/>
                    <w:tr2bl w:val="nil"/>
                  </w:tcBorders>
                  <w:shd w:val="clear" w:color="auto" w:fill="auto"/>
                  <w:vAlign w:val="center"/>
                </w:tcPr>
                <w:p w14:paraId="1887C38D">
                  <w:pPr>
                    <w:jc w:val="center"/>
                    <w:rPr>
                      <w:rFonts w:hint="default" w:ascii="Times New Roman" w:hAnsi="Times New Roman" w:eastAsia="宋体" w:cs="Times New Roman"/>
                      <w:i w:val="0"/>
                      <w:iCs w:val="0"/>
                      <w:color w:val="000000"/>
                      <w:sz w:val="21"/>
                      <w:szCs w:val="21"/>
                      <w:u w:val="none"/>
                    </w:rPr>
                  </w:pPr>
                </w:p>
              </w:tc>
              <w:tc>
                <w:tcPr>
                  <w:tcW w:w="3928" w:type="dxa"/>
                  <w:vMerge w:val="continue"/>
                  <w:tcBorders>
                    <w:tl2br w:val="nil"/>
                    <w:tr2bl w:val="nil"/>
                  </w:tcBorders>
                  <w:shd w:val="clear" w:color="auto" w:fill="auto"/>
                  <w:vAlign w:val="center"/>
                </w:tcPr>
                <w:p w14:paraId="7DA28480">
                  <w:pPr>
                    <w:jc w:val="center"/>
                    <w:rPr>
                      <w:rFonts w:hint="eastAsia" w:ascii="宋体" w:hAnsi="宋体" w:eastAsia="宋体" w:cs="宋体"/>
                      <w:i w:val="0"/>
                      <w:iCs w:val="0"/>
                      <w:color w:val="000000"/>
                      <w:sz w:val="21"/>
                      <w:szCs w:val="21"/>
                      <w:u w:val="none"/>
                    </w:rPr>
                  </w:pPr>
                </w:p>
              </w:tc>
            </w:tr>
            <w:tr w14:paraId="5992C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4F83C049">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622AB9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2365" w:type="dxa"/>
                  <w:gridSpan w:val="2"/>
                  <w:tcBorders>
                    <w:tl2br w:val="nil"/>
                    <w:tr2bl w:val="nil"/>
                  </w:tcBorders>
                  <w:shd w:val="clear" w:color="auto" w:fill="auto"/>
                  <w:vAlign w:val="center"/>
                </w:tcPr>
                <w:p w14:paraId="2EC6AA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炉渣筛分粉尘</w:t>
                  </w:r>
                </w:p>
              </w:tc>
              <w:tc>
                <w:tcPr>
                  <w:tcW w:w="904" w:type="dxa"/>
                  <w:tcBorders>
                    <w:tl2br w:val="nil"/>
                    <w:tr2bl w:val="nil"/>
                  </w:tcBorders>
                  <w:shd w:val="clear" w:color="auto" w:fill="auto"/>
                  <w:vAlign w:val="center"/>
                </w:tcPr>
                <w:p w14:paraId="466469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G1-6</w:t>
                  </w:r>
                </w:p>
              </w:tc>
              <w:tc>
                <w:tcPr>
                  <w:tcW w:w="3928" w:type="dxa"/>
                  <w:vMerge w:val="continue"/>
                  <w:tcBorders>
                    <w:tl2br w:val="nil"/>
                    <w:tr2bl w:val="nil"/>
                  </w:tcBorders>
                  <w:shd w:val="clear" w:color="auto" w:fill="auto"/>
                  <w:vAlign w:val="center"/>
                </w:tcPr>
                <w:p w14:paraId="1B5586D7">
                  <w:pPr>
                    <w:jc w:val="center"/>
                    <w:rPr>
                      <w:rFonts w:hint="eastAsia" w:ascii="宋体" w:hAnsi="宋体" w:eastAsia="宋体" w:cs="宋体"/>
                      <w:i w:val="0"/>
                      <w:iCs w:val="0"/>
                      <w:color w:val="000000"/>
                      <w:sz w:val="21"/>
                      <w:szCs w:val="21"/>
                      <w:u w:val="none"/>
                    </w:rPr>
                  </w:pPr>
                </w:p>
              </w:tc>
            </w:tr>
            <w:tr w14:paraId="20E97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278B9F5D">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71E221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2365" w:type="dxa"/>
                  <w:gridSpan w:val="2"/>
                  <w:tcBorders>
                    <w:tl2br w:val="nil"/>
                    <w:tr2bl w:val="nil"/>
                  </w:tcBorders>
                  <w:shd w:val="clear" w:color="auto" w:fill="auto"/>
                  <w:vAlign w:val="center"/>
                </w:tcPr>
                <w:p w14:paraId="457A3B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旋风分离粉尘</w:t>
                  </w:r>
                </w:p>
              </w:tc>
              <w:tc>
                <w:tcPr>
                  <w:tcW w:w="904" w:type="dxa"/>
                  <w:tcBorders>
                    <w:tl2br w:val="nil"/>
                    <w:tr2bl w:val="nil"/>
                  </w:tcBorders>
                  <w:shd w:val="clear" w:color="auto" w:fill="auto"/>
                  <w:vAlign w:val="center"/>
                </w:tcPr>
                <w:p w14:paraId="61D66B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G1-7</w:t>
                  </w:r>
                </w:p>
              </w:tc>
              <w:tc>
                <w:tcPr>
                  <w:tcW w:w="3928" w:type="dxa"/>
                  <w:vMerge w:val="continue"/>
                  <w:tcBorders>
                    <w:tl2br w:val="nil"/>
                    <w:tr2bl w:val="nil"/>
                  </w:tcBorders>
                  <w:shd w:val="clear" w:color="auto" w:fill="auto"/>
                  <w:vAlign w:val="center"/>
                </w:tcPr>
                <w:p w14:paraId="1A9C1945">
                  <w:pPr>
                    <w:jc w:val="center"/>
                    <w:rPr>
                      <w:rFonts w:hint="eastAsia" w:ascii="宋体" w:hAnsi="宋体" w:eastAsia="宋体" w:cs="宋体"/>
                      <w:i w:val="0"/>
                      <w:iCs w:val="0"/>
                      <w:color w:val="000000"/>
                      <w:sz w:val="21"/>
                      <w:szCs w:val="21"/>
                      <w:u w:val="none"/>
                    </w:rPr>
                  </w:pPr>
                </w:p>
              </w:tc>
            </w:tr>
            <w:tr w14:paraId="04072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4A8AB8E8">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21586A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w:t>
                  </w:r>
                </w:p>
              </w:tc>
              <w:tc>
                <w:tcPr>
                  <w:tcW w:w="2365" w:type="dxa"/>
                  <w:gridSpan w:val="2"/>
                  <w:tcBorders>
                    <w:tl2br w:val="nil"/>
                    <w:tr2bl w:val="nil"/>
                  </w:tcBorders>
                  <w:shd w:val="clear" w:color="auto" w:fill="auto"/>
                  <w:vAlign w:val="center"/>
                </w:tcPr>
                <w:p w14:paraId="3D8F17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硅粉包装粉尘</w:t>
                  </w:r>
                </w:p>
              </w:tc>
              <w:tc>
                <w:tcPr>
                  <w:tcW w:w="904" w:type="dxa"/>
                  <w:tcBorders>
                    <w:tl2br w:val="nil"/>
                    <w:tr2bl w:val="nil"/>
                  </w:tcBorders>
                  <w:shd w:val="clear" w:color="auto" w:fill="auto"/>
                  <w:vAlign w:val="center"/>
                </w:tcPr>
                <w:p w14:paraId="643BAF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G1-8</w:t>
                  </w:r>
                </w:p>
              </w:tc>
              <w:tc>
                <w:tcPr>
                  <w:tcW w:w="3928" w:type="dxa"/>
                  <w:vMerge w:val="continue"/>
                  <w:tcBorders>
                    <w:tl2br w:val="nil"/>
                    <w:tr2bl w:val="nil"/>
                  </w:tcBorders>
                  <w:shd w:val="clear" w:color="auto" w:fill="auto"/>
                  <w:vAlign w:val="center"/>
                </w:tcPr>
                <w:p w14:paraId="0F4E5412">
                  <w:pPr>
                    <w:jc w:val="center"/>
                    <w:rPr>
                      <w:rFonts w:hint="eastAsia" w:ascii="宋体" w:hAnsi="宋体" w:eastAsia="宋体" w:cs="宋体"/>
                      <w:i w:val="0"/>
                      <w:iCs w:val="0"/>
                      <w:color w:val="000000"/>
                      <w:sz w:val="21"/>
                      <w:szCs w:val="21"/>
                      <w:u w:val="none"/>
                    </w:rPr>
                  </w:pPr>
                </w:p>
              </w:tc>
            </w:tr>
            <w:tr w14:paraId="0CDA4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373360B0">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3D23B0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w:t>
                  </w:r>
                </w:p>
              </w:tc>
              <w:tc>
                <w:tcPr>
                  <w:tcW w:w="693" w:type="dxa"/>
                  <w:vMerge w:val="restart"/>
                  <w:tcBorders>
                    <w:tl2br w:val="nil"/>
                    <w:tr2bl w:val="nil"/>
                  </w:tcBorders>
                  <w:shd w:val="clear" w:color="auto" w:fill="auto"/>
                  <w:vAlign w:val="center"/>
                </w:tcPr>
                <w:p w14:paraId="0C6560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风选粉尘</w:t>
                  </w:r>
                </w:p>
              </w:tc>
              <w:tc>
                <w:tcPr>
                  <w:tcW w:w="1672" w:type="dxa"/>
                  <w:tcBorders>
                    <w:tl2br w:val="nil"/>
                    <w:tr2bl w:val="nil"/>
                  </w:tcBorders>
                  <w:shd w:val="clear" w:color="auto" w:fill="auto"/>
                  <w:vAlign w:val="center"/>
                </w:tcPr>
                <w:p w14:paraId="51CC91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物料风选</w:t>
                  </w:r>
                </w:p>
              </w:tc>
              <w:tc>
                <w:tcPr>
                  <w:tcW w:w="904" w:type="dxa"/>
                  <w:vMerge w:val="restart"/>
                  <w:tcBorders>
                    <w:tl2br w:val="nil"/>
                    <w:tr2bl w:val="nil"/>
                  </w:tcBorders>
                  <w:shd w:val="clear" w:color="auto" w:fill="auto"/>
                  <w:vAlign w:val="center"/>
                </w:tcPr>
                <w:p w14:paraId="7E2D67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G1-9</w:t>
                  </w:r>
                </w:p>
              </w:tc>
              <w:tc>
                <w:tcPr>
                  <w:tcW w:w="3928" w:type="dxa"/>
                  <w:vMerge w:val="continue"/>
                  <w:tcBorders>
                    <w:tl2br w:val="nil"/>
                    <w:tr2bl w:val="nil"/>
                  </w:tcBorders>
                  <w:shd w:val="clear" w:color="auto" w:fill="auto"/>
                  <w:vAlign w:val="center"/>
                </w:tcPr>
                <w:p w14:paraId="3EEEC217">
                  <w:pPr>
                    <w:jc w:val="center"/>
                    <w:rPr>
                      <w:rFonts w:hint="eastAsia" w:ascii="宋体" w:hAnsi="宋体" w:eastAsia="宋体" w:cs="宋体"/>
                      <w:i w:val="0"/>
                      <w:iCs w:val="0"/>
                      <w:color w:val="000000"/>
                      <w:sz w:val="21"/>
                      <w:szCs w:val="21"/>
                      <w:u w:val="none"/>
                    </w:rPr>
                  </w:pPr>
                </w:p>
              </w:tc>
            </w:tr>
            <w:tr w14:paraId="36945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01140B9C">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474BF1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w:t>
                  </w:r>
                </w:p>
              </w:tc>
              <w:tc>
                <w:tcPr>
                  <w:tcW w:w="693" w:type="dxa"/>
                  <w:vMerge w:val="continue"/>
                  <w:tcBorders>
                    <w:tl2br w:val="nil"/>
                    <w:tr2bl w:val="nil"/>
                  </w:tcBorders>
                  <w:shd w:val="clear" w:color="auto" w:fill="auto"/>
                  <w:vAlign w:val="center"/>
                </w:tcPr>
                <w:p w14:paraId="2FC5ED51">
                  <w:pPr>
                    <w:jc w:val="center"/>
                    <w:rPr>
                      <w:rFonts w:hint="default" w:ascii="Times New Roman" w:hAnsi="Times New Roman" w:eastAsia="宋体" w:cs="Times New Roman"/>
                      <w:i w:val="0"/>
                      <w:iCs w:val="0"/>
                      <w:color w:val="000000"/>
                      <w:sz w:val="21"/>
                      <w:szCs w:val="21"/>
                      <w:u w:val="none"/>
                    </w:rPr>
                  </w:pPr>
                </w:p>
              </w:tc>
              <w:tc>
                <w:tcPr>
                  <w:tcW w:w="1672" w:type="dxa"/>
                  <w:tcBorders>
                    <w:tl2br w:val="nil"/>
                    <w:tr2bl w:val="nil"/>
                  </w:tcBorders>
                  <w:shd w:val="clear" w:color="auto" w:fill="auto"/>
                  <w:vAlign w:val="center"/>
                </w:tcPr>
                <w:p w14:paraId="1FF3F9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9</w:t>
                  </w:r>
                  <w:r>
                    <w:rPr>
                      <w:rFonts w:hint="eastAsia" w:ascii="宋体" w:hAnsi="宋体" w:eastAsia="宋体" w:cs="宋体"/>
                      <w:i w:val="0"/>
                      <w:iCs w:val="0"/>
                      <w:color w:val="000000"/>
                      <w:kern w:val="0"/>
                      <w:sz w:val="21"/>
                      <w:szCs w:val="21"/>
                      <w:u w:val="none"/>
                      <w:lang w:val="en-US" w:eastAsia="zh-CN" w:bidi="ar"/>
                    </w:rPr>
                    <w:t>物料风选</w:t>
                  </w:r>
                </w:p>
              </w:tc>
              <w:tc>
                <w:tcPr>
                  <w:tcW w:w="904" w:type="dxa"/>
                  <w:vMerge w:val="continue"/>
                  <w:tcBorders>
                    <w:tl2br w:val="nil"/>
                    <w:tr2bl w:val="nil"/>
                  </w:tcBorders>
                  <w:shd w:val="clear" w:color="auto" w:fill="auto"/>
                  <w:vAlign w:val="center"/>
                </w:tcPr>
                <w:p w14:paraId="59EDE851">
                  <w:pPr>
                    <w:jc w:val="center"/>
                    <w:rPr>
                      <w:rFonts w:hint="default" w:ascii="Times New Roman" w:hAnsi="Times New Roman" w:eastAsia="宋体" w:cs="Times New Roman"/>
                      <w:i w:val="0"/>
                      <w:iCs w:val="0"/>
                      <w:color w:val="000000"/>
                      <w:sz w:val="21"/>
                      <w:szCs w:val="21"/>
                      <w:u w:val="none"/>
                    </w:rPr>
                  </w:pPr>
                </w:p>
              </w:tc>
              <w:tc>
                <w:tcPr>
                  <w:tcW w:w="3928" w:type="dxa"/>
                  <w:vMerge w:val="continue"/>
                  <w:tcBorders>
                    <w:tl2br w:val="nil"/>
                    <w:tr2bl w:val="nil"/>
                  </w:tcBorders>
                  <w:shd w:val="clear" w:color="auto" w:fill="auto"/>
                  <w:vAlign w:val="center"/>
                </w:tcPr>
                <w:p w14:paraId="01B10E84">
                  <w:pPr>
                    <w:jc w:val="center"/>
                    <w:rPr>
                      <w:rFonts w:hint="eastAsia" w:ascii="宋体" w:hAnsi="宋体" w:eastAsia="宋体" w:cs="宋体"/>
                      <w:i w:val="0"/>
                      <w:iCs w:val="0"/>
                      <w:color w:val="000000"/>
                      <w:sz w:val="21"/>
                      <w:szCs w:val="21"/>
                      <w:u w:val="none"/>
                    </w:rPr>
                  </w:pPr>
                </w:p>
              </w:tc>
            </w:tr>
            <w:tr w14:paraId="406BD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1E14A588">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6D0F88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w:t>
                  </w:r>
                </w:p>
              </w:tc>
              <w:tc>
                <w:tcPr>
                  <w:tcW w:w="2365" w:type="dxa"/>
                  <w:gridSpan w:val="2"/>
                  <w:tcBorders>
                    <w:tl2br w:val="nil"/>
                    <w:tr2bl w:val="nil"/>
                  </w:tcBorders>
                  <w:shd w:val="clear" w:color="auto" w:fill="auto"/>
                  <w:vAlign w:val="center"/>
                </w:tcPr>
                <w:p w14:paraId="05D5E2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清洗炉燃烧烟气</w:t>
                  </w:r>
                </w:p>
              </w:tc>
              <w:tc>
                <w:tcPr>
                  <w:tcW w:w="904" w:type="dxa"/>
                  <w:tcBorders>
                    <w:tl2br w:val="nil"/>
                    <w:tr2bl w:val="nil"/>
                  </w:tcBorders>
                  <w:shd w:val="clear" w:color="auto" w:fill="auto"/>
                  <w:vAlign w:val="center"/>
                </w:tcPr>
                <w:p w14:paraId="3BC1DE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w:t>
                  </w:r>
                  <w:r>
                    <w:rPr>
                      <w:rFonts w:hint="eastAsia"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-1</w:t>
                  </w:r>
                </w:p>
              </w:tc>
              <w:tc>
                <w:tcPr>
                  <w:tcW w:w="3928" w:type="dxa"/>
                  <w:tcBorders>
                    <w:tl2br w:val="nil"/>
                    <w:tr2bl w:val="nil"/>
                  </w:tcBorders>
                  <w:shd w:val="clear" w:color="auto" w:fill="auto"/>
                  <w:vAlign w:val="center"/>
                </w:tcPr>
                <w:p w14:paraId="458466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r>
                    <w:rPr>
                      <w:rFonts w:hint="eastAsia" w:cs="Times New Roman"/>
                      <w:i w:val="0"/>
                      <w:iCs w:val="0"/>
                      <w:color w:val="000000"/>
                      <w:sz w:val="21"/>
                      <w:szCs w:val="21"/>
                      <w:u w:val="none"/>
                      <w:lang w:eastAsia="zh-CN"/>
                    </w:rPr>
                    <w:t>、</w:t>
                  </w: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非甲烷总烃</w:t>
                  </w:r>
                </w:p>
              </w:tc>
            </w:tr>
            <w:tr w14:paraId="52BC2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433AB18D">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723714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2365" w:type="dxa"/>
                  <w:gridSpan w:val="2"/>
                  <w:tcBorders>
                    <w:tl2br w:val="nil"/>
                    <w:tr2bl w:val="nil"/>
                  </w:tcBorders>
                  <w:shd w:val="clear" w:color="auto" w:fill="auto"/>
                  <w:vAlign w:val="center"/>
                </w:tcPr>
                <w:p w14:paraId="42339F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烘干炉燃烧烟气</w:t>
                  </w:r>
                </w:p>
              </w:tc>
              <w:tc>
                <w:tcPr>
                  <w:tcW w:w="904" w:type="dxa"/>
                  <w:tcBorders>
                    <w:tl2br w:val="nil"/>
                    <w:tr2bl w:val="nil"/>
                  </w:tcBorders>
                  <w:shd w:val="clear" w:color="auto" w:fill="auto"/>
                  <w:vAlign w:val="center"/>
                </w:tcPr>
                <w:p w14:paraId="308CB4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w:t>
                  </w:r>
                  <w:r>
                    <w:rPr>
                      <w:rFonts w:hint="eastAsia"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-2</w:t>
                  </w:r>
                </w:p>
              </w:tc>
              <w:tc>
                <w:tcPr>
                  <w:tcW w:w="3928" w:type="dxa"/>
                  <w:tcBorders>
                    <w:tl2br w:val="nil"/>
                    <w:tr2bl w:val="nil"/>
                  </w:tcBorders>
                  <w:shd w:val="clear" w:color="auto" w:fill="auto"/>
                  <w:vAlign w:val="center"/>
                </w:tcPr>
                <w:p w14:paraId="617573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r>
                    <w:rPr>
                      <w:rFonts w:hint="eastAsia" w:cs="Times New Roman"/>
                      <w:i w:val="0"/>
                      <w:iCs w:val="0"/>
                      <w:color w:val="000000"/>
                      <w:sz w:val="21"/>
                      <w:szCs w:val="21"/>
                      <w:u w:val="none"/>
                      <w:lang w:eastAsia="zh-CN"/>
                    </w:rPr>
                    <w:t>、</w:t>
                  </w: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非甲烷总烃</w:t>
                  </w:r>
                </w:p>
              </w:tc>
            </w:tr>
            <w:tr w14:paraId="3A76E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067AC512">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6DD692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21</w:t>
                  </w:r>
                </w:p>
              </w:tc>
              <w:tc>
                <w:tcPr>
                  <w:tcW w:w="693" w:type="dxa"/>
                  <w:vMerge w:val="restart"/>
                  <w:tcBorders>
                    <w:tl2br w:val="nil"/>
                    <w:tr2bl w:val="nil"/>
                  </w:tcBorders>
                  <w:shd w:val="clear" w:color="auto" w:fill="auto"/>
                  <w:vAlign w:val="center"/>
                </w:tcPr>
                <w:p w14:paraId="068767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进仓粉尘</w:t>
                  </w:r>
                </w:p>
              </w:tc>
              <w:tc>
                <w:tcPr>
                  <w:tcW w:w="1672" w:type="dxa"/>
                  <w:tcBorders>
                    <w:tl2br w:val="nil"/>
                    <w:tr2bl w:val="nil"/>
                  </w:tcBorders>
                  <w:shd w:val="clear" w:color="auto" w:fill="auto"/>
                  <w:vAlign w:val="center"/>
                </w:tcPr>
                <w:p w14:paraId="438EFA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10</w:t>
                  </w:r>
                </w:p>
              </w:tc>
              <w:tc>
                <w:tcPr>
                  <w:tcW w:w="904" w:type="dxa"/>
                  <w:tcBorders>
                    <w:tl2br w:val="nil"/>
                    <w:tr2bl w:val="nil"/>
                  </w:tcBorders>
                  <w:shd w:val="clear" w:color="auto" w:fill="auto"/>
                  <w:vAlign w:val="center"/>
                </w:tcPr>
                <w:p w14:paraId="067242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w:t>
                  </w:r>
                  <w:r>
                    <w:rPr>
                      <w:rFonts w:hint="eastAsia"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-3</w:t>
                  </w:r>
                </w:p>
              </w:tc>
              <w:tc>
                <w:tcPr>
                  <w:tcW w:w="3928" w:type="dxa"/>
                  <w:vMerge w:val="restart"/>
                  <w:tcBorders>
                    <w:tl2br w:val="nil"/>
                    <w:tr2bl w:val="nil"/>
                  </w:tcBorders>
                  <w:shd w:val="clear" w:color="auto" w:fill="auto"/>
                  <w:vAlign w:val="center"/>
                </w:tcPr>
                <w:p w14:paraId="1ACF5E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r>
            <w:tr w14:paraId="2C50C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43650E6A">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2A184D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w:t>
                  </w:r>
                </w:p>
              </w:tc>
              <w:tc>
                <w:tcPr>
                  <w:tcW w:w="693" w:type="dxa"/>
                  <w:vMerge w:val="continue"/>
                  <w:tcBorders>
                    <w:tl2br w:val="nil"/>
                    <w:tr2bl w:val="nil"/>
                  </w:tcBorders>
                  <w:shd w:val="clear" w:color="auto" w:fill="auto"/>
                  <w:vAlign w:val="center"/>
                </w:tcPr>
                <w:p w14:paraId="0D039CEE">
                  <w:pPr>
                    <w:jc w:val="center"/>
                    <w:rPr>
                      <w:rFonts w:hint="default" w:ascii="Times New Roman" w:hAnsi="Times New Roman" w:eastAsia="宋体" w:cs="Times New Roman"/>
                      <w:i w:val="0"/>
                      <w:iCs w:val="0"/>
                      <w:color w:val="000000"/>
                      <w:sz w:val="21"/>
                      <w:szCs w:val="21"/>
                      <w:u w:val="none"/>
                    </w:rPr>
                  </w:pPr>
                </w:p>
              </w:tc>
              <w:tc>
                <w:tcPr>
                  <w:tcW w:w="1672" w:type="dxa"/>
                  <w:tcBorders>
                    <w:tl2br w:val="nil"/>
                    <w:tr2bl w:val="nil"/>
                  </w:tcBorders>
                  <w:shd w:val="clear" w:color="auto" w:fill="auto"/>
                  <w:vAlign w:val="center"/>
                </w:tcPr>
                <w:p w14:paraId="055615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12</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13</w:t>
                  </w:r>
                </w:p>
              </w:tc>
              <w:tc>
                <w:tcPr>
                  <w:tcW w:w="904" w:type="dxa"/>
                  <w:tcBorders>
                    <w:tl2br w:val="nil"/>
                    <w:tr2bl w:val="nil"/>
                  </w:tcBorders>
                  <w:shd w:val="clear" w:color="auto" w:fill="auto"/>
                  <w:vAlign w:val="center"/>
                </w:tcPr>
                <w:p w14:paraId="4C062D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w:t>
                  </w:r>
                  <w:r>
                    <w:rPr>
                      <w:rFonts w:hint="eastAsia"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-3</w:t>
                  </w:r>
                </w:p>
              </w:tc>
              <w:tc>
                <w:tcPr>
                  <w:tcW w:w="3928" w:type="dxa"/>
                  <w:vMerge w:val="continue"/>
                  <w:tcBorders>
                    <w:tl2br w:val="nil"/>
                    <w:tr2bl w:val="nil"/>
                  </w:tcBorders>
                  <w:shd w:val="clear" w:color="auto" w:fill="auto"/>
                  <w:vAlign w:val="center"/>
                </w:tcPr>
                <w:p w14:paraId="424CCA5E">
                  <w:pPr>
                    <w:jc w:val="center"/>
                    <w:rPr>
                      <w:rFonts w:hint="eastAsia" w:ascii="宋体" w:hAnsi="宋体" w:eastAsia="宋体" w:cs="宋体"/>
                      <w:i w:val="0"/>
                      <w:iCs w:val="0"/>
                      <w:color w:val="000000"/>
                      <w:sz w:val="21"/>
                      <w:szCs w:val="21"/>
                      <w:u w:val="none"/>
                    </w:rPr>
                  </w:pPr>
                </w:p>
              </w:tc>
            </w:tr>
            <w:tr w14:paraId="4ABB0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259238DD">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2F7221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w:t>
                  </w:r>
                </w:p>
              </w:tc>
              <w:tc>
                <w:tcPr>
                  <w:tcW w:w="2365" w:type="dxa"/>
                  <w:gridSpan w:val="2"/>
                  <w:tcBorders>
                    <w:tl2br w:val="nil"/>
                    <w:tr2bl w:val="nil"/>
                  </w:tcBorders>
                  <w:shd w:val="clear" w:color="auto" w:fill="auto"/>
                  <w:vAlign w:val="center"/>
                </w:tcPr>
                <w:p w14:paraId="0904FC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玻璃筛分粉尘</w:t>
                  </w:r>
                </w:p>
              </w:tc>
              <w:tc>
                <w:tcPr>
                  <w:tcW w:w="904" w:type="dxa"/>
                  <w:tcBorders>
                    <w:tl2br w:val="nil"/>
                    <w:tr2bl w:val="nil"/>
                  </w:tcBorders>
                  <w:shd w:val="clear" w:color="auto" w:fill="auto"/>
                  <w:vAlign w:val="center"/>
                </w:tcPr>
                <w:p w14:paraId="2621FE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w:t>
                  </w:r>
                  <w:r>
                    <w:rPr>
                      <w:rFonts w:hint="eastAsia"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-4</w:t>
                  </w:r>
                </w:p>
              </w:tc>
              <w:tc>
                <w:tcPr>
                  <w:tcW w:w="3928" w:type="dxa"/>
                  <w:vMerge w:val="continue"/>
                  <w:tcBorders>
                    <w:tl2br w:val="nil"/>
                    <w:tr2bl w:val="nil"/>
                  </w:tcBorders>
                  <w:shd w:val="clear" w:color="auto" w:fill="auto"/>
                  <w:vAlign w:val="center"/>
                </w:tcPr>
                <w:p w14:paraId="1A63BE6B">
                  <w:pPr>
                    <w:jc w:val="center"/>
                    <w:rPr>
                      <w:rFonts w:hint="eastAsia" w:ascii="宋体" w:hAnsi="宋体" w:eastAsia="宋体" w:cs="宋体"/>
                      <w:i w:val="0"/>
                      <w:iCs w:val="0"/>
                      <w:color w:val="000000"/>
                      <w:sz w:val="21"/>
                      <w:szCs w:val="21"/>
                      <w:u w:val="none"/>
                    </w:rPr>
                  </w:pPr>
                </w:p>
              </w:tc>
            </w:tr>
            <w:tr w14:paraId="74981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2F7B6A96">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12F217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2365" w:type="dxa"/>
                  <w:gridSpan w:val="2"/>
                  <w:tcBorders>
                    <w:tl2br w:val="nil"/>
                    <w:tr2bl w:val="nil"/>
                  </w:tcBorders>
                  <w:shd w:val="clear" w:color="auto" w:fill="auto"/>
                  <w:vAlign w:val="center"/>
                </w:tcPr>
                <w:p w14:paraId="0B22BA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玻璃粉包装粉尘</w:t>
                  </w:r>
                </w:p>
              </w:tc>
              <w:tc>
                <w:tcPr>
                  <w:tcW w:w="904" w:type="dxa"/>
                  <w:tcBorders>
                    <w:tl2br w:val="nil"/>
                    <w:tr2bl w:val="nil"/>
                  </w:tcBorders>
                  <w:shd w:val="clear" w:color="auto" w:fill="auto"/>
                  <w:vAlign w:val="center"/>
                </w:tcPr>
                <w:p w14:paraId="68DCE0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w:t>
                  </w:r>
                  <w:r>
                    <w:rPr>
                      <w:rFonts w:hint="eastAsia"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-5</w:t>
                  </w:r>
                </w:p>
              </w:tc>
              <w:tc>
                <w:tcPr>
                  <w:tcW w:w="3928" w:type="dxa"/>
                  <w:vMerge w:val="continue"/>
                  <w:tcBorders>
                    <w:tl2br w:val="nil"/>
                    <w:tr2bl w:val="nil"/>
                  </w:tcBorders>
                  <w:shd w:val="clear" w:color="auto" w:fill="auto"/>
                  <w:vAlign w:val="center"/>
                </w:tcPr>
                <w:p w14:paraId="0CC7A278">
                  <w:pPr>
                    <w:jc w:val="center"/>
                    <w:rPr>
                      <w:rFonts w:hint="eastAsia" w:ascii="宋体" w:hAnsi="宋体" w:eastAsia="宋体" w:cs="宋体"/>
                      <w:i w:val="0"/>
                      <w:iCs w:val="0"/>
                      <w:color w:val="000000"/>
                      <w:sz w:val="21"/>
                      <w:szCs w:val="21"/>
                      <w:u w:val="none"/>
                    </w:rPr>
                  </w:pPr>
                </w:p>
              </w:tc>
            </w:tr>
            <w:tr w14:paraId="596BD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restart"/>
                  <w:tcBorders>
                    <w:tl2br w:val="nil"/>
                    <w:tr2bl w:val="nil"/>
                  </w:tcBorders>
                  <w:shd w:val="clear" w:color="auto" w:fill="auto"/>
                  <w:noWrap/>
                  <w:vAlign w:val="center"/>
                </w:tcPr>
                <w:p w14:paraId="0EDAFD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废水</w:t>
                  </w:r>
                </w:p>
              </w:tc>
              <w:tc>
                <w:tcPr>
                  <w:tcW w:w="800" w:type="dxa"/>
                  <w:tcBorders>
                    <w:tl2br w:val="nil"/>
                    <w:tr2bl w:val="nil"/>
                  </w:tcBorders>
                  <w:shd w:val="clear" w:color="auto" w:fill="auto"/>
                  <w:vAlign w:val="center"/>
                </w:tcPr>
                <w:p w14:paraId="4626865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365" w:type="dxa"/>
                  <w:gridSpan w:val="2"/>
                  <w:tcBorders>
                    <w:tl2br w:val="nil"/>
                    <w:tr2bl w:val="nil"/>
                  </w:tcBorders>
                  <w:shd w:val="clear" w:color="auto" w:fill="auto"/>
                  <w:vAlign w:val="center"/>
                </w:tcPr>
                <w:p w14:paraId="68F5D8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生活污水</w:t>
                  </w:r>
                </w:p>
              </w:tc>
              <w:tc>
                <w:tcPr>
                  <w:tcW w:w="904" w:type="dxa"/>
                  <w:tcBorders>
                    <w:tl2br w:val="nil"/>
                    <w:tr2bl w:val="nil"/>
                  </w:tcBorders>
                  <w:shd w:val="clear" w:color="auto" w:fill="auto"/>
                  <w:vAlign w:val="center"/>
                </w:tcPr>
                <w:p w14:paraId="380894A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W1</w:t>
                  </w:r>
                </w:p>
              </w:tc>
              <w:tc>
                <w:tcPr>
                  <w:tcW w:w="3928" w:type="dxa"/>
                  <w:tcBorders>
                    <w:tl2br w:val="nil"/>
                    <w:tr2bl w:val="nil"/>
                  </w:tcBorders>
                  <w:shd w:val="clear" w:color="auto" w:fill="auto"/>
                  <w:vAlign w:val="center"/>
                </w:tcPr>
                <w:p w14:paraId="0DAA2A62">
                  <w:pPr>
                    <w:jc w:val="center"/>
                    <w:rPr>
                      <w:rFonts w:hint="eastAsia" w:ascii="Times New Roman" w:hAnsi="Times New Roman" w:eastAsia="宋体" w:cs="Times New Roman"/>
                      <w:i w:val="0"/>
                      <w:iCs w:val="0"/>
                      <w:color w:val="000000"/>
                      <w:sz w:val="21"/>
                      <w:szCs w:val="21"/>
                      <w:u w:val="none"/>
                      <w:lang w:val="en-US" w:eastAsia="zh-CN"/>
                    </w:rPr>
                  </w:pPr>
                  <w:r>
                    <w:rPr>
                      <w:rFonts w:hint="eastAsia"/>
                      <w:color w:val="auto"/>
                      <w:spacing w:val="0"/>
                      <w:sz w:val="21"/>
                      <w:szCs w:val="21"/>
                    </w:rPr>
                    <w:t>COD、SS、</w:t>
                  </w:r>
                  <w:r>
                    <w:rPr>
                      <w:rFonts w:hint="eastAsia"/>
                      <w:color w:val="auto"/>
                      <w:spacing w:val="0"/>
                      <w:sz w:val="21"/>
                      <w:szCs w:val="21"/>
                      <w:lang w:val="en-US" w:eastAsia="zh-CN"/>
                    </w:rPr>
                    <w:t>氨氮</w:t>
                  </w:r>
                  <w:r>
                    <w:rPr>
                      <w:rFonts w:hint="eastAsia"/>
                      <w:color w:val="auto"/>
                      <w:spacing w:val="0"/>
                      <w:sz w:val="21"/>
                      <w:szCs w:val="21"/>
                    </w:rPr>
                    <w:t>、BOD</w:t>
                  </w:r>
                  <w:r>
                    <w:rPr>
                      <w:rFonts w:hint="eastAsia"/>
                      <w:color w:val="auto"/>
                      <w:spacing w:val="0"/>
                      <w:sz w:val="21"/>
                      <w:szCs w:val="21"/>
                      <w:vertAlign w:val="subscript"/>
                    </w:rPr>
                    <w:t>5</w:t>
                  </w:r>
                  <w:r>
                    <w:rPr>
                      <w:rFonts w:hint="eastAsia"/>
                      <w:color w:val="auto"/>
                      <w:spacing w:val="0"/>
                      <w:sz w:val="21"/>
                      <w:szCs w:val="21"/>
                      <w:vertAlign w:val="baseline"/>
                      <w:lang w:eastAsia="zh-CN"/>
                    </w:rPr>
                    <w:t>、</w:t>
                  </w:r>
                  <w:r>
                    <w:rPr>
                      <w:rFonts w:hint="eastAsia"/>
                      <w:color w:val="auto"/>
                      <w:spacing w:val="0"/>
                      <w:sz w:val="21"/>
                      <w:szCs w:val="21"/>
                      <w:vertAlign w:val="baseline"/>
                      <w:lang w:val="en-US" w:eastAsia="zh-CN"/>
                    </w:rPr>
                    <w:t>TP、TN</w:t>
                  </w:r>
                </w:p>
              </w:tc>
            </w:tr>
            <w:tr w14:paraId="4523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03B57D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1E83E05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2365" w:type="dxa"/>
                  <w:gridSpan w:val="2"/>
                  <w:tcBorders>
                    <w:tl2br w:val="nil"/>
                    <w:tr2bl w:val="nil"/>
                  </w:tcBorders>
                  <w:shd w:val="clear" w:color="auto" w:fill="auto"/>
                  <w:vAlign w:val="center"/>
                </w:tcPr>
                <w:p w14:paraId="0FBCFF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碱洗废水</w:t>
                  </w:r>
                </w:p>
              </w:tc>
              <w:tc>
                <w:tcPr>
                  <w:tcW w:w="904" w:type="dxa"/>
                  <w:tcBorders>
                    <w:tl2br w:val="nil"/>
                    <w:tr2bl w:val="nil"/>
                  </w:tcBorders>
                  <w:shd w:val="clear" w:color="auto" w:fill="auto"/>
                  <w:vAlign w:val="center"/>
                </w:tcPr>
                <w:p w14:paraId="6D28AF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w:t>
                  </w:r>
                  <w:r>
                    <w:rPr>
                      <w:rFonts w:hint="eastAsia"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-1</w:t>
                  </w:r>
                </w:p>
              </w:tc>
              <w:tc>
                <w:tcPr>
                  <w:tcW w:w="3928" w:type="dxa"/>
                  <w:tcBorders>
                    <w:tl2br w:val="nil"/>
                    <w:tr2bl w:val="nil"/>
                  </w:tcBorders>
                  <w:shd w:val="clear" w:color="auto" w:fill="auto"/>
                  <w:vAlign w:val="center"/>
                </w:tcPr>
                <w:p w14:paraId="2BC8F5DB">
                  <w:pPr>
                    <w:jc w:val="center"/>
                    <w:rPr>
                      <w:rFonts w:hint="default" w:ascii="Times New Roman" w:hAnsi="Times New Roman" w:eastAsia="宋体" w:cs="Times New Roman"/>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pH、SS</w:t>
                  </w:r>
                </w:p>
              </w:tc>
            </w:tr>
            <w:tr w14:paraId="1E6E3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25973070">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77011B6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2365" w:type="dxa"/>
                  <w:gridSpan w:val="2"/>
                  <w:tcBorders>
                    <w:tl2br w:val="nil"/>
                    <w:tr2bl w:val="nil"/>
                  </w:tcBorders>
                  <w:shd w:val="clear" w:color="auto" w:fill="auto"/>
                  <w:vAlign w:val="center"/>
                </w:tcPr>
                <w:p w14:paraId="62D3EB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洗砂废水</w:t>
                  </w:r>
                </w:p>
              </w:tc>
              <w:tc>
                <w:tcPr>
                  <w:tcW w:w="904" w:type="dxa"/>
                  <w:tcBorders>
                    <w:tl2br w:val="nil"/>
                    <w:tr2bl w:val="nil"/>
                  </w:tcBorders>
                  <w:shd w:val="clear" w:color="auto" w:fill="auto"/>
                  <w:vAlign w:val="center"/>
                </w:tcPr>
                <w:p w14:paraId="47C369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w:t>
                  </w:r>
                  <w:r>
                    <w:rPr>
                      <w:rFonts w:hint="eastAsia"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-2</w:t>
                  </w:r>
                </w:p>
              </w:tc>
              <w:tc>
                <w:tcPr>
                  <w:tcW w:w="3928" w:type="dxa"/>
                  <w:tcBorders>
                    <w:tl2br w:val="nil"/>
                    <w:tr2bl w:val="nil"/>
                  </w:tcBorders>
                  <w:shd w:val="clear" w:color="auto" w:fill="auto"/>
                  <w:vAlign w:val="center"/>
                </w:tcPr>
                <w:p w14:paraId="0ED25D95">
                  <w:pPr>
                    <w:jc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sz w:val="21"/>
                      <w:szCs w:val="21"/>
                      <w:u w:val="none"/>
                      <w:lang w:val="en-US" w:eastAsia="zh-CN"/>
                    </w:rPr>
                    <w:t>pH、SS</w:t>
                  </w:r>
                </w:p>
              </w:tc>
            </w:tr>
            <w:tr w14:paraId="7D55B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06532AA1">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534DD7AB">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cs="Times New Roman"/>
                      <w:i w:val="0"/>
                      <w:iCs w:val="0"/>
                      <w:color w:val="000000"/>
                      <w:kern w:val="0"/>
                      <w:sz w:val="21"/>
                      <w:szCs w:val="21"/>
                      <w:u w:val="none"/>
                      <w:lang w:val="en-US" w:eastAsia="zh-CN" w:bidi="ar"/>
                    </w:rPr>
                    <w:t>4</w:t>
                  </w:r>
                </w:p>
              </w:tc>
              <w:tc>
                <w:tcPr>
                  <w:tcW w:w="2365" w:type="dxa"/>
                  <w:gridSpan w:val="2"/>
                  <w:tcBorders>
                    <w:tl2br w:val="nil"/>
                    <w:tr2bl w:val="nil"/>
                  </w:tcBorders>
                  <w:shd w:val="clear" w:color="auto" w:fill="auto"/>
                  <w:vAlign w:val="center"/>
                </w:tcPr>
                <w:p w14:paraId="170B10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喷淋塔定期排水</w:t>
                  </w:r>
                </w:p>
              </w:tc>
              <w:tc>
                <w:tcPr>
                  <w:tcW w:w="904" w:type="dxa"/>
                  <w:tcBorders>
                    <w:tl2br w:val="nil"/>
                    <w:tr2bl w:val="nil"/>
                  </w:tcBorders>
                  <w:shd w:val="clear" w:color="auto" w:fill="auto"/>
                  <w:vAlign w:val="center"/>
                </w:tcPr>
                <w:p w14:paraId="6CD2B3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W</w:t>
                  </w:r>
                  <w:r>
                    <w:rPr>
                      <w:rFonts w:hint="eastAsia" w:cs="Times New Roman"/>
                      <w:i w:val="0"/>
                      <w:iCs w:val="0"/>
                      <w:color w:val="000000"/>
                      <w:kern w:val="0"/>
                      <w:sz w:val="21"/>
                      <w:szCs w:val="21"/>
                      <w:u w:val="none"/>
                      <w:lang w:val="en-US" w:eastAsia="zh-CN" w:bidi="ar"/>
                    </w:rPr>
                    <w:t>3</w:t>
                  </w:r>
                </w:p>
              </w:tc>
              <w:tc>
                <w:tcPr>
                  <w:tcW w:w="3928" w:type="dxa"/>
                  <w:tcBorders>
                    <w:tl2br w:val="nil"/>
                    <w:tr2bl w:val="nil"/>
                  </w:tcBorders>
                  <w:shd w:val="clear" w:color="auto" w:fill="auto"/>
                  <w:vAlign w:val="center"/>
                </w:tcPr>
                <w:p w14:paraId="1A493696">
                  <w:pPr>
                    <w:widowControl/>
                    <w:jc w:val="center"/>
                    <w:textAlignment w:val="center"/>
                    <w:rPr>
                      <w:rFonts w:hint="default" w:ascii="Times New Roman" w:hAnsi="Times New Roman" w:eastAsia="宋体" w:cs="Times New Roman"/>
                      <w:i w:val="0"/>
                      <w:iCs w:val="0"/>
                      <w:color w:val="000000"/>
                      <w:sz w:val="21"/>
                      <w:szCs w:val="21"/>
                      <w:u w:val="none"/>
                    </w:rPr>
                  </w:pPr>
                  <w:r>
                    <w:rPr>
                      <w:rFonts w:hint="eastAsia"/>
                      <w:color w:val="auto"/>
                      <w:sz w:val="21"/>
                      <w:szCs w:val="21"/>
                      <w:lang w:val="en-US" w:eastAsia="zh-CN"/>
                    </w:rPr>
                    <w:t>pH、氟化物、SS、色度、TOC</w:t>
                  </w:r>
                </w:p>
              </w:tc>
            </w:tr>
            <w:tr w14:paraId="1575E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2B6D47C5">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4B78A34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cs="Times New Roman"/>
                      <w:i w:val="0"/>
                      <w:iCs w:val="0"/>
                      <w:color w:val="000000"/>
                      <w:kern w:val="0"/>
                      <w:sz w:val="21"/>
                      <w:szCs w:val="21"/>
                      <w:u w:val="none"/>
                      <w:lang w:val="en-US" w:eastAsia="zh-CN" w:bidi="ar"/>
                    </w:rPr>
                    <w:t>5</w:t>
                  </w:r>
                </w:p>
              </w:tc>
              <w:tc>
                <w:tcPr>
                  <w:tcW w:w="2365" w:type="dxa"/>
                  <w:gridSpan w:val="2"/>
                  <w:tcBorders>
                    <w:tl2br w:val="nil"/>
                    <w:tr2bl w:val="nil"/>
                  </w:tcBorders>
                  <w:shd w:val="clear" w:color="auto" w:fill="auto"/>
                  <w:vAlign w:val="center"/>
                </w:tcPr>
                <w:p w14:paraId="2169AB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地面冲洗废水</w:t>
                  </w:r>
                </w:p>
              </w:tc>
              <w:tc>
                <w:tcPr>
                  <w:tcW w:w="904" w:type="dxa"/>
                  <w:tcBorders>
                    <w:tl2br w:val="nil"/>
                    <w:tr2bl w:val="nil"/>
                  </w:tcBorders>
                  <w:shd w:val="clear" w:color="auto" w:fill="auto"/>
                  <w:vAlign w:val="center"/>
                </w:tcPr>
                <w:p w14:paraId="680468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W</w:t>
                  </w:r>
                  <w:r>
                    <w:rPr>
                      <w:rFonts w:hint="eastAsia" w:cs="Times New Roman"/>
                      <w:i w:val="0"/>
                      <w:iCs w:val="0"/>
                      <w:color w:val="000000"/>
                      <w:kern w:val="0"/>
                      <w:sz w:val="21"/>
                      <w:szCs w:val="21"/>
                      <w:u w:val="none"/>
                      <w:lang w:val="en-US" w:eastAsia="zh-CN" w:bidi="ar"/>
                    </w:rPr>
                    <w:t>4</w:t>
                  </w:r>
                </w:p>
              </w:tc>
              <w:tc>
                <w:tcPr>
                  <w:tcW w:w="3928" w:type="dxa"/>
                  <w:tcBorders>
                    <w:tl2br w:val="nil"/>
                    <w:tr2bl w:val="nil"/>
                  </w:tcBorders>
                  <w:shd w:val="clear" w:color="auto" w:fill="auto"/>
                  <w:vAlign w:val="center"/>
                </w:tcPr>
                <w:p w14:paraId="144F02D7">
                  <w:pPr>
                    <w:widowControl/>
                    <w:jc w:val="center"/>
                    <w:textAlignment w:val="center"/>
                    <w:rPr>
                      <w:rFonts w:hint="default" w:ascii="Times New Roman" w:hAnsi="Times New Roman" w:eastAsia="宋体" w:cs="Times New Roman"/>
                      <w:i w:val="0"/>
                      <w:iCs w:val="0"/>
                      <w:color w:val="000000"/>
                      <w:sz w:val="21"/>
                      <w:szCs w:val="21"/>
                      <w:u w:val="none"/>
                    </w:rPr>
                  </w:pPr>
                  <w:r>
                    <w:rPr>
                      <w:rFonts w:hint="eastAsia"/>
                      <w:color w:val="auto"/>
                      <w:sz w:val="21"/>
                      <w:szCs w:val="21"/>
                      <w:lang w:val="en-US" w:eastAsia="zh-CN"/>
                    </w:rPr>
                    <w:t>pH、SS、色度、TOC</w:t>
                  </w:r>
                </w:p>
              </w:tc>
            </w:tr>
            <w:tr w14:paraId="2E475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tcBorders>
                    <w:tl2br w:val="nil"/>
                    <w:tr2bl w:val="nil"/>
                  </w:tcBorders>
                  <w:shd w:val="clear" w:color="auto" w:fill="auto"/>
                  <w:vAlign w:val="center"/>
                </w:tcPr>
                <w:p w14:paraId="4FD891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噪声</w:t>
                  </w:r>
                </w:p>
              </w:tc>
              <w:tc>
                <w:tcPr>
                  <w:tcW w:w="800" w:type="dxa"/>
                  <w:tcBorders>
                    <w:tl2br w:val="nil"/>
                    <w:tr2bl w:val="nil"/>
                  </w:tcBorders>
                  <w:shd w:val="clear" w:color="auto" w:fill="auto"/>
                  <w:vAlign w:val="center"/>
                </w:tcPr>
                <w:p w14:paraId="4C9393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365" w:type="dxa"/>
                  <w:gridSpan w:val="2"/>
                  <w:tcBorders>
                    <w:tl2br w:val="nil"/>
                    <w:tr2bl w:val="nil"/>
                  </w:tcBorders>
                  <w:shd w:val="clear" w:color="auto" w:fill="auto"/>
                  <w:vAlign w:val="center"/>
                </w:tcPr>
                <w:p w14:paraId="17DE32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设备噪声</w:t>
                  </w:r>
                </w:p>
              </w:tc>
              <w:tc>
                <w:tcPr>
                  <w:tcW w:w="904" w:type="dxa"/>
                  <w:tcBorders>
                    <w:tl2br w:val="nil"/>
                    <w:tr2bl w:val="nil"/>
                  </w:tcBorders>
                  <w:shd w:val="clear" w:color="auto" w:fill="auto"/>
                  <w:vAlign w:val="center"/>
                </w:tcPr>
                <w:p w14:paraId="06F91C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N</w:t>
                  </w:r>
                </w:p>
              </w:tc>
              <w:tc>
                <w:tcPr>
                  <w:tcW w:w="3928" w:type="dxa"/>
                  <w:tcBorders>
                    <w:tl2br w:val="nil"/>
                    <w:tr2bl w:val="nil"/>
                  </w:tcBorders>
                  <w:shd w:val="clear" w:color="auto" w:fill="auto"/>
                  <w:vAlign w:val="center"/>
                </w:tcPr>
                <w:p w14:paraId="62A4FE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Leq</w:t>
                  </w:r>
                </w:p>
              </w:tc>
            </w:tr>
            <w:tr w14:paraId="7A6BB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restart"/>
                  <w:tcBorders>
                    <w:tl2br w:val="nil"/>
                    <w:tr2bl w:val="nil"/>
                  </w:tcBorders>
                  <w:shd w:val="clear" w:color="auto" w:fill="auto"/>
                  <w:noWrap/>
                  <w:vAlign w:val="center"/>
                </w:tcPr>
                <w:p w14:paraId="06DAEE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固废</w:t>
                  </w:r>
                </w:p>
              </w:tc>
              <w:tc>
                <w:tcPr>
                  <w:tcW w:w="800" w:type="dxa"/>
                  <w:tcBorders>
                    <w:tl2br w:val="nil"/>
                    <w:tr2bl w:val="nil"/>
                  </w:tcBorders>
                  <w:shd w:val="clear" w:color="auto" w:fill="auto"/>
                  <w:vAlign w:val="center"/>
                </w:tcPr>
                <w:p w14:paraId="6AA42D3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365" w:type="dxa"/>
                  <w:gridSpan w:val="2"/>
                  <w:tcBorders>
                    <w:tl2br w:val="nil"/>
                    <w:tr2bl w:val="nil"/>
                  </w:tcBorders>
                  <w:shd w:val="clear" w:color="auto" w:fill="auto"/>
                  <w:vAlign w:val="center"/>
                </w:tcPr>
                <w:p w14:paraId="60390E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废化学原料包装材料</w:t>
                  </w:r>
                </w:p>
              </w:tc>
              <w:tc>
                <w:tcPr>
                  <w:tcW w:w="904" w:type="dxa"/>
                  <w:tcBorders>
                    <w:tl2br w:val="nil"/>
                    <w:tr2bl w:val="nil"/>
                  </w:tcBorders>
                  <w:shd w:val="clear" w:color="auto" w:fill="auto"/>
                  <w:vAlign w:val="center"/>
                </w:tcPr>
                <w:p w14:paraId="41D1AB9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S1</w:t>
                  </w:r>
                </w:p>
              </w:tc>
              <w:tc>
                <w:tcPr>
                  <w:tcW w:w="3928" w:type="dxa"/>
                  <w:tcBorders>
                    <w:tl2br w:val="nil"/>
                    <w:tr2bl w:val="nil"/>
                  </w:tcBorders>
                  <w:shd w:val="clear" w:color="auto" w:fill="auto"/>
                  <w:vAlign w:val="center"/>
                </w:tcPr>
                <w:p w14:paraId="47B09E5C">
                  <w:pPr>
                    <w:jc w:val="center"/>
                    <w:rPr>
                      <w:rFonts w:hint="default" w:ascii="Times New Roman" w:hAnsi="Times New Roman" w:eastAsia="宋体" w:cs="Times New Roman"/>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氢氧化钠</w:t>
                  </w:r>
                  <w:r>
                    <w:rPr>
                      <w:rFonts w:hint="eastAsia" w:cs="Times New Roman"/>
                      <w:i w:val="0"/>
                      <w:iCs w:val="0"/>
                      <w:color w:val="000000"/>
                      <w:sz w:val="21"/>
                      <w:szCs w:val="21"/>
                      <w:u w:val="none"/>
                      <w:lang w:val="en-US" w:eastAsia="zh-CN"/>
                    </w:rPr>
                    <w:t>、脱色剂等</w:t>
                  </w:r>
                </w:p>
              </w:tc>
            </w:tr>
            <w:tr w14:paraId="6913B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28B610B7">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355C7EA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2365" w:type="dxa"/>
                  <w:gridSpan w:val="2"/>
                  <w:tcBorders>
                    <w:tl2br w:val="nil"/>
                    <w:tr2bl w:val="nil"/>
                  </w:tcBorders>
                  <w:shd w:val="clear" w:color="auto" w:fill="auto"/>
                  <w:vAlign w:val="center"/>
                </w:tcPr>
                <w:p w14:paraId="65F835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沉淀池渣</w:t>
                  </w:r>
                </w:p>
              </w:tc>
              <w:tc>
                <w:tcPr>
                  <w:tcW w:w="904" w:type="dxa"/>
                  <w:tcBorders>
                    <w:tl2br w:val="nil"/>
                    <w:tr2bl w:val="nil"/>
                  </w:tcBorders>
                  <w:shd w:val="clear" w:color="auto" w:fill="auto"/>
                  <w:vAlign w:val="center"/>
                </w:tcPr>
                <w:p w14:paraId="00B1CC72">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S2</w:t>
                  </w:r>
                </w:p>
              </w:tc>
              <w:tc>
                <w:tcPr>
                  <w:tcW w:w="3928" w:type="dxa"/>
                  <w:tcBorders>
                    <w:tl2br w:val="nil"/>
                    <w:tr2bl w:val="nil"/>
                  </w:tcBorders>
                  <w:shd w:val="clear" w:color="auto" w:fill="auto"/>
                  <w:vAlign w:val="center"/>
                </w:tcPr>
                <w:p w14:paraId="07309F97">
                  <w:pPr>
                    <w:jc w:val="center"/>
                    <w:rPr>
                      <w:rFonts w:hint="default" w:ascii="Times New Roman" w:hAnsi="Times New Roman" w:eastAsia="宋体" w:cs="Times New Roman"/>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污泥</w:t>
                  </w:r>
                </w:p>
              </w:tc>
            </w:tr>
            <w:tr w14:paraId="20613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3569297B">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0FE938A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2365" w:type="dxa"/>
                  <w:gridSpan w:val="2"/>
                  <w:tcBorders>
                    <w:tl2br w:val="nil"/>
                    <w:tr2bl w:val="nil"/>
                  </w:tcBorders>
                  <w:shd w:val="clear" w:color="auto" w:fill="auto"/>
                  <w:vAlign w:val="center"/>
                </w:tcPr>
                <w:p w14:paraId="4F58D6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除尘器收尘</w:t>
                  </w:r>
                </w:p>
              </w:tc>
              <w:tc>
                <w:tcPr>
                  <w:tcW w:w="904" w:type="dxa"/>
                  <w:tcBorders>
                    <w:tl2br w:val="nil"/>
                    <w:tr2bl w:val="nil"/>
                  </w:tcBorders>
                  <w:shd w:val="clear" w:color="auto" w:fill="auto"/>
                  <w:vAlign w:val="center"/>
                </w:tcPr>
                <w:p w14:paraId="686A67C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S3</w:t>
                  </w:r>
                </w:p>
              </w:tc>
              <w:tc>
                <w:tcPr>
                  <w:tcW w:w="3928" w:type="dxa"/>
                  <w:tcBorders>
                    <w:tl2br w:val="nil"/>
                    <w:tr2bl w:val="nil"/>
                  </w:tcBorders>
                  <w:shd w:val="clear" w:color="auto" w:fill="auto"/>
                  <w:vAlign w:val="center"/>
                </w:tcPr>
                <w:p w14:paraId="613A2CB5">
                  <w:pPr>
                    <w:jc w:val="center"/>
                    <w:rPr>
                      <w:rFonts w:hint="default" w:ascii="Times New Roman" w:hAnsi="Times New Roman" w:eastAsia="宋体" w:cs="Times New Roman"/>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颗粒物、炭黑尘</w:t>
                  </w:r>
                </w:p>
              </w:tc>
            </w:tr>
            <w:tr w14:paraId="51CC7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72E15966">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048911C2">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2365" w:type="dxa"/>
                  <w:gridSpan w:val="2"/>
                  <w:tcBorders>
                    <w:tl2br w:val="nil"/>
                    <w:tr2bl w:val="nil"/>
                  </w:tcBorders>
                  <w:shd w:val="clear" w:color="auto" w:fill="auto"/>
                  <w:vAlign w:val="center"/>
                </w:tcPr>
                <w:p w14:paraId="2F458BC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废布袋</w:t>
                  </w:r>
                </w:p>
              </w:tc>
              <w:tc>
                <w:tcPr>
                  <w:tcW w:w="904" w:type="dxa"/>
                  <w:tcBorders>
                    <w:tl2br w:val="nil"/>
                    <w:tr2bl w:val="nil"/>
                  </w:tcBorders>
                  <w:shd w:val="clear" w:color="auto" w:fill="auto"/>
                  <w:vAlign w:val="center"/>
                </w:tcPr>
                <w:p w14:paraId="1F23FDB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S4</w:t>
                  </w:r>
                </w:p>
              </w:tc>
              <w:tc>
                <w:tcPr>
                  <w:tcW w:w="3928" w:type="dxa"/>
                  <w:tcBorders>
                    <w:tl2br w:val="nil"/>
                    <w:tr2bl w:val="nil"/>
                  </w:tcBorders>
                  <w:shd w:val="clear" w:color="auto" w:fill="auto"/>
                  <w:vAlign w:val="center"/>
                </w:tcPr>
                <w:p w14:paraId="68195E3D">
                  <w:pPr>
                    <w:jc w:val="center"/>
                    <w:rPr>
                      <w:rFonts w:hint="default" w:ascii="Times New Roman" w:hAnsi="Times New Roman" w:eastAsia="宋体" w:cs="Times New Roman"/>
                      <w:i w:val="0"/>
                      <w:iCs w:val="0"/>
                      <w:color w:val="000000"/>
                      <w:sz w:val="21"/>
                      <w:szCs w:val="21"/>
                      <w:u w:val="none"/>
                      <w:lang w:val="en-US" w:eastAsia="zh-CN"/>
                    </w:rPr>
                  </w:pPr>
                  <w:r>
                    <w:rPr>
                      <w:rFonts w:hint="eastAsia" w:cs="Times New Roman"/>
                      <w:i w:val="0"/>
                      <w:iCs w:val="0"/>
                      <w:color w:val="000000"/>
                      <w:sz w:val="21"/>
                      <w:szCs w:val="21"/>
                      <w:u w:val="none"/>
                      <w:lang w:val="en-US" w:eastAsia="zh-CN"/>
                    </w:rPr>
                    <w:t>布袋</w:t>
                  </w:r>
                </w:p>
              </w:tc>
            </w:tr>
            <w:tr w14:paraId="2CF6B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3E74B718">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11FCD39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2365" w:type="dxa"/>
                  <w:gridSpan w:val="2"/>
                  <w:tcBorders>
                    <w:tl2br w:val="nil"/>
                    <w:tr2bl w:val="nil"/>
                  </w:tcBorders>
                  <w:shd w:val="clear" w:color="auto" w:fill="auto"/>
                  <w:vAlign w:val="center"/>
                </w:tcPr>
                <w:p w14:paraId="5B7F05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废活性炭</w:t>
                  </w:r>
                </w:p>
              </w:tc>
              <w:tc>
                <w:tcPr>
                  <w:tcW w:w="904" w:type="dxa"/>
                  <w:tcBorders>
                    <w:tl2br w:val="nil"/>
                    <w:tr2bl w:val="nil"/>
                  </w:tcBorders>
                  <w:shd w:val="clear" w:color="auto" w:fill="auto"/>
                  <w:vAlign w:val="center"/>
                </w:tcPr>
                <w:p w14:paraId="7AD0BF6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S5</w:t>
                  </w:r>
                </w:p>
              </w:tc>
              <w:tc>
                <w:tcPr>
                  <w:tcW w:w="3928" w:type="dxa"/>
                  <w:tcBorders>
                    <w:tl2br w:val="nil"/>
                    <w:tr2bl w:val="nil"/>
                  </w:tcBorders>
                  <w:shd w:val="clear" w:color="auto" w:fill="auto"/>
                  <w:vAlign w:val="center"/>
                </w:tcPr>
                <w:p w14:paraId="57AF0141">
                  <w:pPr>
                    <w:jc w:val="center"/>
                    <w:rPr>
                      <w:rFonts w:hint="eastAsia" w:ascii="Times New Roman" w:hAnsi="Times New Roman" w:eastAsia="宋体" w:cs="Times New Roman"/>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含VOCs的活性炭</w:t>
                  </w:r>
                </w:p>
              </w:tc>
            </w:tr>
            <w:tr w14:paraId="2068F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15FA324B">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7929F41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2365" w:type="dxa"/>
                  <w:gridSpan w:val="2"/>
                  <w:tcBorders>
                    <w:tl2br w:val="nil"/>
                    <w:tr2bl w:val="nil"/>
                  </w:tcBorders>
                  <w:shd w:val="clear" w:color="auto" w:fill="auto"/>
                  <w:vAlign w:val="center"/>
                </w:tcPr>
                <w:p w14:paraId="75EC59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废润滑油</w:t>
                  </w:r>
                </w:p>
              </w:tc>
              <w:tc>
                <w:tcPr>
                  <w:tcW w:w="904" w:type="dxa"/>
                  <w:tcBorders>
                    <w:tl2br w:val="nil"/>
                    <w:tr2bl w:val="nil"/>
                  </w:tcBorders>
                  <w:shd w:val="clear" w:color="auto" w:fill="auto"/>
                  <w:vAlign w:val="center"/>
                </w:tcPr>
                <w:p w14:paraId="07CFE57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S6</w:t>
                  </w:r>
                </w:p>
              </w:tc>
              <w:tc>
                <w:tcPr>
                  <w:tcW w:w="3928" w:type="dxa"/>
                  <w:vMerge w:val="restart"/>
                  <w:tcBorders>
                    <w:tl2br w:val="nil"/>
                    <w:tr2bl w:val="nil"/>
                  </w:tcBorders>
                  <w:shd w:val="clear" w:color="auto" w:fill="auto"/>
                  <w:vAlign w:val="center"/>
                </w:tcPr>
                <w:p w14:paraId="078A21B6">
                  <w:pPr>
                    <w:jc w:val="center"/>
                    <w:rPr>
                      <w:rFonts w:hint="default" w:ascii="Times New Roman" w:hAnsi="Times New Roman" w:eastAsia="宋体" w:cs="Times New Roman"/>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油</w:t>
                  </w:r>
                  <w:r>
                    <w:rPr>
                      <w:rFonts w:hint="eastAsia" w:cs="Times New Roman"/>
                      <w:i w:val="0"/>
                      <w:iCs w:val="0"/>
                      <w:color w:val="000000"/>
                      <w:sz w:val="21"/>
                      <w:szCs w:val="21"/>
                      <w:u w:val="none"/>
                      <w:lang w:val="en-US" w:eastAsia="zh-CN"/>
                    </w:rPr>
                    <w:t>类</w:t>
                  </w:r>
                </w:p>
              </w:tc>
            </w:tr>
            <w:tr w14:paraId="6C76C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0ACC5485">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28A928F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2365" w:type="dxa"/>
                  <w:gridSpan w:val="2"/>
                  <w:tcBorders>
                    <w:tl2br w:val="nil"/>
                    <w:tr2bl w:val="nil"/>
                  </w:tcBorders>
                  <w:shd w:val="clear" w:color="auto" w:fill="auto"/>
                  <w:vAlign w:val="center"/>
                </w:tcPr>
                <w:p w14:paraId="5CA119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废液压油</w:t>
                  </w:r>
                </w:p>
              </w:tc>
              <w:tc>
                <w:tcPr>
                  <w:tcW w:w="904" w:type="dxa"/>
                  <w:tcBorders>
                    <w:tl2br w:val="nil"/>
                    <w:tr2bl w:val="nil"/>
                  </w:tcBorders>
                  <w:shd w:val="clear" w:color="auto" w:fill="auto"/>
                  <w:vAlign w:val="center"/>
                </w:tcPr>
                <w:p w14:paraId="3B73041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S7</w:t>
                  </w:r>
                </w:p>
              </w:tc>
              <w:tc>
                <w:tcPr>
                  <w:tcW w:w="3928" w:type="dxa"/>
                  <w:vMerge w:val="continue"/>
                  <w:tcBorders>
                    <w:tl2br w:val="nil"/>
                    <w:tr2bl w:val="nil"/>
                  </w:tcBorders>
                  <w:shd w:val="clear" w:color="auto" w:fill="auto"/>
                  <w:vAlign w:val="center"/>
                </w:tcPr>
                <w:p w14:paraId="59498985">
                  <w:pPr>
                    <w:jc w:val="center"/>
                    <w:rPr>
                      <w:rFonts w:hint="default" w:ascii="Times New Roman" w:hAnsi="Times New Roman" w:eastAsia="宋体" w:cs="Times New Roman"/>
                      <w:i w:val="0"/>
                      <w:iCs w:val="0"/>
                      <w:color w:val="000000"/>
                      <w:sz w:val="21"/>
                      <w:szCs w:val="21"/>
                      <w:u w:val="none"/>
                    </w:rPr>
                  </w:pPr>
                </w:p>
              </w:tc>
            </w:tr>
            <w:tr w14:paraId="2FD96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31DC21D8">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5DE14E5B">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2365" w:type="dxa"/>
                  <w:gridSpan w:val="2"/>
                  <w:tcBorders>
                    <w:tl2br w:val="nil"/>
                    <w:tr2bl w:val="nil"/>
                  </w:tcBorders>
                  <w:shd w:val="clear" w:color="auto" w:fill="auto"/>
                  <w:vAlign w:val="center"/>
                </w:tcPr>
                <w:p w14:paraId="648631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废油桶</w:t>
                  </w:r>
                </w:p>
              </w:tc>
              <w:tc>
                <w:tcPr>
                  <w:tcW w:w="904" w:type="dxa"/>
                  <w:tcBorders>
                    <w:tl2br w:val="nil"/>
                    <w:tr2bl w:val="nil"/>
                  </w:tcBorders>
                  <w:shd w:val="clear" w:color="auto" w:fill="auto"/>
                  <w:vAlign w:val="center"/>
                </w:tcPr>
                <w:p w14:paraId="6EDE63A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S8</w:t>
                  </w:r>
                </w:p>
              </w:tc>
              <w:tc>
                <w:tcPr>
                  <w:tcW w:w="3928" w:type="dxa"/>
                  <w:vMerge w:val="continue"/>
                  <w:tcBorders>
                    <w:tl2br w:val="nil"/>
                    <w:tr2bl w:val="nil"/>
                  </w:tcBorders>
                  <w:shd w:val="clear" w:color="auto" w:fill="auto"/>
                  <w:vAlign w:val="center"/>
                </w:tcPr>
                <w:p w14:paraId="352DFD52">
                  <w:pPr>
                    <w:jc w:val="center"/>
                    <w:rPr>
                      <w:rFonts w:hint="default" w:ascii="Times New Roman" w:hAnsi="Times New Roman" w:eastAsia="宋体" w:cs="Times New Roman"/>
                      <w:i w:val="0"/>
                      <w:iCs w:val="0"/>
                      <w:color w:val="000000"/>
                      <w:sz w:val="21"/>
                      <w:szCs w:val="21"/>
                      <w:u w:val="none"/>
                    </w:rPr>
                  </w:pPr>
                </w:p>
              </w:tc>
            </w:tr>
            <w:tr w14:paraId="54DA2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25BD2D28">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4BDFF8C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2365" w:type="dxa"/>
                  <w:gridSpan w:val="2"/>
                  <w:tcBorders>
                    <w:tl2br w:val="nil"/>
                    <w:tr2bl w:val="nil"/>
                  </w:tcBorders>
                  <w:shd w:val="clear" w:color="auto" w:fill="auto"/>
                  <w:vAlign w:val="center"/>
                </w:tcPr>
                <w:p w14:paraId="4C25D9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含油废手套</w:t>
                  </w:r>
                </w:p>
              </w:tc>
              <w:tc>
                <w:tcPr>
                  <w:tcW w:w="904" w:type="dxa"/>
                  <w:tcBorders>
                    <w:tl2br w:val="nil"/>
                    <w:tr2bl w:val="nil"/>
                  </w:tcBorders>
                  <w:shd w:val="clear" w:color="auto" w:fill="auto"/>
                  <w:vAlign w:val="center"/>
                </w:tcPr>
                <w:p w14:paraId="69E1A11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S9</w:t>
                  </w:r>
                </w:p>
              </w:tc>
              <w:tc>
                <w:tcPr>
                  <w:tcW w:w="3928" w:type="dxa"/>
                  <w:vMerge w:val="continue"/>
                  <w:tcBorders>
                    <w:tl2br w:val="nil"/>
                    <w:tr2bl w:val="nil"/>
                  </w:tcBorders>
                  <w:shd w:val="clear" w:color="auto" w:fill="auto"/>
                  <w:vAlign w:val="center"/>
                </w:tcPr>
                <w:p w14:paraId="1B43577E">
                  <w:pPr>
                    <w:jc w:val="center"/>
                    <w:rPr>
                      <w:rFonts w:hint="default" w:ascii="Times New Roman" w:hAnsi="Times New Roman" w:eastAsia="宋体" w:cs="Times New Roman"/>
                      <w:i w:val="0"/>
                      <w:iCs w:val="0"/>
                      <w:color w:val="000000"/>
                      <w:sz w:val="21"/>
                      <w:szCs w:val="21"/>
                      <w:u w:val="none"/>
                    </w:rPr>
                  </w:pPr>
                </w:p>
              </w:tc>
            </w:tr>
            <w:tr w14:paraId="7F72C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Merge w:val="continue"/>
                  <w:tcBorders>
                    <w:tl2br w:val="nil"/>
                    <w:tr2bl w:val="nil"/>
                  </w:tcBorders>
                  <w:shd w:val="clear" w:color="auto" w:fill="auto"/>
                  <w:noWrap/>
                  <w:vAlign w:val="center"/>
                </w:tcPr>
                <w:p w14:paraId="6ACDD5AF">
                  <w:pPr>
                    <w:jc w:val="center"/>
                    <w:rPr>
                      <w:rFonts w:hint="eastAsia" w:ascii="宋体" w:hAnsi="宋体" w:eastAsia="宋体" w:cs="宋体"/>
                      <w:i w:val="0"/>
                      <w:iCs w:val="0"/>
                      <w:color w:val="000000"/>
                      <w:sz w:val="21"/>
                      <w:szCs w:val="21"/>
                      <w:u w:val="none"/>
                    </w:rPr>
                  </w:pPr>
                </w:p>
              </w:tc>
              <w:tc>
                <w:tcPr>
                  <w:tcW w:w="800" w:type="dxa"/>
                  <w:tcBorders>
                    <w:tl2br w:val="nil"/>
                    <w:tr2bl w:val="nil"/>
                  </w:tcBorders>
                  <w:shd w:val="clear" w:color="auto" w:fill="auto"/>
                  <w:vAlign w:val="center"/>
                </w:tcPr>
                <w:p w14:paraId="70948B1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10</w:t>
                  </w:r>
                </w:p>
              </w:tc>
              <w:tc>
                <w:tcPr>
                  <w:tcW w:w="2365" w:type="dxa"/>
                  <w:gridSpan w:val="2"/>
                  <w:tcBorders>
                    <w:tl2br w:val="nil"/>
                    <w:tr2bl w:val="nil"/>
                  </w:tcBorders>
                  <w:shd w:val="clear" w:color="auto" w:fill="auto"/>
                  <w:vAlign w:val="center"/>
                </w:tcPr>
                <w:p w14:paraId="5ADB6BA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生活垃圾</w:t>
                  </w:r>
                </w:p>
              </w:tc>
              <w:tc>
                <w:tcPr>
                  <w:tcW w:w="904" w:type="dxa"/>
                  <w:tcBorders>
                    <w:tl2br w:val="nil"/>
                    <w:tr2bl w:val="nil"/>
                  </w:tcBorders>
                  <w:shd w:val="clear" w:color="auto" w:fill="auto"/>
                  <w:vAlign w:val="center"/>
                </w:tcPr>
                <w:p w14:paraId="2D780D2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S10</w:t>
                  </w:r>
                </w:p>
              </w:tc>
              <w:tc>
                <w:tcPr>
                  <w:tcW w:w="3928" w:type="dxa"/>
                  <w:tcBorders>
                    <w:tl2br w:val="nil"/>
                    <w:tr2bl w:val="nil"/>
                  </w:tcBorders>
                  <w:shd w:val="clear" w:color="auto" w:fill="auto"/>
                  <w:vAlign w:val="center"/>
                </w:tcPr>
                <w:p w14:paraId="6C845568">
                  <w:pPr>
                    <w:jc w:val="center"/>
                    <w:rPr>
                      <w:rFonts w:hint="eastAsia" w:ascii="Times New Roman" w:hAnsi="Times New Roman" w:eastAsia="宋体" w:cs="Times New Roman"/>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生活垃圾</w:t>
                  </w:r>
                </w:p>
              </w:tc>
            </w:tr>
          </w:tbl>
          <w:p w14:paraId="57FC89A5">
            <w:pPr>
              <w:keepNext/>
              <w:keepLines/>
              <w:pageBreakBefore w:val="0"/>
              <w:widowControl w:val="0"/>
              <w:kinsoku/>
              <w:wordWrap/>
              <w:overflowPunct/>
              <w:topLinePunct w:val="0"/>
              <w:autoSpaceDE/>
              <w:autoSpaceDN/>
              <w:bidi w:val="0"/>
              <w:adjustRightInd/>
              <w:snapToGrid/>
              <w:spacing w:before="0" w:after="0" w:line="480" w:lineRule="atLeast"/>
              <w:ind w:firstLine="420" w:firstLineChars="200"/>
              <w:jc w:val="both"/>
              <w:textAlignment w:val="auto"/>
              <w:outlineLvl w:val="3"/>
              <w:rPr>
                <w:rFonts w:hint="eastAsia" w:cs="Times New Roman"/>
                <w:color w:val="auto"/>
                <w:spacing w:val="0"/>
                <w:position w:val="0"/>
                <w:lang w:val="en-US" w:eastAsia="zh-CN"/>
              </w:rPr>
            </w:pPr>
          </w:p>
          <w:p w14:paraId="3DB47962">
            <w:pPr>
              <w:keepNext/>
              <w:keepLines/>
              <w:pageBreakBefore w:val="0"/>
              <w:widowControl w:val="0"/>
              <w:kinsoku/>
              <w:wordWrap/>
              <w:overflowPunct/>
              <w:topLinePunct w:val="0"/>
              <w:autoSpaceDE/>
              <w:autoSpaceDN/>
              <w:bidi w:val="0"/>
              <w:adjustRightInd/>
              <w:snapToGrid/>
              <w:spacing w:before="0" w:after="0" w:line="480" w:lineRule="atLeast"/>
              <w:ind w:firstLine="420" w:firstLineChars="200"/>
              <w:jc w:val="both"/>
              <w:textAlignment w:val="auto"/>
              <w:outlineLvl w:val="3"/>
              <w:rPr>
                <w:rFonts w:hint="eastAsia" w:cs="Times New Roman"/>
                <w:color w:val="auto"/>
                <w:spacing w:val="0"/>
                <w:position w:val="0"/>
                <w:lang w:val="en-US" w:eastAsia="zh-CN"/>
              </w:rPr>
            </w:pPr>
          </w:p>
          <w:p w14:paraId="3A802FBF">
            <w:pPr>
              <w:keepNext/>
              <w:keepLines/>
              <w:pageBreakBefore w:val="0"/>
              <w:widowControl w:val="0"/>
              <w:kinsoku/>
              <w:wordWrap/>
              <w:overflowPunct/>
              <w:topLinePunct w:val="0"/>
              <w:autoSpaceDE/>
              <w:autoSpaceDN/>
              <w:bidi w:val="0"/>
              <w:adjustRightInd/>
              <w:snapToGrid/>
              <w:spacing w:before="0" w:after="0" w:line="480" w:lineRule="atLeast"/>
              <w:ind w:firstLine="420" w:firstLineChars="200"/>
              <w:jc w:val="both"/>
              <w:textAlignment w:val="auto"/>
              <w:outlineLvl w:val="3"/>
              <w:rPr>
                <w:rFonts w:hint="eastAsia" w:cs="Times New Roman"/>
                <w:color w:val="auto"/>
                <w:spacing w:val="0"/>
                <w:position w:val="0"/>
                <w:lang w:val="en-US" w:eastAsia="zh-CN"/>
              </w:rPr>
            </w:pPr>
          </w:p>
          <w:p w14:paraId="0188F930">
            <w:pPr>
              <w:keepNext/>
              <w:keepLines/>
              <w:pageBreakBefore w:val="0"/>
              <w:widowControl w:val="0"/>
              <w:kinsoku/>
              <w:wordWrap/>
              <w:overflowPunct/>
              <w:topLinePunct w:val="0"/>
              <w:autoSpaceDE/>
              <w:autoSpaceDN/>
              <w:bidi w:val="0"/>
              <w:adjustRightInd/>
              <w:snapToGrid/>
              <w:spacing w:before="0" w:after="0" w:line="480" w:lineRule="atLeast"/>
              <w:jc w:val="both"/>
              <w:textAlignment w:val="auto"/>
              <w:outlineLvl w:val="3"/>
              <w:rPr>
                <w:rFonts w:hint="eastAsia" w:ascii="Times New Roman" w:hAnsi="Times New Roman" w:eastAsia="宋体" w:cs="Times New Roman"/>
                <w:color w:val="auto"/>
                <w:spacing w:val="0"/>
                <w:position w:val="0"/>
                <w:lang w:val="en-US" w:eastAsia="zh-CN"/>
              </w:rPr>
            </w:pPr>
          </w:p>
        </w:tc>
      </w:tr>
      <w:tr w14:paraId="2D6B4E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752" w:hRule="atLeast"/>
        </w:trPr>
        <w:tc>
          <w:tcPr>
            <w:tcW w:w="414" w:type="pct"/>
            <w:vAlign w:val="center"/>
          </w:tcPr>
          <w:p w14:paraId="5631CC94">
            <w:pPr>
              <w:widowControl/>
              <w:adjustRightInd w:val="0"/>
              <w:snapToGrid w:val="0"/>
              <w:spacing w:before="0" w:beforeAutospacing="0" w:after="0" w:afterAutospacing="0"/>
              <w:jc w:val="center"/>
              <w:rPr>
                <w:rFonts w:hint="default" w:ascii="Times New Roman" w:hAnsi="Times New Roman" w:eastAsia="宋体" w:cs="Times New Roman"/>
                <w:b/>
                <w:bCs/>
                <w:color w:val="auto"/>
                <w:spacing w:val="0"/>
                <w:kern w:val="0"/>
                <w:position w:val="0"/>
                <w:sz w:val="24"/>
                <w:szCs w:val="24"/>
                <w:lang w:val="en-US" w:eastAsia="zh-CN" w:bidi="ar-SA"/>
              </w:rPr>
            </w:pPr>
            <w:r>
              <w:rPr>
                <w:rFonts w:hint="default" w:ascii="Times New Roman" w:hAnsi="Times New Roman" w:eastAsia="宋体" w:cs="Times New Roman"/>
                <w:b/>
                <w:bCs/>
                <w:color w:val="auto"/>
                <w:spacing w:val="0"/>
                <w:kern w:val="2"/>
                <w:position w:val="0"/>
                <w:sz w:val="24"/>
                <w:szCs w:val="24"/>
                <w:lang w:val="en-US" w:eastAsia="zh-CN" w:bidi="ar-SA"/>
              </w:rPr>
              <w:t>与项目有关的原有环境污染问题</w:t>
            </w:r>
          </w:p>
        </w:tc>
        <w:tc>
          <w:tcPr>
            <w:tcW w:w="4585" w:type="pct"/>
          </w:tcPr>
          <w:p w14:paraId="6655AD0D">
            <w:pPr>
              <w:adjustRightInd w:val="0"/>
              <w:snapToGrid w:val="0"/>
              <w:spacing w:line="480" w:lineRule="exact"/>
              <w:ind w:firstLine="480" w:firstLineChars="200"/>
              <w:rPr>
                <w:rFonts w:hint="default" w:ascii="Times New Roman" w:hAnsi="Times New Roman" w:eastAsia="宋体" w:cs="Times New Roman"/>
                <w:color w:val="0000FF"/>
                <w:kern w:val="0"/>
                <w:sz w:val="24"/>
                <w:highlight w:val="none"/>
                <w:lang w:val="en-US" w:eastAsia="zh-CN"/>
              </w:rPr>
            </w:pPr>
            <w:r>
              <w:rPr>
                <w:rFonts w:hint="default" w:ascii="Times New Roman" w:hAnsi="Times New Roman" w:eastAsia="宋体" w:cs="Times New Roman"/>
                <w:color w:val="auto"/>
                <w:kern w:val="0"/>
                <w:sz w:val="24"/>
                <w:szCs w:val="24"/>
                <w:highlight w:val="none"/>
                <w:lang w:eastAsia="zh-CN" w:bidi="ar"/>
              </w:rPr>
              <w:t>拟建项目</w:t>
            </w:r>
            <w:r>
              <w:rPr>
                <w:rFonts w:hint="eastAsia" w:ascii="Times New Roman" w:hAnsi="Times New Roman" w:eastAsia="宋体" w:cs="Times New Roman"/>
                <w:color w:val="auto"/>
                <w:kern w:val="0"/>
                <w:sz w:val="24"/>
                <w:szCs w:val="24"/>
                <w:highlight w:val="none"/>
                <w:lang w:val="en-US" w:eastAsia="zh-CN" w:bidi="ar"/>
              </w:rPr>
              <w:t>主要</w:t>
            </w:r>
            <w:r>
              <w:rPr>
                <w:rFonts w:hint="eastAsia" w:cs="Times New Roman"/>
                <w:color w:val="0000FF"/>
                <w:kern w:val="0"/>
                <w:sz w:val="24"/>
                <w:szCs w:val="24"/>
                <w:highlight w:val="none"/>
                <w:lang w:val="en-US" w:eastAsia="zh-CN" w:bidi="ar"/>
              </w:rPr>
              <w:t>租赁</w:t>
            </w:r>
            <w:r>
              <w:rPr>
                <w:rFonts w:hint="eastAsia" w:ascii="Times New Roman" w:hAnsi="Times New Roman" w:cs="Times New Roman"/>
                <w:color w:val="0000FF"/>
                <w:kern w:val="0"/>
                <w:sz w:val="24"/>
                <w:szCs w:val="24"/>
                <w:highlight w:val="none"/>
                <w:lang w:val="en-US" w:eastAsia="zh-CN" w:bidi="ar"/>
              </w:rPr>
              <w:t>池州市</w:t>
            </w:r>
            <w:r>
              <w:rPr>
                <w:rFonts w:hint="eastAsia" w:ascii="Times New Roman" w:hAnsi="Times New Roman" w:eastAsia="宋体" w:cs="Times New Roman"/>
                <w:color w:val="0000FF"/>
                <w:kern w:val="0"/>
                <w:sz w:val="24"/>
                <w:szCs w:val="24"/>
                <w:highlight w:val="none"/>
                <w:lang w:val="en-US" w:eastAsia="zh-CN" w:bidi="ar"/>
              </w:rPr>
              <w:t>皖江江南新兴产业集中区万凯工业园7#厂房</w:t>
            </w:r>
            <w:r>
              <w:rPr>
                <w:rFonts w:hint="eastAsia" w:ascii="Times New Roman" w:hAnsi="Times New Roman" w:cs="Times New Roman"/>
                <w:color w:val="0000FF"/>
                <w:sz w:val="24"/>
                <w:highlight w:val="none"/>
                <w:lang w:val="en-US" w:eastAsia="zh-CN"/>
              </w:rPr>
              <w:t>，</w:t>
            </w:r>
            <w:r>
              <w:rPr>
                <w:rFonts w:hint="eastAsia" w:cs="Times New Roman"/>
                <w:color w:val="0000FF"/>
                <w:sz w:val="24"/>
                <w:highlight w:val="none"/>
                <w:lang w:val="en-US" w:eastAsia="zh-CN"/>
              </w:rPr>
              <w:t>项目入驻前为空置厂房，</w:t>
            </w:r>
            <w:r>
              <w:rPr>
                <w:rFonts w:hint="eastAsia" w:ascii="Times New Roman" w:hAnsi="Times New Roman" w:eastAsia="宋体" w:cs="Times New Roman"/>
                <w:color w:val="0000FF"/>
                <w:kern w:val="0"/>
                <w:sz w:val="24"/>
                <w:highlight w:val="none"/>
                <w:lang w:val="en-US" w:eastAsia="zh-CN"/>
              </w:rPr>
              <w:t>无</w:t>
            </w:r>
            <w:r>
              <w:rPr>
                <w:rFonts w:hint="default" w:ascii="Times New Roman" w:hAnsi="Times New Roman" w:eastAsia="宋体" w:cs="Times New Roman"/>
                <w:color w:val="0000FF"/>
                <w:kern w:val="0"/>
                <w:sz w:val="24"/>
                <w:highlight w:val="none"/>
                <w:lang w:val="en-US" w:eastAsia="zh-CN"/>
              </w:rPr>
              <w:t>原有环境污染问题</w:t>
            </w:r>
            <w:r>
              <w:rPr>
                <w:rFonts w:hint="eastAsia" w:ascii="Times New Roman" w:hAnsi="Times New Roman" w:eastAsia="宋体" w:cs="Times New Roman"/>
                <w:color w:val="0000FF"/>
                <w:kern w:val="0"/>
                <w:sz w:val="24"/>
                <w:highlight w:val="none"/>
                <w:lang w:val="en-US" w:eastAsia="zh-CN"/>
              </w:rPr>
              <w:t>。</w:t>
            </w:r>
          </w:p>
          <w:p w14:paraId="6D8C471A">
            <w:pPr>
              <w:adjustRightInd w:val="0"/>
              <w:snapToGrid w:val="0"/>
              <w:spacing w:line="480" w:lineRule="exact"/>
              <w:ind w:firstLine="480" w:firstLineChars="200"/>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0000FF"/>
                <w:kern w:val="0"/>
                <w:sz w:val="24"/>
                <w:szCs w:val="24"/>
                <w:highlight w:val="none"/>
                <w:lang w:val="en-US" w:eastAsia="zh-CN" w:bidi="ar"/>
              </w:rPr>
              <w:t>万凯工业园为安徽省江之南建设发展有限公司投资建设，主要为厂房建设用于出租。</w:t>
            </w:r>
          </w:p>
          <w:p w14:paraId="1FAC6811">
            <w:pPr>
              <w:adjustRightInd w:val="0"/>
              <w:snapToGrid w:val="0"/>
              <w:spacing w:line="480" w:lineRule="exact"/>
              <w:rPr>
                <w:rFonts w:hint="eastAsia" w:cs="Times New Roman"/>
                <w:bCs/>
                <w:color w:val="auto"/>
                <w:spacing w:val="0"/>
                <w:position w:val="0"/>
                <w:szCs w:val="21"/>
                <w:lang w:eastAsia="zh-CN"/>
              </w:rPr>
            </w:pPr>
          </w:p>
          <w:p w14:paraId="545A674A">
            <w:pPr>
              <w:adjustRightInd w:val="0"/>
              <w:snapToGrid w:val="0"/>
              <w:spacing w:line="480" w:lineRule="exact"/>
              <w:rPr>
                <w:rFonts w:hint="eastAsia" w:cs="Times New Roman"/>
                <w:bCs/>
                <w:color w:val="auto"/>
                <w:spacing w:val="0"/>
                <w:position w:val="0"/>
                <w:szCs w:val="21"/>
                <w:lang w:eastAsia="zh-CN"/>
              </w:rPr>
            </w:pPr>
          </w:p>
          <w:p w14:paraId="31785F20">
            <w:pPr>
              <w:adjustRightInd w:val="0"/>
              <w:snapToGrid w:val="0"/>
              <w:spacing w:line="480" w:lineRule="exact"/>
              <w:rPr>
                <w:rFonts w:hint="eastAsia" w:cs="Times New Roman"/>
                <w:bCs/>
                <w:color w:val="auto"/>
                <w:spacing w:val="0"/>
                <w:position w:val="0"/>
                <w:szCs w:val="21"/>
                <w:lang w:eastAsia="zh-CN"/>
              </w:rPr>
            </w:pPr>
          </w:p>
          <w:p w14:paraId="1BDAF371">
            <w:pPr>
              <w:adjustRightInd w:val="0"/>
              <w:snapToGrid w:val="0"/>
              <w:spacing w:line="480" w:lineRule="exact"/>
              <w:rPr>
                <w:rFonts w:hint="eastAsia" w:cs="Times New Roman"/>
                <w:bCs/>
                <w:color w:val="auto"/>
                <w:spacing w:val="0"/>
                <w:position w:val="0"/>
                <w:szCs w:val="21"/>
                <w:lang w:eastAsia="zh-CN"/>
              </w:rPr>
            </w:pPr>
          </w:p>
          <w:p w14:paraId="39E5A876">
            <w:pPr>
              <w:adjustRightInd w:val="0"/>
              <w:snapToGrid w:val="0"/>
              <w:spacing w:line="480" w:lineRule="exact"/>
              <w:rPr>
                <w:rFonts w:hint="eastAsia" w:cs="Times New Roman"/>
                <w:bCs/>
                <w:color w:val="auto"/>
                <w:spacing w:val="0"/>
                <w:position w:val="0"/>
                <w:szCs w:val="21"/>
                <w:lang w:eastAsia="zh-CN"/>
              </w:rPr>
            </w:pPr>
          </w:p>
          <w:p w14:paraId="29C96532">
            <w:pPr>
              <w:adjustRightInd w:val="0"/>
              <w:snapToGrid w:val="0"/>
              <w:spacing w:line="480" w:lineRule="exact"/>
              <w:rPr>
                <w:rFonts w:hint="eastAsia" w:cs="Times New Roman"/>
                <w:bCs/>
                <w:color w:val="auto"/>
                <w:spacing w:val="0"/>
                <w:position w:val="0"/>
                <w:szCs w:val="21"/>
                <w:lang w:eastAsia="zh-CN"/>
              </w:rPr>
            </w:pPr>
          </w:p>
          <w:p w14:paraId="17FE9C71">
            <w:pPr>
              <w:adjustRightInd w:val="0"/>
              <w:snapToGrid w:val="0"/>
              <w:spacing w:line="480" w:lineRule="exact"/>
              <w:rPr>
                <w:rFonts w:hint="eastAsia" w:cs="Times New Roman"/>
                <w:bCs/>
                <w:color w:val="auto"/>
                <w:spacing w:val="0"/>
                <w:position w:val="0"/>
                <w:szCs w:val="21"/>
                <w:lang w:eastAsia="zh-CN"/>
              </w:rPr>
            </w:pPr>
          </w:p>
          <w:p w14:paraId="68E755F3">
            <w:pPr>
              <w:adjustRightInd w:val="0"/>
              <w:snapToGrid w:val="0"/>
              <w:spacing w:line="480" w:lineRule="exact"/>
              <w:rPr>
                <w:rFonts w:hint="eastAsia" w:cs="Times New Roman"/>
                <w:bCs/>
                <w:color w:val="auto"/>
                <w:spacing w:val="0"/>
                <w:position w:val="0"/>
                <w:szCs w:val="21"/>
                <w:lang w:eastAsia="zh-CN"/>
              </w:rPr>
            </w:pPr>
          </w:p>
          <w:p w14:paraId="118D84E5">
            <w:pPr>
              <w:adjustRightInd w:val="0"/>
              <w:snapToGrid w:val="0"/>
              <w:spacing w:line="480" w:lineRule="exact"/>
              <w:rPr>
                <w:rFonts w:hint="eastAsia" w:cs="Times New Roman"/>
                <w:bCs/>
                <w:color w:val="auto"/>
                <w:spacing w:val="0"/>
                <w:position w:val="0"/>
                <w:szCs w:val="21"/>
                <w:lang w:eastAsia="zh-CN"/>
              </w:rPr>
            </w:pPr>
          </w:p>
          <w:p w14:paraId="0D4C803E">
            <w:pPr>
              <w:adjustRightInd w:val="0"/>
              <w:snapToGrid w:val="0"/>
              <w:spacing w:line="480" w:lineRule="exact"/>
              <w:rPr>
                <w:rFonts w:hint="eastAsia" w:cs="Times New Roman"/>
                <w:bCs/>
                <w:color w:val="auto"/>
                <w:spacing w:val="0"/>
                <w:position w:val="0"/>
                <w:szCs w:val="21"/>
                <w:lang w:eastAsia="zh-CN"/>
              </w:rPr>
            </w:pPr>
          </w:p>
          <w:p w14:paraId="73B03962">
            <w:pPr>
              <w:adjustRightInd w:val="0"/>
              <w:snapToGrid w:val="0"/>
              <w:spacing w:line="480" w:lineRule="exact"/>
              <w:rPr>
                <w:rFonts w:hint="eastAsia" w:cs="Times New Roman"/>
                <w:bCs/>
                <w:color w:val="auto"/>
                <w:spacing w:val="0"/>
                <w:position w:val="0"/>
                <w:szCs w:val="21"/>
                <w:lang w:eastAsia="zh-CN"/>
              </w:rPr>
            </w:pPr>
          </w:p>
          <w:p w14:paraId="4089CA4F">
            <w:pPr>
              <w:adjustRightInd w:val="0"/>
              <w:snapToGrid w:val="0"/>
              <w:spacing w:line="480" w:lineRule="exact"/>
              <w:rPr>
                <w:rFonts w:hint="eastAsia" w:cs="Times New Roman"/>
                <w:bCs/>
                <w:color w:val="auto"/>
                <w:spacing w:val="0"/>
                <w:position w:val="0"/>
                <w:szCs w:val="21"/>
                <w:lang w:eastAsia="zh-CN"/>
              </w:rPr>
            </w:pPr>
          </w:p>
          <w:p w14:paraId="66AAEC02">
            <w:pPr>
              <w:adjustRightInd w:val="0"/>
              <w:snapToGrid w:val="0"/>
              <w:spacing w:line="480" w:lineRule="exact"/>
              <w:rPr>
                <w:rFonts w:hint="eastAsia" w:cs="Times New Roman"/>
                <w:bCs/>
                <w:color w:val="auto"/>
                <w:spacing w:val="0"/>
                <w:position w:val="0"/>
                <w:szCs w:val="21"/>
                <w:lang w:eastAsia="zh-CN"/>
              </w:rPr>
            </w:pPr>
          </w:p>
          <w:p w14:paraId="6A26C28A">
            <w:pPr>
              <w:adjustRightInd w:val="0"/>
              <w:snapToGrid w:val="0"/>
              <w:spacing w:line="480" w:lineRule="exact"/>
              <w:rPr>
                <w:rFonts w:hint="eastAsia" w:cs="Times New Roman"/>
                <w:bCs/>
                <w:color w:val="auto"/>
                <w:spacing w:val="0"/>
                <w:position w:val="0"/>
                <w:szCs w:val="21"/>
                <w:lang w:eastAsia="zh-CN"/>
              </w:rPr>
            </w:pPr>
          </w:p>
          <w:p w14:paraId="34C1D5AB">
            <w:pPr>
              <w:adjustRightInd w:val="0"/>
              <w:snapToGrid w:val="0"/>
              <w:spacing w:line="480" w:lineRule="exact"/>
              <w:rPr>
                <w:rFonts w:hint="eastAsia" w:cs="Times New Roman"/>
                <w:bCs/>
                <w:color w:val="auto"/>
                <w:spacing w:val="0"/>
                <w:position w:val="0"/>
                <w:szCs w:val="21"/>
                <w:lang w:eastAsia="zh-CN"/>
              </w:rPr>
            </w:pPr>
          </w:p>
          <w:p w14:paraId="2F8A125A">
            <w:pPr>
              <w:adjustRightInd w:val="0"/>
              <w:snapToGrid w:val="0"/>
              <w:spacing w:line="480" w:lineRule="exact"/>
              <w:rPr>
                <w:rFonts w:hint="eastAsia" w:cs="Times New Roman"/>
                <w:bCs/>
                <w:color w:val="auto"/>
                <w:spacing w:val="0"/>
                <w:position w:val="0"/>
                <w:szCs w:val="21"/>
                <w:lang w:eastAsia="zh-CN"/>
              </w:rPr>
            </w:pPr>
          </w:p>
          <w:p w14:paraId="32E89B56">
            <w:pPr>
              <w:adjustRightInd w:val="0"/>
              <w:snapToGrid w:val="0"/>
              <w:spacing w:line="480" w:lineRule="exact"/>
              <w:rPr>
                <w:rFonts w:hint="eastAsia" w:cs="Times New Roman"/>
                <w:bCs/>
                <w:color w:val="auto"/>
                <w:spacing w:val="0"/>
                <w:position w:val="0"/>
                <w:szCs w:val="21"/>
                <w:lang w:eastAsia="zh-CN"/>
              </w:rPr>
            </w:pPr>
          </w:p>
          <w:p w14:paraId="3AAA8863">
            <w:pPr>
              <w:adjustRightInd w:val="0"/>
              <w:snapToGrid w:val="0"/>
              <w:spacing w:line="480" w:lineRule="exact"/>
              <w:rPr>
                <w:rFonts w:hint="eastAsia" w:cs="Times New Roman"/>
                <w:bCs/>
                <w:color w:val="auto"/>
                <w:spacing w:val="0"/>
                <w:position w:val="0"/>
                <w:szCs w:val="21"/>
                <w:lang w:eastAsia="zh-CN"/>
              </w:rPr>
            </w:pPr>
          </w:p>
          <w:p w14:paraId="1814D67A">
            <w:pPr>
              <w:adjustRightInd w:val="0"/>
              <w:snapToGrid w:val="0"/>
              <w:spacing w:line="480" w:lineRule="exact"/>
              <w:rPr>
                <w:rFonts w:hint="eastAsia" w:cs="Times New Roman"/>
                <w:bCs/>
                <w:color w:val="auto"/>
                <w:spacing w:val="0"/>
                <w:position w:val="0"/>
                <w:szCs w:val="21"/>
                <w:lang w:eastAsia="zh-CN"/>
              </w:rPr>
            </w:pPr>
          </w:p>
          <w:p w14:paraId="2EC098A5">
            <w:pPr>
              <w:adjustRightInd w:val="0"/>
              <w:snapToGrid w:val="0"/>
              <w:spacing w:line="480" w:lineRule="exact"/>
              <w:rPr>
                <w:rFonts w:hint="eastAsia" w:cs="Times New Roman"/>
                <w:bCs/>
                <w:color w:val="auto"/>
                <w:spacing w:val="0"/>
                <w:position w:val="0"/>
                <w:szCs w:val="21"/>
                <w:lang w:eastAsia="zh-CN"/>
              </w:rPr>
            </w:pPr>
          </w:p>
          <w:p w14:paraId="6BC010D5">
            <w:pPr>
              <w:adjustRightInd w:val="0"/>
              <w:snapToGrid w:val="0"/>
              <w:spacing w:line="480" w:lineRule="exact"/>
              <w:rPr>
                <w:rFonts w:hint="eastAsia" w:cs="Times New Roman"/>
                <w:bCs/>
                <w:color w:val="auto"/>
                <w:spacing w:val="0"/>
                <w:position w:val="0"/>
                <w:szCs w:val="21"/>
                <w:lang w:eastAsia="zh-CN"/>
              </w:rPr>
            </w:pPr>
          </w:p>
          <w:p w14:paraId="6B13167E">
            <w:pPr>
              <w:adjustRightInd w:val="0"/>
              <w:snapToGrid w:val="0"/>
              <w:spacing w:line="480" w:lineRule="exact"/>
              <w:rPr>
                <w:rFonts w:hint="eastAsia" w:cs="Times New Roman"/>
                <w:bCs/>
                <w:color w:val="auto"/>
                <w:spacing w:val="0"/>
                <w:position w:val="0"/>
                <w:szCs w:val="21"/>
                <w:lang w:eastAsia="zh-CN"/>
              </w:rPr>
            </w:pPr>
          </w:p>
          <w:p w14:paraId="2C6D7431">
            <w:pPr>
              <w:adjustRightInd w:val="0"/>
              <w:snapToGrid w:val="0"/>
              <w:spacing w:line="480" w:lineRule="exact"/>
              <w:rPr>
                <w:rFonts w:hint="eastAsia" w:cs="Times New Roman"/>
                <w:bCs/>
                <w:color w:val="auto"/>
                <w:spacing w:val="0"/>
                <w:position w:val="0"/>
                <w:szCs w:val="21"/>
                <w:lang w:eastAsia="zh-CN"/>
              </w:rPr>
            </w:pPr>
          </w:p>
          <w:p w14:paraId="7DBDB7DD">
            <w:pPr>
              <w:adjustRightInd w:val="0"/>
              <w:snapToGrid w:val="0"/>
              <w:spacing w:line="480" w:lineRule="exact"/>
              <w:rPr>
                <w:rFonts w:hint="eastAsia" w:ascii="Times New Roman" w:hAnsi="Times New Roman" w:eastAsia="宋体" w:cs="Times New Roman"/>
                <w:bCs/>
                <w:color w:val="auto"/>
                <w:spacing w:val="0"/>
                <w:position w:val="0"/>
                <w:szCs w:val="21"/>
                <w:lang w:eastAsia="zh-CN"/>
              </w:rPr>
            </w:pPr>
          </w:p>
        </w:tc>
      </w:tr>
    </w:tbl>
    <w:p w14:paraId="7CACC10E">
      <w:pPr>
        <w:pStyle w:val="23"/>
        <w:adjustRightInd w:val="0"/>
        <w:snapToGrid w:val="0"/>
        <w:spacing w:before="0" w:beforeAutospacing="0" w:after="0" w:afterAutospacing="0"/>
        <w:jc w:val="both"/>
        <w:rPr>
          <w:rFonts w:hint="default"/>
        </w:rPr>
      </w:pPr>
    </w:p>
    <w:p w14:paraId="39F5F2E6">
      <w:pPr>
        <w:pStyle w:val="3"/>
        <w:bidi w:val="0"/>
        <w:rPr>
          <w:rFonts w:hint="default"/>
        </w:rPr>
      </w:pPr>
      <w:bookmarkStart w:id="8" w:name="_Toc5544"/>
      <w:r>
        <w:rPr>
          <w:rFonts w:hint="default"/>
        </w:rPr>
        <w:t>三、区域环境质量现状、环境保护目标及评价标准</w:t>
      </w:r>
      <w:bookmarkEnd w:id="3"/>
      <w:bookmarkEnd w:id="8"/>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32"/>
        <w:gridCol w:w="9329"/>
      </w:tblGrid>
      <w:tr w14:paraId="3CDBE0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63" w:hRule="atLeast"/>
          <w:jc w:val="center"/>
        </w:trPr>
        <w:tc>
          <w:tcPr>
            <w:tcW w:w="736" w:type="dxa"/>
            <w:vAlign w:val="center"/>
          </w:tcPr>
          <w:p w14:paraId="2F3C842C">
            <w:pPr>
              <w:adjustRightInd w:val="0"/>
              <w:snapToGrid w:val="0"/>
              <w:jc w:val="center"/>
              <w:rPr>
                <w:rFonts w:hint="default" w:ascii="Times New Roman" w:hAnsi="Times New Roman" w:cs="Times New Roman"/>
                <w:b/>
                <w:bCs/>
                <w:color w:val="auto"/>
                <w:spacing w:val="0"/>
                <w:kern w:val="0"/>
                <w:position w:val="0"/>
                <w:sz w:val="24"/>
                <w:szCs w:val="24"/>
              </w:rPr>
            </w:pPr>
            <w:r>
              <w:rPr>
                <w:rFonts w:hint="default" w:ascii="Times New Roman" w:hAnsi="Times New Roman" w:cs="Times New Roman"/>
                <w:b/>
                <w:bCs/>
                <w:color w:val="auto"/>
                <w:spacing w:val="0"/>
                <w:kern w:val="0"/>
                <w:position w:val="0"/>
                <w:sz w:val="24"/>
                <w:szCs w:val="24"/>
              </w:rPr>
              <w:t>区域</w:t>
            </w:r>
          </w:p>
          <w:p w14:paraId="6842B98F">
            <w:pPr>
              <w:adjustRightInd w:val="0"/>
              <w:snapToGrid w:val="0"/>
              <w:jc w:val="center"/>
              <w:rPr>
                <w:rFonts w:hint="default" w:ascii="Times New Roman" w:hAnsi="Times New Roman" w:cs="Times New Roman"/>
                <w:b/>
                <w:bCs/>
                <w:color w:val="auto"/>
                <w:spacing w:val="0"/>
                <w:kern w:val="0"/>
                <w:position w:val="0"/>
                <w:sz w:val="24"/>
                <w:szCs w:val="24"/>
              </w:rPr>
            </w:pPr>
            <w:r>
              <w:rPr>
                <w:rFonts w:hint="default" w:ascii="Times New Roman" w:hAnsi="Times New Roman" w:cs="Times New Roman"/>
                <w:b/>
                <w:bCs/>
                <w:color w:val="auto"/>
                <w:spacing w:val="0"/>
                <w:kern w:val="0"/>
                <w:position w:val="0"/>
                <w:sz w:val="24"/>
                <w:szCs w:val="24"/>
              </w:rPr>
              <w:t>环境</w:t>
            </w:r>
          </w:p>
          <w:p w14:paraId="54B80714">
            <w:pPr>
              <w:adjustRightInd w:val="0"/>
              <w:snapToGrid w:val="0"/>
              <w:jc w:val="center"/>
              <w:rPr>
                <w:rFonts w:hint="default" w:ascii="Times New Roman" w:hAnsi="Times New Roman" w:cs="Times New Roman"/>
                <w:b/>
                <w:bCs/>
                <w:color w:val="auto"/>
                <w:spacing w:val="0"/>
                <w:kern w:val="0"/>
                <w:position w:val="0"/>
                <w:sz w:val="24"/>
                <w:szCs w:val="24"/>
              </w:rPr>
            </w:pPr>
            <w:r>
              <w:rPr>
                <w:rFonts w:hint="default" w:ascii="Times New Roman" w:hAnsi="Times New Roman" w:cs="Times New Roman"/>
                <w:b/>
                <w:bCs/>
                <w:color w:val="auto"/>
                <w:spacing w:val="0"/>
                <w:kern w:val="0"/>
                <w:position w:val="0"/>
                <w:sz w:val="24"/>
                <w:szCs w:val="24"/>
              </w:rPr>
              <w:t>质量</w:t>
            </w:r>
          </w:p>
          <w:p w14:paraId="61BE51C4">
            <w:pPr>
              <w:adjustRightInd w:val="0"/>
              <w:snapToGrid w:val="0"/>
              <w:jc w:val="center"/>
              <w:rPr>
                <w:rFonts w:hint="default" w:ascii="Times New Roman" w:hAnsi="Times New Roman" w:cs="Times New Roman"/>
                <w:b/>
                <w:bCs/>
                <w:color w:val="auto"/>
                <w:spacing w:val="0"/>
                <w:kern w:val="0"/>
                <w:position w:val="0"/>
                <w:sz w:val="24"/>
                <w:szCs w:val="24"/>
              </w:rPr>
            </w:pPr>
            <w:r>
              <w:rPr>
                <w:rFonts w:hint="default" w:ascii="Times New Roman" w:hAnsi="Times New Roman" w:cs="Times New Roman"/>
                <w:b/>
                <w:bCs/>
                <w:color w:val="auto"/>
                <w:spacing w:val="0"/>
                <w:kern w:val="0"/>
                <w:position w:val="0"/>
                <w:sz w:val="24"/>
                <w:szCs w:val="24"/>
              </w:rPr>
              <w:t>现状</w:t>
            </w:r>
          </w:p>
        </w:tc>
        <w:tc>
          <w:tcPr>
            <w:tcW w:w="9225" w:type="dxa"/>
            <w:vAlign w:val="center"/>
          </w:tcPr>
          <w:p w14:paraId="7035C933">
            <w:pPr>
              <w:widowControl w:val="0"/>
              <w:spacing w:line="480" w:lineRule="atLeast"/>
              <w:jc w:val="both"/>
              <w:rPr>
                <w:rFonts w:hint="default" w:ascii="Times New Roman" w:hAnsi="Times New Roman" w:eastAsia="宋体" w:cs="Times New Roman"/>
                <w:b/>
                <w:color w:val="auto"/>
                <w:spacing w:val="0"/>
                <w:kern w:val="2"/>
                <w:position w:val="0"/>
                <w:sz w:val="24"/>
                <w:szCs w:val="24"/>
                <w:lang w:val="en-US" w:eastAsia="zh-CN" w:bidi="ar-SA"/>
              </w:rPr>
            </w:pPr>
            <w:r>
              <w:rPr>
                <w:rFonts w:hint="default" w:ascii="Times New Roman" w:hAnsi="Times New Roman" w:eastAsia="宋体" w:cs="Times New Roman"/>
                <w:b/>
                <w:color w:val="auto"/>
                <w:spacing w:val="0"/>
                <w:kern w:val="2"/>
                <w:position w:val="0"/>
                <w:sz w:val="24"/>
                <w:szCs w:val="24"/>
                <w:lang w:val="en-US" w:eastAsia="zh-CN" w:bidi="ar-SA"/>
              </w:rPr>
              <w:t>1、环境空气质量现状</w:t>
            </w:r>
          </w:p>
          <w:p w14:paraId="2185E51F">
            <w:pPr>
              <w:spacing w:line="480" w:lineRule="atLeast"/>
              <w:ind w:firstLine="482" w:firstLineChars="200"/>
              <w:rPr>
                <w:rFonts w:hint="default" w:ascii="Times New Roman" w:hAnsi="Times New Roman" w:eastAsia="宋体" w:cs="Times New Roman"/>
                <w:b/>
                <w:bCs/>
                <w:color w:val="auto"/>
                <w:spacing w:val="0"/>
                <w:position w:val="0"/>
                <w:sz w:val="24"/>
              </w:rPr>
            </w:pPr>
            <w:r>
              <w:rPr>
                <w:rFonts w:hint="eastAsia" w:cs="Times New Roman"/>
                <w:b/>
                <w:bCs/>
                <w:color w:val="auto"/>
                <w:spacing w:val="0"/>
                <w:position w:val="0"/>
                <w:sz w:val="24"/>
                <w:lang w:eastAsia="zh-CN"/>
              </w:rPr>
              <w:t>（</w:t>
            </w:r>
            <w:r>
              <w:rPr>
                <w:rFonts w:hint="default" w:ascii="Times New Roman" w:hAnsi="Times New Roman" w:eastAsia="宋体" w:cs="Times New Roman"/>
                <w:b/>
                <w:bCs/>
                <w:color w:val="auto"/>
                <w:spacing w:val="0"/>
                <w:position w:val="0"/>
                <w:sz w:val="24"/>
              </w:rPr>
              <w:t>1）达标区判定</w:t>
            </w:r>
          </w:p>
          <w:p w14:paraId="53C65DCD">
            <w:pPr>
              <w:keepNext w:val="0"/>
              <w:keepLines w:val="0"/>
              <w:pageBreakBefore w:val="0"/>
              <w:kinsoku/>
              <w:wordWrap/>
              <w:overflowPunct/>
              <w:topLinePunct w:val="0"/>
              <w:autoSpaceDE/>
              <w:autoSpaceDN/>
              <w:bidi w:val="0"/>
              <w:adjustRightInd/>
              <w:snapToGrid/>
              <w:spacing w:line="480" w:lineRule="atLeast"/>
              <w:ind w:right="0" w:firstLine="480" w:firstLineChars="200"/>
              <w:textAlignment w:val="auto"/>
              <w:rPr>
                <w:rFonts w:hint="default" w:ascii="Times New Roman" w:hAnsi="Times New Roman" w:eastAsia="宋体" w:cs="Times New Roman"/>
                <w:bCs/>
                <w:caps w:val="0"/>
                <w:color w:val="auto"/>
                <w:spacing w:val="0"/>
                <w:w w:val="100"/>
                <w:position w:val="0"/>
                <w:sz w:val="24"/>
              </w:rPr>
            </w:pPr>
            <w:r>
              <w:rPr>
                <w:color w:val="auto"/>
                <w:spacing w:val="0"/>
                <w:position w:val="0"/>
                <w:sz w:val="24"/>
              </w:rPr>
              <w:t>根据《建设项目环境影响报告表编制技术指南》</w:t>
            </w:r>
            <w:r>
              <w:rPr>
                <w:rFonts w:hint="eastAsia"/>
                <w:color w:val="auto"/>
                <w:spacing w:val="0"/>
                <w:position w:val="0"/>
                <w:sz w:val="24"/>
                <w:lang w:eastAsia="zh-CN"/>
              </w:rPr>
              <w:t>（</w:t>
            </w:r>
            <w:r>
              <w:rPr>
                <w:rFonts w:hint="eastAsia"/>
                <w:color w:val="auto"/>
                <w:spacing w:val="0"/>
                <w:position w:val="0"/>
                <w:sz w:val="24"/>
              </w:rPr>
              <w:t>污染影响类</w:t>
            </w:r>
            <w:r>
              <w:rPr>
                <w:color w:val="auto"/>
                <w:spacing w:val="0"/>
                <w:position w:val="0"/>
                <w:sz w:val="24"/>
              </w:rPr>
              <w:t>）</w:t>
            </w:r>
            <w:r>
              <w:rPr>
                <w:rFonts w:hint="eastAsia"/>
                <w:color w:val="auto"/>
                <w:spacing w:val="0"/>
                <w:position w:val="0"/>
                <w:sz w:val="24"/>
              </w:rPr>
              <w:t>：</w:t>
            </w:r>
            <w:r>
              <w:rPr>
                <w:rFonts w:hint="eastAsia"/>
                <w:color w:val="auto"/>
                <w:spacing w:val="0"/>
                <w:position w:val="0"/>
                <w:sz w:val="24"/>
                <w:lang w:eastAsia="zh-CN"/>
              </w:rPr>
              <w:t>“</w:t>
            </w:r>
            <w:r>
              <w:rPr>
                <w:rFonts w:hint="eastAsia"/>
                <w:color w:val="auto"/>
                <w:spacing w:val="0"/>
                <w:position w:val="0"/>
                <w:sz w:val="24"/>
              </w:rPr>
              <w:t>1.大气环境。常规污染物引用与建设项目距离近的有效数据，包括近3年的规划环境影响评价的监测数据，国家、地方环境空气质量监测网数据或生态环境主管部门公开发布的质量数据等。排放国家、地方环境空气质量标准中有标准限值要求的特征污染物时，引用建设项目周边5千米范围内近3年的现有监测数据，无相关数据的选择当季主导风向下风向1个点位补充不少于3天的监测数据。</w:t>
            </w:r>
            <w:r>
              <w:rPr>
                <w:rFonts w:hint="eastAsia"/>
                <w:color w:val="auto"/>
                <w:spacing w:val="0"/>
                <w:position w:val="0"/>
                <w:sz w:val="24"/>
                <w:lang w:eastAsia="zh-CN"/>
              </w:rPr>
              <w:t>”</w:t>
            </w:r>
            <w:r>
              <w:rPr>
                <w:color w:val="auto"/>
                <w:spacing w:val="0"/>
                <w:position w:val="0"/>
                <w:sz w:val="24"/>
              </w:rPr>
              <w:t>。</w:t>
            </w:r>
          </w:p>
          <w:p w14:paraId="1D2307E1">
            <w:pPr>
              <w:keepNext w:val="0"/>
              <w:keepLines w:val="0"/>
              <w:pageBreakBefore w:val="0"/>
              <w:kinsoku/>
              <w:wordWrap/>
              <w:overflowPunct/>
              <w:topLinePunct w:val="0"/>
              <w:autoSpaceDE/>
              <w:autoSpaceDN/>
              <w:bidi w:val="0"/>
              <w:adjustRightInd/>
              <w:snapToGrid/>
              <w:spacing w:line="480" w:lineRule="atLeast"/>
              <w:ind w:right="0" w:firstLine="480" w:firstLineChars="200"/>
              <w:textAlignment w:val="auto"/>
              <w:rPr>
                <w:rFonts w:hint="default" w:ascii="Times New Roman" w:hAnsi="Times New Roman" w:eastAsia="宋体" w:cs="Times New Roman"/>
                <w:color w:val="auto"/>
                <w:spacing w:val="0"/>
                <w:position w:val="0"/>
                <w:sz w:val="24"/>
                <w:szCs w:val="24"/>
                <w:lang w:val="en-US" w:eastAsia="zh-CN"/>
              </w:rPr>
            </w:pPr>
            <w:r>
              <w:rPr>
                <w:rFonts w:hint="default" w:ascii="Times New Roman" w:hAnsi="Times New Roman" w:eastAsia="宋体" w:cs="Times New Roman"/>
                <w:bCs/>
                <w:caps w:val="0"/>
                <w:color w:val="auto"/>
                <w:spacing w:val="0"/>
                <w:w w:val="100"/>
                <w:position w:val="0"/>
                <w:sz w:val="24"/>
                <w:lang w:val="en-US" w:eastAsia="zh-CN"/>
              </w:rPr>
              <w:t>根据《</w:t>
            </w:r>
            <w:r>
              <w:rPr>
                <w:rFonts w:hint="eastAsia" w:cs="Times New Roman"/>
                <w:bCs/>
                <w:caps w:val="0"/>
                <w:color w:val="auto"/>
                <w:spacing w:val="0"/>
                <w:w w:val="100"/>
                <w:position w:val="0"/>
                <w:sz w:val="24"/>
                <w:lang w:eastAsia="zh-CN"/>
              </w:rPr>
              <w:t>2024年池州市生态环境状况公报</w:t>
            </w:r>
            <w:r>
              <w:rPr>
                <w:rFonts w:hint="default" w:ascii="Times New Roman" w:hAnsi="Times New Roman" w:eastAsia="宋体" w:cs="Times New Roman"/>
                <w:bCs/>
                <w:caps w:val="0"/>
                <w:color w:val="auto"/>
                <w:spacing w:val="0"/>
                <w:w w:val="100"/>
                <w:position w:val="0"/>
                <w:sz w:val="24"/>
                <w:szCs w:val="24"/>
                <w:lang w:val="en-US" w:eastAsia="zh-CN"/>
              </w:rPr>
              <w:t>》：</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2024年，池州市全年城区空气质量达到优、良的天数共319天，优良率87.2%，城区环境空气质量达到二级标准。环境空气中二氧化硫</w:t>
            </w:r>
            <w:r>
              <w:rPr>
                <w:rFonts w:hint="eastAsia" w:cs="Times New Roman"/>
                <w:i w:val="0"/>
                <w:iCs w:val="0"/>
                <w:caps w:val="0"/>
                <w:color w:val="auto"/>
                <w:spacing w:val="0"/>
                <w:kern w:val="0"/>
                <w:sz w:val="24"/>
                <w:szCs w:val="24"/>
                <w:shd w:val="clear" w:fill="FFFFFF"/>
                <w:lang w:val="en-US" w:eastAsia="zh-CN" w:bidi="ar"/>
              </w:rPr>
              <w:t>（</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SO</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2</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）、二氧化氮</w:t>
            </w:r>
            <w:r>
              <w:rPr>
                <w:rFonts w:hint="eastAsia" w:cs="Times New Roman"/>
                <w:i w:val="0"/>
                <w:iCs w:val="0"/>
                <w:caps w:val="0"/>
                <w:color w:val="auto"/>
                <w:spacing w:val="0"/>
                <w:kern w:val="0"/>
                <w:sz w:val="24"/>
                <w:szCs w:val="24"/>
                <w:shd w:val="clear" w:fill="FFFFFF"/>
                <w:lang w:val="en-US" w:eastAsia="zh-CN" w:bidi="ar"/>
              </w:rPr>
              <w:t>（</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NO</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2</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）、可吸入颗粒物</w:t>
            </w:r>
            <w:r>
              <w:rPr>
                <w:rFonts w:hint="eastAsia" w:cs="Times New Roman"/>
                <w:i w:val="0"/>
                <w:iCs w:val="0"/>
                <w:caps w:val="0"/>
                <w:color w:val="auto"/>
                <w:spacing w:val="0"/>
                <w:kern w:val="0"/>
                <w:sz w:val="24"/>
                <w:szCs w:val="24"/>
                <w:shd w:val="clear" w:fill="FFFFFF"/>
                <w:lang w:val="en-US" w:eastAsia="zh-CN" w:bidi="ar"/>
              </w:rPr>
              <w:t>（</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PM</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10</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）、细颗粒物</w:t>
            </w:r>
            <w:r>
              <w:rPr>
                <w:rFonts w:hint="eastAsia" w:cs="Times New Roman"/>
                <w:i w:val="0"/>
                <w:iCs w:val="0"/>
                <w:caps w:val="0"/>
                <w:color w:val="auto"/>
                <w:spacing w:val="0"/>
                <w:kern w:val="0"/>
                <w:sz w:val="24"/>
                <w:szCs w:val="24"/>
                <w:shd w:val="clear" w:fill="FFFFFF"/>
                <w:lang w:val="en-US" w:eastAsia="zh-CN" w:bidi="ar"/>
              </w:rPr>
              <w:t>（</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PM</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2.5</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）年均浓度分别为5、20、47、31微克/立方米，臭氧</w:t>
            </w:r>
            <w:r>
              <w:rPr>
                <w:rFonts w:hint="eastAsia" w:cs="Times New Roman"/>
                <w:i w:val="0"/>
                <w:iCs w:val="0"/>
                <w:caps w:val="0"/>
                <w:color w:val="auto"/>
                <w:spacing w:val="0"/>
                <w:kern w:val="0"/>
                <w:sz w:val="24"/>
                <w:szCs w:val="24"/>
                <w:shd w:val="clear" w:fill="FFFFFF"/>
                <w:lang w:val="en-US" w:eastAsia="zh-CN" w:bidi="ar"/>
              </w:rPr>
              <w:t>（</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O</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3</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）日最大八小时滑动平均第90百分位数浓度为154微克/立方米，一氧化碳</w:t>
            </w:r>
            <w:r>
              <w:rPr>
                <w:rFonts w:hint="eastAsia" w:cs="Times New Roman"/>
                <w:i w:val="0"/>
                <w:iCs w:val="0"/>
                <w:caps w:val="0"/>
                <w:color w:val="auto"/>
                <w:spacing w:val="0"/>
                <w:kern w:val="0"/>
                <w:sz w:val="24"/>
                <w:szCs w:val="24"/>
                <w:shd w:val="clear" w:fill="FFFFFF"/>
                <w:lang w:val="en-US" w:eastAsia="zh-CN" w:bidi="ar"/>
              </w:rPr>
              <w:t>（</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CO）日均值第95百分位浓度为1.0毫克/立方米，与2023年相比SO</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2</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、PM</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10</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、PM</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2.5</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年均浓度分别下降了16.7%、7.8%、3.1%，臭氧</w:t>
            </w:r>
            <w:r>
              <w:rPr>
                <w:rFonts w:hint="eastAsia" w:cs="Times New Roman"/>
                <w:i w:val="0"/>
                <w:iCs w:val="0"/>
                <w:caps w:val="0"/>
                <w:color w:val="auto"/>
                <w:spacing w:val="0"/>
                <w:kern w:val="0"/>
                <w:sz w:val="24"/>
                <w:szCs w:val="24"/>
                <w:shd w:val="clear" w:fill="FFFFFF"/>
                <w:lang w:val="en-US" w:eastAsia="zh-CN" w:bidi="ar"/>
              </w:rPr>
              <w:t>（</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O</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3</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）日最大八小时滑动平均第90百分位数浓度下降了1.3%，NO</w:t>
            </w:r>
            <w:r>
              <w:rPr>
                <w:rFonts w:hint="default" w:ascii="Times New Roman" w:hAnsi="Times New Roman" w:eastAsia="宋体" w:cs="Times New Roman"/>
                <w:i w:val="0"/>
                <w:iCs w:val="0"/>
                <w:caps w:val="0"/>
                <w:color w:val="auto"/>
                <w:spacing w:val="0"/>
                <w:kern w:val="0"/>
                <w:sz w:val="24"/>
                <w:szCs w:val="24"/>
                <w:shd w:val="clear" w:fill="FFFFFF"/>
                <w:vertAlign w:val="subscript"/>
                <w:lang w:val="en-US" w:eastAsia="zh-CN" w:bidi="ar"/>
              </w:rPr>
              <w:t>2</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年均浓度和一氧化碳</w:t>
            </w:r>
            <w:r>
              <w:rPr>
                <w:rFonts w:hint="eastAsia" w:cs="Times New Roman"/>
                <w:i w:val="0"/>
                <w:iCs w:val="0"/>
                <w:caps w:val="0"/>
                <w:color w:val="auto"/>
                <w:spacing w:val="0"/>
                <w:kern w:val="0"/>
                <w:sz w:val="24"/>
                <w:szCs w:val="24"/>
                <w:shd w:val="clear" w:fill="FFFFFF"/>
                <w:lang w:val="en-US" w:eastAsia="zh-CN" w:bidi="ar"/>
              </w:rPr>
              <w:t>（</w:t>
            </w:r>
            <w:r>
              <w:rPr>
                <w:rFonts w:hint="default" w:ascii="Times New Roman" w:hAnsi="Times New Roman" w:eastAsia="宋体" w:cs="Times New Roman"/>
                <w:i w:val="0"/>
                <w:iCs w:val="0"/>
                <w:caps w:val="0"/>
                <w:color w:val="auto"/>
                <w:spacing w:val="0"/>
                <w:kern w:val="0"/>
                <w:sz w:val="24"/>
                <w:szCs w:val="24"/>
                <w:shd w:val="clear" w:fill="FFFFFF"/>
                <w:lang w:val="en-US" w:eastAsia="zh-CN" w:bidi="ar"/>
              </w:rPr>
              <w:t>CO）日均值第95百分位数浓度均与去年持平。城区大气降水pH值年均值为6.38，全年仅出现一次酸雨，酸雨频率为0.7%</w:t>
            </w:r>
            <w:r>
              <w:rPr>
                <w:rFonts w:hint="eastAsia" w:cs="Times New Roman"/>
                <w:i w:val="0"/>
                <w:iCs w:val="0"/>
                <w:caps w:val="0"/>
                <w:color w:val="auto"/>
                <w:spacing w:val="0"/>
                <w:kern w:val="0"/>
                <w:sz w:val="24"/>
                <w:szCs w:val="24"/>
                <w:shd w:val="clear" w:fill="FFFFFF"/>
                <w:lang w:val="en-US" w:eastAsia="zh-CN" w:bidi="ar"/>
              </w:rPr>
              <w:t>。</w:t>
            </w:r>
          </w:p>
          <w:p w14:paraId="509DFEC5">
            <w:pPr>
              <w:keepNext w:val="0"/>
              <w:keepLines w:val="0"/>
              <w:pageBreakBefore w:val="0"/>
              <w:widowControl/>
              <w:suppressLineNumbers w:val="0"/>
              <w:kinsoku/>
              <w:wordWrap/>
              <w:overflowPunct/>
              <w:topLinePunct w:val="0"/>
              <w:autoSpaceDE/>
              <w:autoSpaceDN/>
              <w:bidi w:val="0"/>
              <w:adjustRightInd/>
              <w:snapToGrid/>
              <w:spacing w:line="480" w:lineRule="atLeast"/>
              <w:ind w:right="0" w:firstLine="0" w:firstLineChars="0"/>
              <w:jc w:val="center"/>
              <w:textAlignment w:val="auto"/>
              <w:rPr>
                <w:rFonts w:hint="default" w:ascii="Times New Roman" w:hAnsi="Times New Roman" w:eastAsia="宋体" w:cs="Times New Roman"/>
                <w:b/>
                <w:bCs/>
                <w:caps w:val="0"/>
                <w:smallCaps w:val="0"/>
                <w:color w:val="auto"/>
                <w:spacing w:val="0"/>
                <w:w w:val="100"/>
                <w:kern w:val="0"/>
                <w:position w:val="0"/>
                <w:sz w:val="21"/>
                <w:szCs w:val="21"/>
              </w:rPr>
            </w:pPr>
            <w:r>
              <w:rPr>
                <w:rFonts w:hint="default" w:ascii="Times New Roman" w:hAnsi="Times New Roman" w:eastAsia="宋体" w:cs="Times New Roman"/>
                <w:b/>
                <w:bCs/>
                <w:caps w:val="0"/>
                <w:smallCaps w:val="0"/>
                <w:color w:val="auto"/>
                <w:spacing w:val="0"/>
                <w:w w:val="100"/>
                <w:kern w:val="0"/>
                <w:position w:val="0"/>
                <w:sz w:val="21"/>
                <w:szCs w:val="21"/>
              </w:rPr>
              <w:t>表</w:t>
            </w:r>
            <w:r>
              <w:rPr>
                <w:rFonts w:hint="eastAsia" w:ascii="Times New Roman" w:hAnsi="Times New Roman" w:cs="Times New Roman"/>
                <w:b/>
                <w:bCs/>
                <w:caps w:val="0"/>
                <w:smallCaps w:val="0"/>
                <w:color w:val="auto"/>
                <w:spacing w:val="0"/>
                <w:w w:val="100"/>
                <w:kern w:val="0"/>
                <w:position w:val="0"/>
                <w:sz w:val="21"/>
                <w:szCs w:val="21"/>
                <w:lang w:val="en-US" w:eastAsia="zh-CN"/>
              </w:rPr>
              <w:t>3-1</w:t>
            </w:r>
            <w:r>
              <w:rPr>
                <w:rFonts w:hint="eastAsia" w:ascii="Times New Roman" w:hAnsi="Times New Roman" w:eastAsia="宋体" w:cs="Times New Roman"/>
                <w:b/>
                <w:bCs/>
                <w:caps w:val="0"/>
                <w:smallCaps w:val="0"/>
                <w:color w:val="auto"/>
                <w:spacing w:val="0"/>
                <w:w w:val="100"/>
                <w:kern w:val="0"/>
                <w:position w:val="0"/>
                <w:sz w:val="21"/>
                <w:szCs w:val="21"/>
                <w:lang w:val="en-US" w:eastAsia="zh-CN"/>
              </w:rPr>
              <w:t xml:space="preserve">  </w:t>
            </w:r>
            <w:r>
              <w:rPr>
                <w:rFonts w:hint="default" w:ascii="Times New Roman" w:hAnsi="Times New Roman" w:eastAsia="宋体" w:cs="Times New Roman"/>
                <w:b/>
                <w:bCs/>
                <w:caps w:val="0"/>
                <w:smallCaps w:val="0"/>
                <w:color w:val="auto"/>
                <w:spacing w:val="0"/>
                <w:w w:val="100"/>
                <w:kern w:val="0"/>
                <w:position w:val="0"/>
                <w:sz w:val="21"/>
                <w:szCs w:val="21"/>
              </w:rPr>
              <w:t>区域空气质量现状评价表</w:t>
            </w:r>
          </w:p>
          <w:tbl>
            <w:tblPr>
              <w:tblStyle w:val="26"/>
              <w:tblW w:w="49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2706"/>
              <w:gridCol w:w="1445"/>
              <w:gridCol w:w="1610"/>
              <w:gridCol w:w="1180"/>
              <w:gridCol w:w="1199"/>
            </w:tblGrid>
            <w:tr w14:paraId="1A4F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467" w:type="pct"/>
                  <w:tcBorders>
                    <w:tl2br w:val="nil"/>
                    <w:tr2bl w:val="nil"/>
                  </w:tcBorders>
                  <w:noWrap w:val="0"/>
                  <w:vAlign w:val="center"/>
                </w:tcPr>
                <w:p w14:paraId="7DD862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cs="Times New Roman"/>
                      <w:b/>
                      <w:bCs/>
                      <w:caps w:val="0"/>
                      <w:smallCaps w:val="0"/>
                      <w:color w:val="auto"/>
                      <w:spacing w:val="0"/>
                      <w:w w:val="100"/>
                      <w:kern w:val="0"/>
                      <w:position w:val="0"/>
                      <w:sz w:val="21"/>
                      <w:szCs w:val="21"/>
                    </w:rPr>
                  </w:pPr>
                  <w:r>
                    <w:rPr>
                      <w:rFonts w:ascii="Times New Roman" w:hAnsi="Times New Roman" w:cs="Times New Roman"/>
                      <w:b/>
                      <w:bCs/>
                      <w:caps w:val="0"/>
                      <w:smallCaps w:val="0"/>
                      <w:color w:val="auto"/>
                      <w:spacing w:val="0"/>
                      <w:w w:val="100"/>
                      <w:kern w:val="0"/>
                      <w:position w:val="0"/>
                      <w:sz w:val="21"/>
                      <w:szCs w:val="21"/>
                    </w:rPr>
                    <w:t>污染物</w:t>
                  </w:r>
                </w:p>
              </w:tc>
              <w:tc>
                <w:tcPr>
                  <w:tcW w:w="1506" w:type="pct"/>
                  <w:tcBorders>
                    <w:tl2br w:val="nil"/>
                    <w:tr2bl w:val="nil"/>
                  </w:tcBorders>
                  <w:noWrap w:val="0"/>
                  <w:vAlign w:val="center"/>
                </w:tcPr>
                <w:p w14:paraId="0BF9AB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cs="Times New Roman"/>
                      <w:b/>
                      <w:bCs/>
                      <w:caps w:val="0"/>
                      <w:smallCaps w:val="0"/>
                      <w:color w:val="auto"/>
                      <w:spacing w:val="0"/>
                      <w:w w:val="100"/>
                      <w:kern w:val="0"/>
                      <w:position w:val="0"/>
                      <w:sz w:val="21"/>
                      <w:szCs w:val="21"/>
                    </w:rPr>
                  </w:pPr>
                  <w:r>
                    <w:rPr>
                      <w:rFonts w:ascii="Times New Roman" w:hAnsi="Times New Roman" w:cs="Times New Roman"/>
                      <w:b/>
                      <w:bCs/>
                      <w:caps w:val="0"/>
                      <w:smallCaps w:val="0"/>
                      <w:color w:val="auto"/>
                      <w:spacing w:val="0"/>
                      <w:w w:val="100"/>
                      <w:kern w:val="0"/>
                      <w:position w:val="0"/>
                      <w:sz w:val="21"/>
                      <w:szCs w:val="21"/>
                    </w:rPr>
                    <w:t>年评价指标</w:t>
                  </w:r>
                </w:p>
              </w:tc>
              <w:tc>
                <w:tcPr>
                  <w:tcW w:w="804" w:type="pct"/>
                  <w:tcBorders>
                    <w:tl2br w:val="nil"/>
                    <w:tr2bl w:val="nil"/>
                  </w:tcBorders>
                  <w:noWrap w:val="0"/>
                  <w:vAlign w:val="center"/>
                </w:tcPr>
                <w:p w14:paraId="5AAB44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aps w:val="0"/>
                      <w:smallCaps w:val="0"/>
                      <w:color w:val="auto"/>
                      <w:spacing w:val="0"/>
                      <w:w w:val="100"/>
                      <w:kern w:val="0"/>
                      <w:position w:val="0"/>
                      <w:sz w:val="21"/>
                      <w:szCs w:val="21"/>
                      <w:lang w:eastAsia="zh-CN"/>
                    </w:rPr>
                  </w:pPr>
                  <w:r>
                    <w:rPr>
                      <w:rFonts w:ascii="Times New Roman" w:hAnsi="Times New Roman" w:cs="Times New Roman"/>
                      <w:b/>
                      <w:bCs/>
                      <w:caps w:val="0"/>
                      <w:smallCaps w:val="0"/>
                      <w:color w:val="auto"/>
                      <w:spacing w:val="0"/>
                      <w:w w:val="100"/>
                      <w:kern w:val="0"/>
                      <w:position w:val="0"/>
                      <w:sz w:val="21"/>
                      <w:szCs w:val="21"/>
                    </w:rPr>
                    <w:t>现状浓度/</w:t>
                  </w:r>
                  <w:r>
                    <w:rPr>
                      <w:rFonts w:hint="eastAsia" w:cs="Times New Roman"/>
                      <w:b/>
                      <w:bCs/>
                      <w:caps w:val="0"/>
                      <w:smallCaps w:val="0"/>
                      <w:color w:val="auto"/>
                      <w:spacing w:val="0"/>
                      <w:w w:val="100"/>
                      <w:kern w:val="0"/>
                      <w:position w:val="0"/>
                      <w:sz w:val="21"/>
                      <w:szCs w:val="21"/>
                      <w:lang w:eastAsia="zh-CN"/>
                    </w:rPr>
                    <w:t>（</w:t>
                  </w:r>
                  <w:r>
                    <w:rPr>
                      <w:rFonts w:ascii="Times New Roman" w:hAnsi="Times New Roman" w:cs="Times New Roman"/>
                      <w:b/>
                      <w:bCs/>
                      <w:caps w:val="0"/>
                      <w:smallCaps w:val="0"/>
                      <w:color w:val="auto"/>
                      <w:spacing w:val="0"/>
                      <w:w w:val="100"/>
                      <w:kern w:val="0"/>
                      <w:position w:val="0"/>
                      <w:sz w:val="21"/>
                      <w:szCs w:val="21"/>
                    </w:rPr>
                    <w:t>μg/m</w:t>
                  </w:r>
                  <w:r>
                    <w:rPr>
                      <w:rFonts w:ascii="Times New Roman" w:hAnsi="Times New Roman" w:cs="Times New Roman"/>
                      <w:b/>
                      <w:bCs/>
                      <w:caps w:val="0"/>
                      <w:smallCaps w:val="0"/>
                      <w:color w:val="auto"/>
                      <w:spacing w:val="0"/>
                      <w:w w:val="100"/>
                      <w:kern w:val="0"/>
                      <w:position w:val="0"/>
                      <w:sz w:val="21"/>
                      <w:szCs w:val="21"/>
                      <w:vertAlign w:val="superscript"/>
                    </w:rPr>
                    <w:t>3</w:t>
                  </w:r>
                  <w:r>
                    <w:rPr>
                      <w:rFonts w:hint="eastAsia" w:ascii="Times New Roman" w:hAnsi="Times New Roman" w:cs="Times New Roman"/>
                      <w:b/>
                      <w:bCs/>
                      <w:caps w:val="0"/>
                      <w:smallCaps w:val="0"/>
                      <w:color w:val="auto"/>
                      <w:spacing w:val="0"/>
                      <w:w w:val="100"/>
                      <w:kern w:val="0"/>
                      <w:position w:val="0"/>
                      <w:sz w:val="21"/>
                      <w:szCs w:val="21"/>
                      <w:lang w:eastAsia="zh-CN"/>
                    </w:rPr>
                    <w:t>）</w:t>
                  </w:r>
                </w:p>
              </w:tc>
              <w:tc>
                <w:tcPr>
                  <w:tcW w:w="896" w:type="pct"/>
                  <w:tcBorders>
                    <w:tl2br w:val="nil"/>
                    <w:tr2bl w:val="nil"/>
                  </w:tcBorders>
                  <w:noWrap w:val="0"/>
                  <w:vAlign w:val="center"/>
                </w:tcPr>
                <w:p w14:paraId="6FD2A8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aps w:val="0"/>
                      <w:smallCaps w:val="0"/>
                      <w:color w:val="auto"/>
                      <w:spacing w:val="0"/>
                      <w:w w:val="100"/>
                      <w:kern w:val="0"/>
                      <w:position w:val="0"/>
                      <w:sz w:val="21"/>
                      <w:szCs w:val="21"/>
                      <w:lang w:eastAsia="zh-CN"/>
                    </w:rPr>
                  </w:pPr>
                  <w:r>
                    <w:rPr>
                      <w:rFonts w:ascii="Times New Roman" w:hAnsi="Times New Roman" w:cs="Times New Roman"/>
                      <w:b/>
                      <w:bCs/>
                      <w:caps w:val="0"/>
                      <w:smallCaps w:val="0"/>
                      <w:color w:val="auto"/>
                      <w:spacing w:val="0"/>
                      <w:w w:val="100"/>
                      <w:kern w:val="0"/>
                      <w:position w:val="0"/>
                      <w:sz w:val="21"/>
                      <w:szCs w:val="21"/>
                    </w:rPr>
                    <w:t>标准值/</w:t>
                  </w:r>
                  <w:r>
                    <w:rPr>
                      <w:rFonts w:hint="eastAsia" w:cs="Times New Roman"/>
                      <w:b/>
                      <w:bCs/>
                      <w:caps w:val="0"/>
                      <w:smallCaps w:val="0"/>
                      <w:color w:val="auto"/>
                      <w:spacing w:val="0"/>
                      <w:w w:val="100"/>
                      <w:kern w:val="0"/>
                      <w:position w:val="0"/>
                      <w:sz w:val="21"/>
                      <w:szCs w:val="21"/>
                      <w:lang w:eastAsia="zh-CN"/>
                    </w:rPr>
                    <w:t>（</w:t>
                  </w:r>
                  <w:r>
                    <w:rPr>
                      <w:rFonts w:ascii="Times New Roman" w:hAnsi="Times New Roman" w:cs="Times New Roman"/>
                      <w:b/>
                      <w:bCs/>
                      <w:caps w:val="0"/>
                      <w:smallCaps w:val="0"/>
                      <w:color w:val="auto"/>
                      <w:spacing w:val="0"/>
                      <w:w w:val="100"/>
                      <w:kern w:val="0"/>
                      <w:position w:val="0"/>
                      <w:sz w:val="21"/>
                      <w:szCs w:val="21"/>
                    </w:rPr>
                    <w:t>μg/m</w:t>
                  </w:r>
                  <w:r>
                    <w:rPr>
                      <w:rFonts w:ascii="Times New Roman" w:hAnsi="Times New Roman" w:cs="Times New Roman"/>
                      <w:b/>
                      <w:bCs/>
                      <w:caps w:val="0"/>
                      <w:smallCaps w:val="0"/>
                      <w:color w:val="auto"/>
                      <w:spacing w:val="0"/>
                      <w:w w:val="100"/>
                      <w:kern w:val="0"/>
                      <w:position w:val="0"/>
                      <w:sz w:val="21"/>
                      <w:szCs w:val="21"/>
                      <w:vertAlign w:val="superscript"/>
                    </w:rPr>
                    <w:t>3</w:t>
                  </w:r>
                  <w:r>
                    <w:rPr>
                      <w:rFonts w:hint="eastAsia" w:ascii="Times New Roman" w:hAnsi="Times New Roman" w:cs="Times New Roman"/>
                      <w:b/>
                      <w:bCs/>
                      <w:caps w:val="0"/>
                      <w:smallCaps w:val="0"/>
                      <w:color w:val="auto"/>
                      <w:spacing w:val="0"/>
                      <w:w w:val="100"/>
                      <w:kern w:val="0"/>
                      <w:position w:val="0"/>
                      <w:sz w:val="21"/>
                      <w:szCs w:val="21"/>
                      <w:lang w:eastAsia="zh-CN"/>
                    </w:rPr>
                    <w:t>）</w:t>
                  </w:r>
                </w:p>
              </w:tc>
              <w:tc>
                <w:tcPr>
                  <w:tcW w:w="657" w:type="pct"/>
                  <w:tcBorders>
                    <w:tl2br w:val="nil"/>
                    <w:tr2bl w:val="nil"/>
                  </w:tcBorders>
                  <w:noWrap w:val="0"/>
                  <w:vAlign w:val="center"/>
                </w:tcPr>
                <w:p w14:paraId="4156FA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cs="Times New Roman"/>
                      <w:b/>
                      <w:bCs/>
                      <w:caps w:val="0"/>
                      <w:smallCaps w:val="0"/>
                      <w:color w:val="auto"/>
                      <w:spacing w:val="0"/>
                      <w:w w:val="100"/>
                      <w:kern w:val="0"/>
                      <w:position w:val="0"/>
                      <w:sz w:val="21"/>
                      <w:szCs w:val="21"/>
                    </w:rPr>
                  </w:pPr>
                  <w:r>
                    <w:rPr>
                      <w:rFonts w:ascii="Times New Roman" w:hAnsi="Times New Roman" w:cs="Times New Roman"/>
                      <w:b/>
                      <w:bCs/>
                      <w:caps w:val="0"/>
                      <w:smallCaps w:val="0"/>
                      <w:color w:val="auto"/>
                      <w:spacing w:val="0"/>
                      <w:w w:val="100"/>
                      <w:kern w:val="0"/>
                      <w:position w:val="0"/>
                      <w:sz w:val="21"/>
                      <w:szCs w:val="21"/>
                    </w:rPr>
                    <w:t>占标率/%</w:t>
                  </w:r>
                </w:p>
              </w:tc>
              <w:tc>
                <w:tcPr>
                  <w:tcW w:w="667" w:type="pct"/>
                  <w:tcBorders>
                    <w:tl2br w:val="nil"/>
                    <w:tr2bl w:val="nil"/>
                  </w:tcBorders>
                  <w:noWrap w:val="0"/>
                  <w:vAlign w:val="center"/>
                </w:tcPr>
                <w:p w14:paraId="54CE97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cs="Times New Roman"/>
                      <w:b/>
                      <w:bCs/>
                      <w:caps w:val="0"/>
                      <w:smallCaps w:val="0"/>
                      <w:color w:val="auto"/>
                      <w:spacing w:val="0"/>
                      <w:w w:val="100"/>
                      <w:kern w:val="0"/>
                      <w:position w:val="0"/>
                      <w:sz w:val="21"/>
                      <w:szCs w:val="21"/>
                    </w:rPr>
                  </w:pPr>
                  <w:r>
                    <w:rPr>
                      <w:rFonts w:ascii="Times New Roman" w:hAnsi="Times New Roman" w:cs="Times New Roman"/>
                      <w:b/>
                      <w:bCs/>
                      <w:caps w:val="0"/>
                      <w:smallCaps w:val="0"/>
                      <w:color w:val="auto"/>
                      <w:spacing w:val="0"/>
                      <w:w w:val="100"/>
                      <w:kern w:val="0"/>
                      <w:position w:val="0"/>
                      <w:sz w:val="21"/>
                      <w:szCs w:val="21"/>
                    </w:rPr>
                    <w:t>达标情况</w:t>
                  </w:r>
                </w:p>
              </w:tc>
            </w:tr>
            <w:tr w14:paraId="78398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467" w:type="pct"/>
                  <w:tcBorders>
                    <w:tl2br w:val="nil"/>
                    <w:tr2bl w:val="nil"/>
                  </w:tcBorders>
                  <w:noWrap w:val="0"/>
                  <w:vAlign w:val="center"/>
                </w:tcPr>
                <w:p w14:paraId="44C2B32E">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SO</w:t>
                  </w:r>
                  <w:r>
                    <w:rPr>
                      <w:rFonts w:hint="default" w:ascii="Times New Roman" w:hAnsi="Times New Roman" w:eastAsia="宋体" w:cs="Times New Roman"/>
                      <w:caps w:val="0"/>
                      <w:color w:val="auto"/>
                      <w:spacing w:val="0"/>
                      <w:w w:val="100"/>
                      <w:position w:val="0"/>
                      <w:sz w:val="21"/>
                      <w:szCs w:val="21"/>
                      <w:vertAlign w:val="subscript"/>
                      <w:lang w:val="en-US" w:eastAsia="zh-CN" w:bidi="ar-SA"/>
                    </w:rPr>
                    <w:t>2</w:t>
                  </w:r>
                </w:p>
              </w:tc>
              <w:tc>
                <w:tcPr>
                  <w:tcW w:w="1506" w:type="pct"/>
                  <w:tcBorders>
                    <w:tl2br w:val="nil"/>
                    <w:tr2bl w:val="nil"/>
                  </w:tcBorders>
                  <w:noWrap w:val="0"/>
                  <w:vAlign w:val="center"/>
                </w:tcPr>
                <w:p w14:paraId="53CAFD6C">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年平均</w:t>
                  </w:r>
                </w:p>
              </w:tc>
              <w:tc>
                <w:tcPr>
                  <w:tcW w:w="804" w:type="pct"/>
                  <w:tcBorders>
                    <w:tl2br w:val="nil"/>
                    <w:tr2bl w:val="nil"/>
                  </w:tcBorders>
                  <w:shd w:val="clear" w:color="auto" w:fill="auto"/>
                  <w:noWrap w:val="0"/>
                  <w:vAlign w:val="center"/>
                </w:tcPr>
                <w:p w14:paraId="6EC21E8C">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eastAsia" w:cs="Times New Roman"/>
                      <w:caps w:val="0"/>
                      <w:color w:val="auto"/>
                      <w:spacing w:val="0"/>
                      <w:lang w:val="en-US" w:eastAsia="zh-CN"/>
                    </w:rPr>
                    <w:t>5</w:t>
                  </w:r>
                </w:p>
              </w:tc>
              <w:tc>
                <w:tcPr>
                  <w:tcW w:w="896" w:type="pct"/>
                  <w:tcBorders>
                    <w:tl2br w:val="nil"/>
                    <w:tr2bl w:val="nil"/>
                  </w:tcBorders>
                  <w:shd w:val="clear" w:color="auto" w:fill="auto"/>
                  <w:noWrap w:val="0"/>
                  <w:vAlign w:val="center"/>
                </w:tcPr>
                <w:p w14:paraId="13A3E7DE">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default" w:ascii="Times New Roman" w:hAnsi="Times New Roman" w:cs="Times New Roman"/>
                      <w:caps w:val="0"/>
                      <w:color w:val="auto"/>
                      <w:spacing w:val="0"/>
                    </w:rPr>
                    <w:t>60</w:t>
                  </w:r>
                </w:p>
              </w:tc>
              <w:tc>
                <w:tcPr>
                  <w:tcW w:w="1166" w:type="dxa"/>
                  <w:tcBorders>
                    <w:tl2br w:val="nil"/>
                    <w:tr2bl w:val="nil"/>
                  </w:tcBorders>
                  <w:shd w:val="clear" w:color="auto" w:fill="auto"/>
                  <w:noWrap w:val="0"/>
                  <w:vAlign w:val="center"/>
                </w:tcPr>
                <w:p w14:paraId="1143F023">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caps w:val="0"/>
                      <w:color w:val="auto"/>
                      <w:spacing w:val="0"/>
                      <w:lang w:val="en-US" w:eastAsia="zh-CN"/>
                    </w:rPr>
                  </w:pPr>
                  <w:r>
                    <w:rPr>
                      <w:rFonts w:hint="default" w:ascii="Times New Roman" w:hAnsi="Times New Roman" w:cs="Times New Roman"/>
                      <w:caps w:val="0"/>
                      <w:color w:val="auto"/>
                      <w:spacing w:val="0"/>
                      <w:lang w:val="en-US" w:eastAsia="zh-CN"/>
                    </w:rPr>
                    <w:t xml:space="preserve">8.33 </w:t>
                  </w:r>
                </w:p>
              </w:tc>
              <w:tc>
                <w:tcPr>
                  <w:tcW w:w="667" w:type="pct"/>
                  <w:tcBorders>
                    <w:tl2br w:val="nil"/>
                    <w:tr2bl w:val="nil"/>
                  </w:tcBorders>
                  <w:noWrap w:val="0"/>
                  <w:vAlign w:val="center"/>
                </w:tcPr>
                <w:p w14:paraId="24CBE072">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达标</w:t>
                  </w:r>
                </w:p>
              </w:tc>
            </w:tr>
            <w:tr w14:paraId="0CBC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467" w:type="pct"/>
                  <w:tcBorders>
                    <w:tl2br w:val="nil"/>
                    <w:tr2bl w:val="nil"/>
                  </w:tcBorders>
                  <w:noWrap w:val="0"/>
                  <w:vAlign w:val="center"/>
                </w:tcPr>
                <w:p w14:paraId="05E61493">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NO</w:t>
                  </w:r>
                  <w:r>
                    <w:rPr>
                      <w:rFonts w:hint="default" w:ascii="Times New Roman" w:hAnsi="Times New Roman" w:eastAsia="宋体" w:cs="Times New Roman"/>
                      <w:caps w:val="0"/>
                      <w:color w:val="auto"/>
                      <w:spacing w:val="0"/>
                      <w:w w:val="100"/>
                      <w:position w:val="0"/>
                      <w:sz w:val="21"/>
                      <w:szCs w:val="21"/>
                      <w:vertAlign w:val="subscript"/>
                      <w:lang w:val="en-US" w:eastAsia="zh-CN" w:bidi="ar-SA"/>
                    </w:rPr>
                    <w:t>2</w:t>
                  </w:r>
                </w:p>
              </w:tc>
              <w:tc>
                <w:tcPr>
                  <w:tcW w:w="1506" w:type="pct"/>
                  <w:tcBorders>
                    <w:tl2br w:val="nil"/>
                    <w:tr2bl w:val="nil"/>
                  </w:tcBorders>
                  <w:noWrap w:val="0"/>
                  <w:vAlign w:val="center"/>
                </w:tcPr>
                <w:p w14:paraId="2B1EFDA0">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年平均</w:t>
                  </w:r>
                </w:p>
              </w:tc>
              <w:tc>
                <w:tcPr>
                  <w:tcW w:w="804" w:type="pct"/>
                  <w:tcBorders>
                    <w:tl2br w:val="nil"/>
                    <w:tr2bl w:val="nil"/>
                  </w:tcBorders>
                  <w:shd w:val="clear" w:color="auto" w:fill="auto"/>
                  <w:noWrap w:val="0"/>
                  <w:vAlign w:val="center"/>
                </w:tcPr>
                <w:p w14:paraId="2055C905">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default" w:ascii="Times New Roman" w:hAnsi="Times New Roman" w:cs="Times New Roman"/>
                      <w:caps w:val="0"/>
                      <w:color w:val="auto"/>
                      <w:spacing w:val="0"/>
                      <w:lang w:val="en-US" w:eastAsia="zh-CN"/>
                    </w:rPr>
                    <w:t>20</w:t>
                  </w:r>
                </w:p>
              </w:tc>
              <w:tc>
                <w:tcPr>
                  <w:tcW w:w="896" w:type="pct"/>
                  <w:tcBorders>
                    <w:tl2br w:val="nil"/>
                    <w:tr2bl w:val="nil"/>
                  </w:tcBorders>
                  <w:shd w:val="clear" w:color="auto" w:fill="auto"/>
                  <w:noWrap w:val="0"/>
                  <w:vAlign w:val="center"/>
                </w:tcPr>
                <w:p w14:paraId="7BE94326">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default" w:ascii="Times New Roman" w:hAnsi="Times New Roman" w:cs="Times New Roman"/>
                      <w:caps w:val="0"/>
                      <w:color w:val="auto"/>
                      <w:spacing w:val="0"/>
                    </w:rPr>
                    <w:t>40</w:t>
                  </w:r>
                </w:p>
              </w:tc>
              <w:tc>
                <w:tcPr>
                  <w:tcW w:w="1166" w:type="dxa"/>
                  <w:tcBorders>
                    <w:tl2br w:val="nil"/>
                    <w:tr2bl w:val="nil"/>
                  </w:tcBorders>
                  <w:shd w:val="clear" w:color="auto" w:fill="auto"/>
                  <w:noWrap w:val="0"/>
                  <w:vAlign w:val="center"/>
                </w:tcPr>
                <w:p w14:paraId="0AB863C8">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caps w:val="0"/>
                      <w:color w:val="auto"/>
                      <w:spacing w:val="0"/>
                      <w:lang w:val="en-US" w:eastAsia="zh-CN"/>
                    </w:rPr>
                  </w:pPr>
                  <w:r>
                    <w:rPr>
                      <w:rFonts w:hint="default" w:ascii="Times New Roman" w:hAnsi="Times New Roman" w:cs="Times New Roman"/>
                      <w:caps w:val="0"/>
                      <w:color w:val="auto"/>
                      <w:spacing w:val="0"/>
                      <w:lang w:val="en-US" w:eastAsia="zh-CN"/>
                    </w:rPr>
                    <w:t xml:space="preserve">50.00 </w:t>
                  </w:r>
                </w:p>
              </w:tc>
              <w:tc>
                <w:tcPr>
                  <w:tcW w:w="667" w:type="pct"/>
                  <w:tcBorders>
                    <w:tl2br w:val="nil"/>
                    <w:tr2bl w:val="nil"/>
                  </w:tcBorders>
                  <w:noWrap w:val="0"/>
                  <w:vAlign w:val="center"/>
                </w:tcPr>
                <w:p w14:paraId="21BBDCEF">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达标</w:t>
                  </w:r>
                </w:p>
              </w:tc>
            </w:tr>
            <w:tr w14:paraId="5363B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467" w:type="pct"/>
                  <w:tcBorders>
                    <w:tl2br w:val="nil"/>
                    <w:tr2bl w:val="nil"/>
                  </w:tcBorders>
                  <w:noWrap w:val="0"/>
                  <w:vAlign w:val="center"/>
                </w:tcPr>
                <w:p w14:paraId="110BD46D">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CO</w:t>
                  </w:r>
                </w:p>
              </w:tc>
              <w:tc>
                <w:tcPr>
                  <w:tcW w:w="1506" w:type="pct"/>
                  <w:tcBorders>
                    <w:tl2br w:val="nil"/>
                    <w:tr2bl w:val="nil"/>
                  </w:tcBorders>
                  <w:noWrap w:val="0"/>
                  <w:vAlign w:val="center"/>
                </w:tcPr>
                <w:p w14:paraId="04AEDE22">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24小时平均第95百分位数</w:t>
                  </w:r>
                </w:p>
              </w:tc>
              <w:tc>
                <w:tcPr>
                  <w:tcW w:w="804" w:type="pct"/>
                  <w:tcBorders>
                    <w:tl2br w:val="nil"/>
                    <w:tr2bl w:val="nil"/>
                  </w:tcBorders>
                  <w:shd w:val="clear" w:color="auto" w:fill="auto"/>
                  <w:noWrap w:val="0"/>
                  <w:vAlign w:val="center"/>
                </w:tcPr>
                <w:p w14:paraId="3836600F">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default" w:ascii="Times New Roman" w:hAnsi="Times New Roman" w:cs="Times New Roman"/>
                      <w:caps w:val="0"/>
                      <w:color w:val="auto"/>
                      <w:spacing w:val="0"/>
                      <w:lang w:val="en-US" w:eastAsia="zh-CN"/>
                    </w:rPr>
                    <w:t>1000</w:t>
                  </w:r>
                </w:p>
              </w:tc>
              <w:tc>
                <w:tcPr>
                  <w:tcW w:w="896" w:type="pct"/>
                  <w:tcBorders>
                    <w:tl2br w:val="nil"/>
                    <w:tr2bl w:val="nil"/>
                  </w:tcBorders>
                  <w:shd w:val="clear" w:color="auto" w:fill="auto"/>
                  <w:noWrap w:val="0"/>
                  <w:vAlign w:val="center"/>
                </w:tcPr>
                <w:p w14:paraId="3E532C2B">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default" w:ascii="Times New Roman" w:hAnsi="Times New Roman" w:cs="Times New Roman"/>
                      <w:caps w:val="0"/>
                      <w:color w:val="auto"/>
                      <w:spacing w:val="0"/>
                      <w:lang w:val="en-US" w:eastAsia="zh-CN"/>
                    </w:rPr>
                    <w:t>4000</w:t>
                  </w:r>
                </w:p>
              </w:tc>
              <w:tc>
                <w:tcPr>
                  <w:tcW w:w="1166" w:type="dxa"/>
                  <w:tcBorders>
                    <w:tl2br w:val="nil"/>
                    <w:tr2bl w:val="nil"/>
                  </w:tcBorders>
                  <w:shd w:val="clear" w:color="auto" w:fill="auto"/>
                  <w:noWrap w:val="0"/>
                  <w:vAlign w:val="center"/>
                </w:tcPr>
                <w:p w14:paraId="44AA057B">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caps w:val="0"/>
                      <w:color w:val="auto"/>
                      <w:spacing w:val="0"/>
                      <w:lang w:val="en-US" w:eastAsia="zh-CN"/>
                    </w:rPr>
                  </w:pPr>
                  <w:r>
                    <w:rPr>
                      <w:rFonts w:hint="default" w:ascii="Times New Roman" w:hAnsi="Times New Roman" w:cs="Times New Roman"/>
                      <w:caps w:val="0"/>
                      <w:color w:val="auto"/>
                      <w:spacing w:val="0"/>
                      <w:lang w:val="en-US" w:eastAsia="zh-CN"/>
                    </w:rPr>
                    <w:t xml:space="preserve">25.00 </w:t>
                  </w:r>
                </w:p>
              </w:tc>
              <w:tc>
                <w:tcPr>
                  <w:tcW w:w="667" w:type="pct"/>
                  <w:tcBorders>
                    <w:tl2br w:val="nil"/>
                    <w:tr2bl w:val="nil"/>
                  </w:tcBorders>
                  <w:noWrap w:val="0"/>
                  <w:vAlign w:val="center"/>
                </w:tcPr>
                <w:p w14:paraId="5DE9134F">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达标</w:t>
                  </w:r>
                </w:p>
              </w:tc>
            </w:tr>
            <w:tr w14:paraId="6E454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467" w:type="pct"/>
                  <w:tcBorders>
                    <w:tl2br w:val="nil"/>
                    <w:tr2bl w:val="nil"/>
                  </w:tcBorders>
                  <w:noWrap w:val="0"/>
                  <w:vAlign w:val="center"/>
                </w:tcPr>
                <w:p w14:paraId="785B2779">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O</w:t>
                  </w:r>
                  <w:r>
                    <w:rPr>
                      <w:rFonts w:hint="default" w:ascii="Times New Roman" w:hAnsi="Times New Roman" w:eastAsia="宋体" w:cs="Times New Roman"/>
                      <w:caps w:val="0"/>
                      <w:color w:val="auto"/>
                      <w:spacing w:val="0"/>
                      <w:w w:val="100"/>
                      <w:position w:val="0"/>
                      <w:sz w:val="21"/>
                      <w:szCs w:val="21"/>
                      <w:vertAlign w:val="subscript"/>
                      <w:lang w:val="en-US" w:eastAsia="zh-CN" w:bidi="ar-SA"/>
                    </w:rPr>
                    <w:t>3</w:t>
                  </w:r>
                </w:p>
              </w:tc>
              <w:tc>
                <w:tcPr>
                  <w:tcW w:w="1506" w:type="pct"/>
                  <w:tcBorders>
                    <w:tl2br w:val="nil"/>
                    <w:tr2bl w:val="nil"/>
                  </w:tcBorders>
                  <w:noWrap w:val="0"/>
                  <w:vAlign w:val="center"/>
                </w:tcPr>
                <w:p w14:paraId="383A4FB0">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日最大8小时平均第90百分位数</w:t>
                  </w:r>
                </w:p>
              </w:tc>
              <w:tc>
                <w:tcPr>
                  <w:tcW w:w="804" w:type="pct"/>
                  <w:tcBorders>
                    <w:tl2br w:val="nil"/>
                    <w:tr2bl w:val="nil"/>
                  </w:tcBorders>
                  <w:shd w:val="clear" w:color="auto" w:fill="auto"/>
                  <w:noWrap w:val="0"/>
                  <w:vAlign w:val="center"/>
                </w:tcPr>
                <w:p w14:paraId="723F480D">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eastAsia" w:cs="Times New Roman"/>
                      <w:caps w:val="0"/>
                      <w:color w:val="auto"/>
                      <w:spacing w:val="0"/>
                      <w:lang w:val="en-US" w:eastAsia="zh-CN"/>
                    </w:rPr>
                    <w:t>154</w:t>
                  </w:r>
                </w:p>
              </w:tc>
              <w:tc>
                <w:tcPr>
                  <w:tcW w:w="896" w:type="pct"/>
                  <w:tcBorders>
                    <w:tl2br w:val="nil"/>
                    <w:tr2bl w:val="nil"/>
                  </w:tcBorders>
                  <w:shd w:val="clear" w:color="auto" w:fill="auto"/>
                  <w:noWrap w:val="0"/>
                  <w:vAlign w:val="center"/>
                </w:tcPr>
                <w:p w14:paraId="3DC8EE2A">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default" w:ascii="Times New Roman" w:hAnsi="Times New Roman" w:cs="Times New Roman"/>
                      <w:caps w:val="0"/>
                      <w:color w:val="auto"/>
                      <w:spacing w:val="0"/>
                    </w:rPr>
                    <w:t>160</w:t>
                  </w:r>
                </w:p>
              </w:tc>
              <w:tc>
                <w:tcPr>
                  <w:tcW w:w="1166" w:type="dxa"/>
                  <w:tcBorders>
                    <w:tl2br w:val="nil"/>
                    <w:tr2bl w:val="nil"/>
                  </w:tcBorders>
                  <w:shd w:val="clear" w:color="auto" w:fill="auto"/>
                  <w:noWrap w:val="0"/>
                  <w:vAlign w:val="center"/>
                </w:tcPr>
                <w:p w14:paraId="6951819D">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caps w:val="0"/>
                      <w:color w:val="auto"/>
                      <w:spacing w:val="0"/>
                      <w:lang w:val="en-US" w:eastAsia="zh-CN"/>
                    </w:rPr>
                  </w:pPr>
                  <w:r>
                    <w:rPr>
                      <w:rFonts w:hint="default" w:ascii="Times New Roman" w:hAnsi="Times New Roman" w:cs="Times New Roman"/>
                      <w:caps w:val="0"/>
                      <w:color w:val="auto"/>
                      <w:spacing w:val="0"/>
                      <w:lang w:val="en-US" w:eastAsia="zh-CN"/>
                    </w:rPr>
                    <w:t xml:space="preserve">96.25 </w:t>
                  </w:r>
                </w:p>
              </w:tc>
              <w:tc>
                <w:tcPr>
                  <w:tcW w:w="667" w:type="pct"/>
                  <w:tcBorders>
                    <w:tl2br w:val="nil"/>
                    <w:tr2bl w:val="nil"/>
                  </w:tcBorders>
                  <w:noWrap w:val="0"/>
                  <w:vAlign w:val="center"/>
                </w:tcPr>
                <w:p w14:paraId="46182F43">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达标</w:t>
                  </w:r>
                </w:p>
              </w:tc>
            </w:tr>
            <w:tr w14:paraId="2BF1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467" w:type="pct"/>
                  <w:tcBorders>
                    <w:tl2br w:val="nil"/>
                    <w:tr2bl w:val="nil"/>
                  </w:tcBorders>
                  <w:noWrap w:val="0"/>
                  <w:vAlign w:val="center"/>
                </w:tcPr>
                <w:p w14:paraId="4ECD837B">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PM</w:t>
                  </w:r>
                  <w:r>
                    <w:rPr>
                      <w:rFonts w:hint="default" w:ascii="Times New Roman" w:hAnsi="Times New Roman" w:eastAsia="宋体" w:cs="Times New Roman"/>
                      <w:caps w:val="0"/>
                      <w:color w:val="auto"/>
                      <w:spacing w:val="0"/>
                      <w:w w:val="100"/>
                      <w:position w:val="0"/>
                      <w:sz w:val="21"/>
                      <w:szCs w:val="21"/>
                      <w:vertAlign w:val="subscript"/>
                      <w:lang w:val="en-US" w:eastAsia="zh-CN" w:bidi="ar-SA"/>
                    </w:rPr>
                    <w:t>10</w:t>
                  </w:r>
                </w:p>
              </w:tc>
              <w:tc>
                <w:tcPr>
                  <w:tcW w:w="1506" w:type="pct"/>
                  <w:tcBorders>
                    <w:tl2br w:val="nil"/>
                    <w:tr2bl w:val="nil"/>
                  </w:tcBorders>
                  <w:noWrap w:val="0"/>
                  <w:vAlign w:val="center"/>
                </w:tcPr>
                <w:p w14:paraId="6658E809">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年平均</w:t>
                  </w:r>
                </w:p>
              </w:tc>
              <w:tc>
                <w:tcPr>
                  <w:tcW w:w="804" w:type="pct"/>
                  <w:tcBorders>
                    <w:tl2br w:val="nil"/>
                    <w:tr2bl w:val="nil"/>
                  </w:tcBorders>
                  <w:shd w:val="clear" w:color="auto" w:fill="auto"/>
                  <w:noWrap w:val="0"/>
                  <w:vAlign w:val="center"/>
                </w:tcPr>
                <w:p w14:paraId="3D3B60D2">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eastAsia" w:cs="Times New Roman"/>
                      <w:caps w:val="0"/>
                      <w:color w:val="auto"/>
                      <w:spacing w:val="0"/>
                      <w:lang w:val="en-US" w:eastAsia="zh-CN"/>
                    </w:rPr>
                    <w:t>47</w:t>
                  </w:r>
                </w:p>
              </w:tc>
              <w:tc>
                <w:tcPr>
                  <w:tcW w:w="896" w:type="pct"/>
                  <w:tcBorders>
                    <w:tl2br w:val="nil"/>
                    <w:tr2bl w:val="nil"/>
                  </w:tcBorders>
                  <w:shd w:val="clear" w:color="auto" w:fill="auto"/>
                  <w:noWrap w:val="0"/>
                  <w:vAlign w:val="center"/>
                </w:tcPr>
                <w:p w14:paraId="03888741">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default" w:ascii="Times New Roman" w:hAnsi="Times New Roman" w:cs="Times New Roman"/>
                      <w:caps w:val="0"/>
                      <w:color w:val="auto"/>
                      <w:spacing w:val="0"/>
                    </w:rPr>
                    <w:t>70</w:t>
                  </w:r>
                </w:p>
              </w:tc>
              <w:tc>
                <w:tcPr>
                  <w:tcW w:w="1166" w:type="dxa"/>
                  <w:tcBorders>
                    <w:tl2br w:val="nil"/>
                    <w:tr2bl w:val="nil"/>
                  </w:tcBorders>
                  <w:shd w:val="clear" w:color="auto" w:fill="auto"/>
                  <w:noWrap w:val="0"/>
                  <w:vAlign w:val="center"/>
                </w:tcPr>
                <w:p w14:paraId="62478A6F">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caps w:val="0"/>
                      <w:color w:val="auto"/>
                      <w:spacing w:val="0"/>
                      <w:lang w:val="en-US" w:eastAsia="zh-CN"/>
                    </w:rPr>
                  </w:pPr>
                  <w:r>
                    <w:rPr>
                      <w:rFonts w:hint="default" w:ascii="Times New Roman" w:hAnsi="Times New Roman" w:cs="Times New Roman"/>
                      <w:caps w:val="0"/>
                      <w:color w:val="auto"/>
                      <w:spacing w:val="0"/>
                      <w:lang w:val="en-US" w:eastAsia="zh-CN"/>
                    </w:rPr>
                    <w:t xml:space="preserve">67.14 </w:t>
                  </w:r>
                </w:p>
              </w:tc>
              <w:tc>
                <w:tcPr>
                  <w:tcW w:w="667" w:type="pct"/>
                  <w:tcBorders>
                    <w:tl2br w:val="nil"/>
                    <w:tr2bl w:val="nil"/>
                  </w:tcBorders>
                  <w:noWrap w:val="0"/>
                  <w:vAlign w:val="center"/>
                </w:tcPr>
                <w:p w14:paraId="3A2C1634">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达标</w:t>
                  </w:r>
                </w:p>
              </w:tc>
            </w:tr>
            <w:tr w14:paraId="32F88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67" w:type="pct"/>
                  <w:tcBorders>
                    <w:tl2br w:val="nil"/>
                    <w:tr2bl w:val="nil"/>
                  </w:tcBorders>
                  <w:noWrap w:val="0"/>
                  <w:vAlign w:val="center"/>
                </w:tcPr>
                <w:p w14:paraId="61692994">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PM</w:t>
                  </w:r>
                  <w:r>
                    <w:rPr>
                      <w:rFonts w:hint="default" w:ascii="Times New Roman" w:hAnsi="Times New Roman" w:eastAsia="宋体" w:cs="Times New Roman"/>
                      <w:caps w:val="0"/>
                      <w:color w:val="auto"/>
                      <w:spacing w:val="0"/>
                      <w:w w:val="100"/>
                      <w:position w:val="0"/>
                      <w:sz w:val="21"/>
                      <w:szCs w:val="21"/>
                      <w:vertAlign w:val="subscript"/>
                      <w:lang w:val="en-US" w:eastAsia="zh-CN" w:bidi="ar-SA"/>
                    </w:rPr>
                    <w:t>2.5</w:t>
                  </w:r>
                </w:p>
              </w:tc>
              <w:tc>
                <w:tcPr>
                  <w:tcW w:w="1506" w:type="pct"/>
                  <w:tcBorders>
                    <w:tl2br w:val="nil"/>
                    <w:tr2bl w:val="nil"/>
                  </w:tcBorders>
                  <w:noWrap w:val="0"/>
                  <w:vAlign w:val="center"/>
                </w:tcPr>
                <w:p w14:paraId="1B387F16">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年平均</w:t>
                  </w:r>
                </w:p>
              </w:tc>
              <w:tc>
                <w:tcPr>
                  <w:tcW w:w="804" w:type="pct"/>
                  <w:tcBorders>
                    <w:tl2br w:val="nil"/>
                    <w:tr2bl w:val="nil"/>
                  </w:tcBorders>
                  <w:shd w:val="clear" w:color="auto" w:fill="auto"/>
                  <w:noWrap w:val="0"/>
                  <w:vAlign w:val="center"/>
                </w:tcPr>
                <w:p w14:paraId="7A6E2CE8">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eastAsia" w:cs="Times New Roman"/>
                      <w:caps w:val="0"/>
                      <w:color w:val="auto"/>
                      <w:spacing w:val="0"/>
                      <w:lang w:val="en-US" w:eastAsia="zh-CN"/>
                    </w:rPr>
                    <w:t>31</w:t>
                  </w:r>
                </w:p>
              </w:tc>
              <w:tc>
                <w:tcPr>
                  <w:tcW w:w="896" w:type="pct"/>
                  <w:tcBorders>
                    <w:tl2br w:val="nil"/>
                    <w:tr2bl w:val="nil"/>
                  </w:tcBorders>
                  <w:shd w:val="clear" w:color="auto" w:fill="auto"/>
                  <w:noWrap w:val="0"/>
                  <w:vAlign w:val="center"/>
                </w:tcPr>
                <w:p w14:paraId="12F9E487">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kern w:val="2"/>
                      <w:sz w:val="21"/>
                      <w:szCs w:val="24"/>
                      <w:lang w:val="en-US" w:eastAsia="zh-CN" w:bidi="ar-SA"/>
                    </w:rPr>
                  </w:pPr>
                  <w:r>
                    <w:rPr>
                      <w:rFonts w:hint="default" w:ascii="Times New Roman" w:hAnsi="Times New Roman" w:cs="Times New Roman"/>
                      <w:caps w:val="0"/>
                      <w:color w:val="auto"/>
                      <w:spacing w:val="0"/>
                    </w:rPr>
                    <w:t>35</w:t>
                  </w:r>
                </w:p>
              </w:tc>
              <w:tc>
                <w:tcPr>
                  <w:tcW w:w="1166" w:type="dxa"/>
                  <w:tcBorders>
                    <w:tl2br w:val="nil"/>
                    <w:tr2bl w:val="nil"/>
                  </w:tcBorders>
                  <w:shd w:val="clear" w:color="auto" w:fill="auto"/>
                  <w:noWrap w:val="0"/>
                  <w:vAlign w:val="center"/>
                </w:tcPr>
                <w:p w14:paraId="0A7E838D">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caps w:val="0"/>
                      <w:color w:val="auto"/>
                      <w:spacing w:val="0"/>
                      <w:lang w:val="en-US" w:eastAsia="zh-CN"/>
                    </w:rPr>
                  </w:pPr>
                  <w:r>
                    <w:rPr>
                      <w:rFonts w:hint="default" w:ascii="Times New Roman" w:hAnsi="Times New Roman" w:cs="Times New Roman"/>
                      <w:caps w:val="0"/>
                      <w:color w:val="auto"/>
                      <w:spacing w:val="0"/>
                      <w:lang w:val="en-US" w:eastAsia="zh-CN"/>
                    </w:rPr>
                    <w:t xml:space="preserve">88.57 </w:t>
                  </w:r>
                </w:p>
              </w:tc>
              <w:tc>
                <w:tcPr>
                  <w:tcW w:w="667" w:type="pct"/>
                  <w:tcBorders>
                    <w:tl2br w:val="nil"/>
                    <w:tr2bl w:val="nil"/>
                  </w:tcBorders>
                  <w:noWrap w:val="0"/>
                  <w:vAlign w:val="center"/>
                </w:tcPr>
                <w:p w14:paraId="62C6497A">
                  <w:pPr>
                    <w:widowControl/>
                    <w:bidi w:val="0"/>
                    <w:adjustRightInd w:val="0"/>
                    <w:snapToGrid w:val="0"/>
                    <w:spacing w:line="240" w:lineRule="auto"/>
                    <w:ind w:left="0" w:leftChars="0" w:firstLine="0" w:firstLineChars="0"/>
                    <w:jc w:val="center"/>
                    <w:rPr>
                      <w:rFonts w:hint="default" w:ascii="Times New Roman" w:hAnsi="Times New Roman" w:eastAsia="宋体" w:cs="Times New Roman"/>
                      <w:caps w:val="0"/>
                      <w:color w:val="auto"/>
                      <w:spacing w:val="0"/>
                      <w:w w:val="100"/>
                      <w:position w:val="0"/>
                      <w:sz w:val="21"/>
                      <w:szCs w:val="21"/>
                      <w:lang w:val="en-US" w:eastAsia="zh-CN" w:bidi="ar-SA"/>
                    </w:rPr>
                  </w:pPr>
                  <w:r>
                    <w:rPr>
                      <w:rFonts w:hint="default" w:ascii="Times New Roman" w:hAnsi="Times New Roman" w:eastAsia="宋体" w:cs="Times New Roman"/>
                      <w:caps w:val="0"/>
                      <w:color w:val="auto"/>
                      <w:spacing w:val="0"/>
                      <w:w w:val="100"/>
                      <w:position w:val="0"/>
                      <w:sz w:val="21"/>
                      <w:szCs w:val="21"/>
                      <w:lang w:val="en-US" w:eastAsia="zh-CN" w:bidi="ar-SA"/>
                    </w:rPr>
                    <w:t>达标</w:t>
                  </w:r>
                </w:p>
              </w:tc>
            </w:tr>
          </w:tbl>
          <w:p w14:paraId="28B1B1E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eastAsia" w:ascii="Times New Roman" w:hAnsi="Times New Roman" w:eastAsia="宋体" w:cs="Times New Roman"/>
                <w:caps w:val="0"/>
                <w:smallCaps w:val="0"/>
                <w:color w:val="auto"/>
                <w:spacing w:val="0"/>
                <w:w w:val="100"/>
                <w:kern w:val="0"/>
                <w:position w:val="0"/>
                <w:sz w:val="24"/>
                <w:lang w:eastAsia="zh-CN"/>
              </w:rPr>
            </w:pPr>
            <w:r>
              <w:rPr>
                <w:rFonts w:hint="eastAsia" w:cs="Times New Roman"/>
                <w:caps w:val="0"/>
                <w:color w:val="auto"/>
                <w:spacing w:val="0"/>
                <w:w w:val="100"/>
                <w:kern w:val="2"/>
                <w:position w:val="0"/>
                <w:sz w:val="24"/>
                <w:szCs w:val="24"/>
                <w:lang w:val="en-US" w:eastAsia="zh-CN" w:bidi="ar-SA"/>
              </w:rPr>
              <w:t>根据上表，2024年池州市</w:t>
            </w:r>
            <w:r>
              <w:rPr>
                <w:rFonts w:hint="default" w:ascii="Times New Roman" w:hAnsi="Times New Roman" w:eastAsia="宋体" w:cs="Times New Roman"/>
                <w:caps w:val="0"/>
                <w:color w:val="auto"/>
                <w:spacing w:val="0"/>
                <w:w w:val="100"/>
                <w:kern w:val="2"/>
                <w:position w:val="0"/>
                <w:sz w:val="24"/>
                <w:szCs w:val="24"/>
                <w:lang w:val="en-US" w:eastAsia="zh-CN" w:bidi="ar-SA"/>
              </w:rPr>
              <w:t>环境质量</w:t>
            </w:r>
            <w:r>
              <w:rPr>
                <w:rFonts w:hint="eastAsia" w:ascii="Times New Roman" w:hAnsi="Times New Roman" w:eastAsia="宋体" w:cs="Times New Roman"/>
                <w:caps w:val="0"/>
                <w:color w:val="auto"/>
                <w:spacing w:val="0"/>
                <w:w w:val="100"/>
                <w:kern w:val="2"/>
                <w:position w:val="0"/>
                <w:sz w:val="24"/>
                <w:szCs w:val="24"/>
                <w:lang w:val="en-US" w:eastAsia="zh-CN" w:bidi="ar-SA"/>
              </w:rPr>
              <w:t>空气</w:t>
            </w:r>
            <w:r>
              <w:rPr>
                <w:rFonts w:hint="default" w:ascii="Times New Roman" w:hAnsi="Times New Roman" w:eastAsia="宋体" w:cs="Times New Roman"/>
                <w:caps w:val="0"/>
                <w:color w:val="auto"/>
                <w:spacing w:val="0"/>
                <w:w w:val="100"/>
                <w:kern w:val="2"/>
                <w:position w:val="0"/>
                <w:sz w:val="24"/>
                <w:szCs w:val="24"/>
                <w:lang w:val="en-US" w:eastAsia="zh-CN" w:bidi="ar-SA"/>
              </w:rPr>
              <w:t>现状</w:t>
            </w:r>
            <w:r>
              <w:rPr>
                <w:rFonts w:hint="eastAsia" w:ascii="Times New Roman" w:hAnsi="Times New Roman" w:eastAsia="宋体" w:cs="Times New Roman"/>
                <w:caps w:val="0"/>
                <w:color w:val="auto"/>
                <w:spacing w:val="0"/>
                <w:w w:val="100"/>
                <w:kern w:val="2"/>
                <w:position w:val="0"/>
                <w:sz w:val="24"/>
                <w:szCs w:val="24"/>
                <w:lang w:val="en-US" w:eastAsia="zh-CN" w:bidi="ar-SA"/>
              </w:rPr>
              <w:t>中，</w:t>
            </w:r>
            <w:r>
              <w:rPr>
                <w:rFonts w:hint="default" w:ascii="Times New Roman" w:hAnsi="Times New Roman" w:eastAsia="宋体" w:cs="Times New Roman"/>
                <w:bCs/>
                <w:caps w:val="0"/>
                <w:color w:val="auto"/>
                <w:spacing w:val="0"/>
                <w:w w:val="100"/>
                <w:kern w:val="0"/>
                <w:position w:val="0"/>
                <w:sz w:val="24"/>
              </w:rPr>
              <w:t>二氧化硫</w:t>
            </w:r>
            <w:r>
              <w:rPr>
                <w:rFonts w:hint="eastAsia" w:cs="Times New Roman"/>
                <w:bCs/>
                <w:caps w:val="0"/>
                <w:color w:val="auto"/>
                <w:spacing w:val="0"/>
                <w:w w:val="100"/>
                <w:kern w:val="0"/>
                <w:position w:val="0"/>
                <w:sz w:val="24"/>
                <w:lang w:eastAsia="zh-CN"/>
              </w:rPr>
              <w:t>（</w:t>
            </w:r>
            <w:r>
              <w:rPr>
                <w:rFonts w:hint="eastAsia" w:ascii="Times New Roman" w:hAnsi="Times New Roman" w:eastAsia="宋体" w:cs="Times New Roman"/>
                <w:bCs/>
                <w:caps w:val="0"/>
                <w:color w:val="auto"/>
                <w:spacing w:val="0"/>
                <w:w w:val="100"/>
                <w:kern w:val="0"/>
                <w:position w:val="0"/>
                <w:sz w:val="24"/>
                <w:lang w:val="en-US" w:eastAsia="zh-CN"/>
              </w:rPr>
              <w:t>SO</w:t>
            </w:r>
            <w:r>
              <w:rPr>
                <w:rFonts w:hint="eastAsia" w:ascii="Times New Roman" w:hAnsi="Times New Roman" w:eastAsia="宋体" w:cs="Times New Roman"/>
                <w:bCs/>
                <w:caps w:val="0"/>
                <w:color w:val="auto"/>
                <w:spacing w:val="0"/>
                <w:w w:val="100"/>
                <w:kern w:val="0"/>
                <w:position w:val="0"/>
                <w:sz w:val="24"/>
                <w:vertAlign w:val="subscript"/>
                <w:lang w:val="en-US" w:eastAsia="zh-CN"/>
              </w:rPr>
              <w:t>2</w:t>
            </w:r>
            <w:r>
              <w:rPr>
                <w:rFonts w:hint="eastAsia" w:ascii="Times New Roman" w:hAnsi="Times New Roman" w:eastAsia="宋体" w:cs="Times New Roman"/>
                <w:bCs/>
                <w:caps w:val="0"/>
                <w:color w:val="auto"/>
                <w:spacing w:val="0"/>
                <w:w w:val="100"/>
                <w:kern w:val="0"/>
                <w:position w:val="0"/>
                <w:sz w:val="24"/>
                <w:lang w:eastAsia="zh-CN"/>
              </w:rPr>
              <w:t>）</w:t>
            </w:r>
            <w:r>
              <w:rPr>
                <w:rFonts w:hint="default" w:ascii="Times New Roman" w:hAnsi="Times New Roman" w:eastAsia="宋体" w:cs="Times New Roman"/>
                <w:bCs/>
                <w:caps w:val="0"/>
                <w:color w:val="auto"/>
                <w:spacing w:val="0"/>
                <w:w w:val="100"/>
                <w:kern w:val="0"/>
                <w:position w:val="0"/>
                <w:sz w:val="24"/>
              </w:rPr>
              <w:t>、二氧化氮</w:t>
            </w:r>
            <w:r>
              <w:rPr>
                <w:rFonts w:hint="eastAsia" w:cs="Times New Roman"/>
                <w:bCs/>
                <w:caps w:val="0"/>
                <w:color w:val="auto"/>
                <w:spacing w:val="0"/>
                <w:w w:val="100"/>
                <w:kern w:val="0"/>
                <w:position w:val="0"/>
                <w:sz w:val="24"/>
                <w:lang w:eastAsia="zh-CN"/>
              </w:rPr>
              <w:t>（</w:t>
            </w:r>
            <w:r>
              <w:rPr>
                <w:rFonts w:hint="eastAsia" w:ascii="Times New Roman" w:hAnsi="Times New Roman" w:eastAsia="宋体" w:cs="Times New Roman"/>
                <w:bCs/>
                <w:caps w:val="0"/>
                <w:color w:val="auto"/>
                <w:spacing w:val="0"/>
                <w:w w:val="100"/>
                <w:kern w:val="0"/>
                <w:position w:val="0"/>
                <w:sz w:val="24"/>
                <w:lang w:val="en-US" w:eastAsia="zh-CN"/>
              </w:rPr>
              <w:t>NO</w:t>
            </w:r>
            <w:r>
              <w:rPr>
                <w:rFonts w:hint="eastAsia" w:ascii="Times New Roman" w:hAnsi="Times New Roman" w:eastAsia="宋体" w:cs="Times New Roman"/>
                <w:bCs/>
                <w:caps w:val="0"/>
                <w:color w:val="auto"/>
                <w:spacing w:val="0"/>
                <w:w w:val="100"/>
                <w:kern w:val="0"/>
                <w:position w:val="0"/>
                <w:sz w:val="24"/>
                <w:vertAlign w:val="subscript"/>
                <w:lang w:val="en-US" w:eastAsia="zh-CN"/>
              </w:rPr>
              <w:t>2</w:t>
            </w:r>
            <w:r>
              <w:rPr>
                <w:rFonts w:hint="eastAsia" w:ascii="Times New Roman" w:hAnsi="Times New Roman" w:eastAsia="宋体" w:cs="Times New Roman"/>
                <w:bCs/>
                <w:caps w:val="0"/>
                <w:color w:val="auto"/>
                <w:spacing w:val="0"/>
                <w:w w:val="100"/>
                <w:kern w:val="0"/>
                <w:position w:val="0"/>
                <w:sz w:val="24"/>
                <w:lang w:eastAsia="zh-CN"/>
              </w:rPr>
              <w:t>）</w:t>
            </w:r>
            <w:r>
              <w:rPr>
                <w:rFonts w:hint="default" w:ascii="Times New Roman" w:hAnsi="Times New Roman" w:eastAsia="宋体" w:cs="Times New Roman"/>
                <w:bCs/>
                <w:caps w:val="0"/>
                <w:color w:val="auto"/>
                <w:spacing w:val="0"/>
                <w:w w:val="100"/>
                <w:kern w:val="0"/>
                <w:position w:val="0"/>
                <w:sz w:val="24"/>
              </w:rPr>
              <w:t>、可吸入颗粒物</w:t>
            </w:r>
            <w:r>
              <w:rPr>
                <w:rFonts w:hint="eastAsia" w:cs="Times New Roman"/>
                <w:bCs/>
                <w:caps w:val="0"/>
                <w:color w:val="auto"/>
                <w:spacing w:val="0"/>
                <w:w w:val="100"/>
                <w:kern w:val="0"/>
                <w:position w:val="0"/>
                <w:sz w:val="24"/>
                <w:lang w:eastAsia="zh-CN"/>
              </w:rPr>
              <w:t>（</w:t>
            </w:r>
            <w:r>
              <w:rPr>
                <w:rFonts w:hint="eastAsia" w:ascii="Times New Roman" w:hAnsi="Times New Roman" w:eastAsia="宋体" w:cs="Times New Roman"/>
                <w:bCs/>
                <w:caps w:val="0"/>
                <w:color w:val="auto"/>
                <w:spacing w:val="0"/>
                <w:w w:val="100"/>
                <w:kern w:val="0"/>
                <w:position w:val="0"/>
                <w:sz w:val="24"/>
                <w:lang w:val="en-US" w:eastAsia="zh-CN"/>
              </w:rPr>
              <w:t>PM</w:t>
            </w:r>
            <w:r>
              <w:rPr>
                <w:rFonts w:hint="eastAsia" w:ascii="Times New Roman" w:hAnsi="Times New Roman" w:eastAsia="宋体" w:cs="Times New Roman"/>
                <w:bCs/>
                <w:caps w:val="0"/>
                <w:color w:val="auto"/>
                <w:spacing w:val="0"/>
                <w:w w:val="100"/>
                <w:kern w:val="0"/>
                <w:position w:val="0"/>
                <w:sz w:val="24"/>
                <w:vertAlign w:val="subscript"/>
                <w:lang w:val="en-US" w:eastAsia="zh-CN"/>
              </w:rPr>
              <w:t>10</w:t>
            </w:r>
            <w:r>
              <w:rPr>
                <w:rFonts w:hint="eastAsia" w:ascii="Times New Roman" w:hAnsi="Times New Roman" w:eastAsia="宋体" w:cs="Times New Roman"/>
                <w:bCs/>
                <w:caps w:val="0"/>
                <w:color w:val="auto"/>
                <w:spacing w:val="0"/>
                <w:w w:val="100"/>
                <w:kern w:val="0"/>
                <w:position w:val="0"/>
                <w:sz w:val="24"/>
                <w:lang w:eastAsia="zh-CN"/>
              </w:rPr>
              <w:t>）</w:t>
            </w:r>
            <w:r>
              <w:rPr>
                <w:rFonts w:hint="default" w:ascii="Times New Roman" w:hAnsi="Times New Roman" w:eastAsia="宋体" w:cs="Times New Roman"/>
                <w:bCs/>
                <w:caps w:val="0"/>
                <w:color w:val="auto"/>
                <w:spacing w:val="0"/>
                <w:w w:val="100"/>
                <w:kern w:val="0"/>
                <w:position w:val="0"/>
                <w:sz w:val="24"/>
              </w:rPr>
              <w:t>、细颗粒物</w:t>
            </w:r>
            <w:r>
              <w:rPr>
                <w:rFonts w:hint="eastAsia" w:cs="Times New Roman"/>
                <w:bCs/>
                <w:caps w:val="0"/>
                <w:color w:val="auto"/>
                <w:spacing w:val="0"/>
                <w:w w:val="100"/>
                <w:kern w:val="0"/>
                <w:position w:val="0"/>
                <w:sz w:val="24"/>
                <w:lang w:eastAsia="zh-CN"/>
              </w:rPr>
              <w:t>（</w:t>
            </w:r>
            <w:r>
              <w:rPr>
                <w:rFonts w:hint="eastAsia" w:ascii="Times New Roman" w:hAnsi="Times New Roman" w:eastAsia="宋体" w:cs="Times New Roman"/>
                <w:bCs/>
                <w:caps w:val="0"/>
                <w:color w:val="auto"/>
                <w:spacing w:val="0"/>
                <w:w w:val="100"/>
                <w:kern w:val="0"/>
                <w:position w:val="0"/>
                <w:sz w:val="24"/>
                <w:lang w:val="en-US" w:eastAsia="zh-CN"/>
              </w:rPr>
              <w:t>PM</w:t>
            </w:r>
            <w:r>
              <w:rPr>
                <w:rFonts w:hint="eastAsia" w:ascii="Times New Roman" w:hAnsi="Times New Roman" w:eastAsia="宋体" w:cs="Times New Roman"/>
                <w:bCs/>
                <w:caps w:val="0"/>
                <w:color w:val="auto"/>
                <w:spacing w:val="0"/>
                <w:w w:val="100"/>
                <w:kern w:val="0"/>
                <w:position w:val="0"/>
                <w:sz w:val="24"/>
                <w:vertAlign w:val="subscript"/>
                <w:lang w:val="en-US" w:eastAsia="zh-CN"/>
              </w:rPr>
              <w:t>2.5</w:t>
            </w:r>
            <w:r>
              <w:rPr>
                <w:rFonts w:hint="eastAsia" w:ascii="Times New Roman" w:hAnsi="Times New Roman" w:eastAsia="宋体" w:cs="Times New Roman"/>
                <w:bCs/>
                <w:caps w:val="0"/>
                <w:color w:val="auto"/>
                <w:spacing w:val="0"/>
                <w:w w:val="100"/>
                <w:kern w:val="0"/>
                <w:position w:val="0"/>
                <w:sz w:val="24"/>
                <w:lang w:eastAsia="zh-CN"/>
              </w:rPr>
              <w:t>）、</w:t>
            </w:r>
            <w:r>
              <w:rPr>
                <w:rFonts w:hint="default" w:ascii="Times New Roman" w:hAnsi="Times New Roman" w:eastAsia="宋体" w:cs="Times New Roman"/>
                <w:bCs/>
                <w:caps w:val="0"/>
                <w:color w:val="auto"/>
                <w:spacing w:val="0"/>
                <w:w w:val="100"/>
                <w:kern w:val="0"/>
                <w:position w:val="0"/>
                <w:sz w:val="24"/>
              </w:rPr>
              <w:t>一氧化碳</w:t>
            </w:r>
            <w:r>
              <w:rPr>
                <w:rFonts w:hint="eastAsia" w:cs="Times New Roman"/>
                <w:bCs/>
                <w:caps w:val="0"/>
                <w:color w:val="auto"/>
                <w:spacing w:val="0"/>
                <w:w w:val="100"/>
                <w:kern w:val="0"/>
                <w:position w:val="0"/>
                <w:sz w:val="24"/>
                <w:lang w:eastAsia="zh-CN"/>
              </w:rPr>
              <w:t>（</w:t>
            </w:r>
            <w:r>
              <w:rPr>
                <w:rFonts w:hint="eastAsia" w:ascii="Times New Roman" w:hAnsi="Times New Roman" w:eastAsia="宋体" w:cs="Times New Roman"/>
                <w:bCs/>
                <w:caps w:val="0"/>
                <w:color w:val="auto"/>
                <w:spacing w:val="0"/>
                <w:w w:val="100"/>
                <w:kern w:val="0"/>
                <w:position w:val="0"/>
                <w:sz w:val="24"/>
                <w:lang w:val="en-US" w:eastAsia="zh-CN"/>
              </w:rPr>
              <w:t>CO</w:t>
            </w:r>
            <w:r>
              <w:rPr>
                <w:rFonts w:hint="eastAsia" w:ascii="Times New Roman" w:hAnsi="Times New Roman" w:eastAsia="宋体" w:cs="Times New Roman"/>
                <w:bCs/>
                <w:caps w:val="0"/>
                <w:color w:val="auto"/>
                <w:spacing w:val="0"/>
                <w:w w:val="100"/>
                <w:kern w:val="0"/>
                <w:position w:val="0"/>
                <w:sz w:val="24"/>
                <w:lang w:eastAsia="zh-CN"/>
              </w:rPr>
              <w:t>）</w:t>
            </w:r>
            <w:r>
              <w:rPr>
                <w:rFonts w:hint="eastAsia" w:ascii="Times New Roman" w:hAnsi="Times New Roman" w:cs="Times New Roman"/>
                <w:bCs/>
                <w:caps w:val="0"/>
                <w:color w:val="auto"/>
                <w:spacing w:val="0"/>
                <w:w w:val="100"/>
                <w:kern w:val="0"/>
                <w:position w:val="0"/>
                <w:sz w:val="24"/>
                <w:lang w:eastAsia="zh-CN"/>
              </w:rPr>
              <w:t>、</w:t>
            </w:r>
            <w:r>
              <w:rPr>
                <w:rFonts w:hint="default" w:ascii="Times New Roman" w:hAnsi="Times New Roman" w:eastAsia="宋体" w:cs="Times New Roman"/>
                <w:bCs/>
                <w:caps w:val="0"/>
                <w:color w:val="auto"/>
                <w:spacing w:val="0"/>
                <w:w w:val="100"/>
                <w:kern w:val="0"/>
                <w:position w:val="0"/>
                <w:sz w:val="24"/>
              </w:rPr>
              <w:t>臭氧</w:t>
            </w:r>
            <w:r>
              <w:rPr>
                <w:rFonts w:hint="eastAsia" w:cs="Times New Roman"/>
                <w:bCs/>
                <w:caps w:val="0"/>
                <w:color w:val="auto"/>
                <w:spacing w:val="0"/>
                <w:w w:val="100"/>
                <w:kern w:val="0"/>
                <w:position w:val="0"/>
                <w:sz w:val="24"/>
                <w:lang w:eastAsia="zh-CN"/>
              </w:rPr>
              <w:t>（</w:t>
            </w:r>
            <w:r>
              <w:rPr>
                <w:rFonts w:hint="eastAsia" w:ascii="Times New Roman" w:hAnsi="Times New Roman" w:eastAsia="宋体" w:cs="Times New Roman"/>
                <w:bCs/>
                <w:caps w:val="0"/>
                <w:color w:val="auto"/>
                <w:spacing w:val="0"/>
                <w:w w:val="100"/>
                <w:kern w:val="0"/>
                <w:position w:val="0"/>
                <w:sz w:val="24"/>
                <w:lang w:val="en-US" w:eastAsia="zh-CN"/>
              </w:rPr>
              <w:t>O</w:t>
            </w:r>
            <w:r>
              <w:rPr>
                <w:rFonts w:hint="eastAsia" w:ascii="Times New Roman" w:hAnsi="Times New Roman" w:eastAsia="宋体" w:cs="Times New Roman"/>
                <w:bCs/>
                <w:caps w:val="0"/>
                <w:color w:val="auto"/>
                <w:spacing w:val="0"/>
                <w:w w:val="100"/>
                <w:kern w:val="0"/>
                <w:position w:val="0"/>
                <w:sz w:val="24"/>
                <w:vertAlign w:val="subscript"/>
                <w:lang w:val="en-US" w:eastAsia="zh-CN"/>
              </w:rPr>
              <w:t>3</w:t>
            </w:r>
            <w:r>
              <w:rPr>
                <w:rFonts w:hint="eastAsia" w:ascii="Times New Roman" w:hAnsi="Times New Roman" w:eastAsia="宋体" w:cs="Times New Roman"/>
                <w:bCs/>
                <w:caps w:val="0"/>
                <w:color w:val="auto"/>
                <w:spacing w:val="0"/>
                <w:w w:val="100"/>
                <w:kern w:val="0"/>
                <w:position w:val="0"/>
                <w:sz w:val="24"/>
                <w:lang w:eastAsia="zh-CN"/>
              </w:rPr>
              <w:t>）</w:t>
            </w:r>
            <w:r>
              <w:rPr>
                <w:rFonts w:hint="eastAsia" w:ascii="Times New Roman" w:hAnsi="Times New Roman" w:eastAsia="宋体" w:cs="Times New Roman"/>
                <w:bCs/>
                <w:caps w:val="0"/>
                <w:color w:val="auto"/>
                <w:spacing w:val="0"/>
                <w:w w:val="100"/>
                <w:kern w:val="0"/>
                <w:position w:val="0"/>
                <w:sz w:val="24"/>
                <w:lang w:val="en-US" w:eastAsia="zh-CN"/>
              </w:rPr>
              <w:t>浓度</w:t>
            </w:r>
            <w:r>
              <w:rPr>
                <w:rFonts w:hint="default" w:ascii="Times New Roman" w:hAnsi="Times New Roman" w:eastAsia="宋体" w:cs="Times New Roman"/>
                <w:caps w:val="0"/>
                <w:color w:val="auto"/>
                <w:spacing w:val="0"/>
                <w:w w:val="100"/>
                <w:kern w:val="2"/>
                <w:position w:val="0"/>
                <w:sz w:val="24"/>
                <w:szCs w:val="24"/>
                <w:lang w:val="en-US" w:eastAsia="zh-CN" w:bidi="ar-SA"/>
              </w:rPr>
              <w:t>满足《环境空气质量标准》</w:t>
            </w:r>
            <w:r>
              <w:rPr>
                <w:rFonts w:hint="eastAsia" w:cs="Times New Roman"/>
                <w:caps w:val="0"/>
                <w:color w:val="auto"/>
                <w:spacing w:val="0"/>
                <w:w w:val="100"/>
                <w:kern w:val="2"/>
                <w:position w:val="0"/>
                <w:sz w:val="24"/>
                <w:szCs w:val="24"/>
                <w:lang w:val="en-US" w:eastAsia="zh-CN" w:bidi="ar-SA"/>
              </w:rPr>
              <w:t>（</w:t>
            </w:r>
            <w:r>
              <w:rPr>
                <w:rFonts w:hint="default" w:ascii="Times New Roman" w:hAnsi="Times New Roman" w:eastAsia="宋体" w:cs="Times New Roman"/>
                <w:caps w:val="0"/>
                <w:color w:val="auto"/>
                <w:spacing w:val="0"/>
                <w:w w:val="100"/>
                <w:kern w:val="2"/>
                <w:position w:val="0"/>
                <w:sz w:val="24"/>
                <w:szCs w:val="24"/>
                <w:lang w:val="en-US" w:eastAsia="zh-CN" w:bidi="ar-SA"/>
              </w:rPr>
              <w:t>GB3095-2012）二级标准要求</w:t>
            </w:r>
            <w:r>
              <w:rPr>
                <w:rFonts w:hint="eastAsia" w:ascii="Times New Roman" w:hAnsi="Times New Roman" w:eastAsia="宋体" w:cs="Times New Roman"/>
                <w:caps w:val="0"/>
                <w:color w:val="auto"/>
                <w:spacing w:val="0"/>
                <w:w w:val="100"/>
                <w:kern w:val="2"/>
                <w:position w:val="0"/>
                <w:sz w:val="24"/>
                <w:szCs w:val="24"/>
                <w:lang w:val="en-US" w:eastAsia="zh-CN" w:bidi="ar-SA"/>
              </w:rPr>
              <w:t>。</w:t>
            </w:r>
            <w:r>
              <w:rPr>
                <w:rFonts w:hint="default" w:ascii="Times New Roman" w:hAnsi="Times New Roman" w:eastAsia="宋体" w:cs="Times New Roman"/>
                <w:caps w:val="0"/>
                <w:color w:val="auto"/>
                <w:spacing w:val="0"/>
                <w:w w:val="100"/>
                <w:kern w:val="2"/>
                <w:position w:val="0"/>
                <w:sz w:val="24"/>
                <w:szCs w:val="24"/>
                <w:lang w:val="en-US" w:eastAsia="zh-CN" w:bidi="ar-SA"/>
              </w:rPr>
              <w:t>判定项目所在区域为达标区</w:t>
            </w:r>
            <w:r>
              <w:rPr>
                <w:rFonts w:hint="eastAsia" w:ascii="Times New Roman" w:hAnsi="Times New Roman" w:cs="Times New Roman"/>
                <w:caps w:val="0"/>
                <w:smallCaps w:val="0"/>
                <w:color w:val="auto"/>
                <w:spacing w:val="0"/>
                <w:w w:val="100"/>
                <w:kern w:val="0"/>
                <w:position w:val="0"/>
                <w:sz w:val="24"/>
                <w:lang w:eastAsia="zh-CN"/>
              </w:rPr>
              <w:t>。</w:t>
            </w:r>
          </w:p>
          <w:p w14:paraId="71EA1759">
            <w:pPr>
              <w:keepNext w:val="0"/>
              <w:keepLines w:val="0"/>
              <w:pageBreakBefore w:val="0"/>
              <w:widowControl w:val="0"/>
              <w:kinsoku/>
              <w:wordWrap/>
              <w:overflowPunct/>
              <w:topLinePunct w:val="0"/>
              <w:autoSpaceDE/>
              <w:autoSpaceDN/>
              <w:bidi w:val="0"/>
              <w:adjustRightInd w:val="0"/>
              <w:snapToGrid/>
              <w:spacing w:line="480" w:lineRule="exact"/>
              <w:ind w:firstLine="482" w:firstLineChars="200"/>
              <w:textAlignment w:val="auto"/>
              <w:rPr>
                <w:rFonts w:hint="default" w:ascii="Times New Roman" w:hAnsi="Times New Roman" w:eastAsia="宋体" w:cs="Times New Roman"/>
                <w:b/>
                <w:bCs/>
                <w:caps w:val="0"/>
                <w:color w:val="auto"/>
                <w:spacing w:val="0"/>
                <w:w w:val="100"/>
                <w:kern w:val="2"/>
                <w:position w:val="0"/>
                <w:sz w:val="24"/>
                <w:szCs w:val="24"/>
                <w:lang w:val="en-US" w:eastAsia="zh-CN" w:bidi="ar-SA"/>
              </w:rPr>
            </w:pPr>
            <w:r>
              <w:rPr>
                <w:rFonts w:hint="eastAsia" w:cs="Times New Roman"/>
                <w:b/>
                <w:bCs/>
                <w:caps w:val="0"/>
                <w:color w:val="auto"/>
                <w:spacing w:val="0"/>
                <w:w w:val="100"/>
                <w:kern w:val="2"/>
                <w:position w:val="0"/>
                <w:sz w:val="24"/>
                <w:szCs w:val="24"/>
                <w:lang w:val="en-US" w:eastAsia="zh-CN" w:bidi="ar-SA"/>
              </w:rPr>
              <w:t>（</w:t>
            </w:r>
            <w:r>
              <w:rPr>
                <w:rFonts w:hint="eastAsia" w:ascii="Times New Roman" w:hAnsi="Times New Roman" w:eastAsia="宋体" w:cs="Times New Roman"/>
                <w:b/>
                <w:bCs/>
                <w:caps w:val="0"/>
                <w:color w:val="auto"/>
                <w:spacing w:val="0"/>
                <w:w w:val="100"/>
                <w:kern w:val="2"/>
                <w:position w:val="0"/>
                <w:sz w:val="24"/>
                <w:szCs w:val="24"/>
                <w:lang w:val="en-US" w:eastAsia="zh-CN" w:bidi="ar-SA"/>
              </w:rPr>
              <w:t>2）</w:t>
            </w:r>
            <w:r>
              <w:rPr>
                <w:rFonts w:hint="default" w:ascii="Times New Roman" w:hAnsi="Times New Roman" w:eastAsia="宋体" w:cs="Times New Roman"/>
                <w:b/>
                <w:bCs/>
                <w:caps w:val="0"/>
                <w:color w:val="auto"/>
                <w:spacing w:val="0"/>
                <w:w w:val="100"/>
                <w:kern w:val="2"/>
                <w:position w:val="0"/>
                <w:sz w:val="24"/>
                <w:szCs w:val="24"/>
                <w:lang w:val="en-US" w:eastAsia="zh-CN" w:bidi="ar-SA"/>
              </w:rPr>
              <w:t>特征</w:t>
            </w:r>
            <w:r>
              <w:rPr>
                <w:rFonts w:hint="eastAsia" w:ascii="Times New Roman" w:hAnsi="Times New Roman" w:eastAsia="宋体" w:cs="Times New Roman"/>
                <w:b/>
                <w:bCs/>
                <w:caps w:val="0"/>
                <w:color w:val="auto"/>
                <w:spacing w:val="0"/>
                <w:w w:val="100"/>
                <w:kern w:val="2"/>
                <w:position w:val="0"/>
                <w:sz w:val="24"/>
                <w:szCs w:val="24"/>
                <w:lang w:val="en-US" w:eastAsia="zh-CN" w:bidi="ar-SA"/>
              </w:rPr>
              <w:t>污染物补充</w:t>
            </w:r>
            <w:r>
              <w:rPr>
                <w:rFonts w:hint="default" w:ascii="Times New Roman" w:hAnsi="Times New Roman" w:eastAsia="宋体" w:cs="Times New Roman"/>
                <w:b/>
                <w:bCs/>
                <w:caps w:val="0"/>
                <w:color w:val="auto"/>
                <w:spacing w:val="0"/>
                <w:w w:val="100"/>
                <w:kern w:val="2"/>
                <w:position w:val="0"/>
                <w:sz w:val="24"/>
                <w:szCs w:val="24"/>
                <w:lang w:val="en-US" w:eastAsia="zh-CN" w:bidi="ar-SA"/>
              </w:rPr>
              <w:t>监测</w:t>
            </w:r>
          </w:p>
          <w:p w14:paraId="19EBD31A">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eastAsia="宋体" w:cs="Times New Roman"/>
                <w:caps w:val="0"/>
                <w:color w:val="auto"/>
                <w:spacing w:val="0"/>
                <w:w w:val="100"/>
                <w:kern w:val="2"/>
                <w:position w:val="0"/>
                <w:sz w:val="24"/>
                <w:szCs w:val="24"/>
                <w:lang w:val="en-US" w:eastAsia="zh-CN" w:bidi="ar-SA"/>
              </w:rPr>
            </w:pPr>
            <w:r>
              <w:rPr>
                <w:rFonts w:hint="default" w:ascii="Times New Roman" w:hAnsi="Times New Roman" w:eastAsia="宋体" w:cs="Times New Roman"/>
                <w:caps w:val="0"/>
                <w:color w:val="auto"/>
                <w:spacing w:val="0"/>
                <w:w w:val="100"/>
                <w:kern w:val="2"/>
                <w:position w:val="0"/>
                <w:sz w:val="24"/>
                <w:szCs w:val="24"/>
                <w:lang w:val="en-US" w:eastAsia="zh-CN" w:bidi="ar-SA"/>
              </w:rPr>
              <w:t>本项目特征</w:t>
            </w:r>
            <w:r>
              <w:rPr>
                <w:rFonts w:hint="eastAsia" w:ascii="Times New Roman" w:hAnsi="Times New Roman" w:eastAsia="宋体" w:cs="Times New Roman"/>
                <w:caps w:val="0"/>
                <w:color w:val="auto"/>
                <w:spacing w:val="0"/>
                <w:w w:val="100"/>
                <w:kern w:val="2"/>
                <w:position w:val="0"/>
                <w:sz w:val="24"/>
                <w:szCs w:val="24"/>
                <w:lang w:val="en-US" w:eastAsia="zh-CN" w:bidi="ar-SA"/>
              </w:rPr>
              <w:t>污染物</w:t>
            </w:r>
            <w:r>
              <w:rPr>
                <w:rFonts w:hint="default" w:ascii="Times New Roman" w:hAnsi="Times New Roman" w:eastAsia="宋体" w:cs="Times New Roman"/>
                <w:caps w:val="0"/>
                <w:color w:val="auto"/>
                <w:spacing w:val="0"/>
                <w:w w:val="100"/>
                <w:kern w:val="2"/>
                <w:position w:val="0"/>
                <w:sz w:val="24"/>
                <w:szCs w:val="24"/>
                <w:lang w:val="en-US" w:eastAsia="zh-CN" w:bidi="ar-SA"/>
              </w:rPr>
              <w:t>为TSP</w:t>
            </w:r>
            <w:r>
              <w:rPr>
                <w:rFonts w:hint="eastAsia" w:cs="Times New Roman"/>
                <w:caps w:val="0"/>
                <w:color w:val="auto"/>
                <w:spacing w:val="0"/>
                <w:w w:val="100"/>
                <w:kern w:val="2"/>
                <w:position w:val="0"/>
                <w:sz w:val="24"/>
                <w:szCs w:val="24"/>
                <w:lang w:val="en-US" w:eastAsia="zh-CN" w:bidi="ar-SA"/>
              </w:rPr>
              <w:t>、非甲烷总烃、氟化物</w:t>
            </w:r>
            <w:r>
              <w:rPr>
                <w:rFonts w:hint="default" w:ascii="Times New Roman" w:hAnsi="Times New Roman" w:eastAsia="宋体" w:cs="Times New Roman"/>
                <w:caps w:val="0"/>
                <w:color w:val="auto"/>
                <w:spacing w:val="0"/>
                <w:w w:val="100"/>
                <w:kern w:val="2"/>
                <w:position w:val="0"/>
                <w:sz w:val="24"/>
                <w:szCs w:val="24"/>
                <w:lang w:val="en-US" w:eastAsia="zh-CN" w:bidi="ar-SA"/>
              </w:rPr>
              <w:t>，根据《建设项目环境影响报告表编制技术指南</w:t>
            </w:r>
            <w:r>
              <w:rPr>
                <w:rFonts w:hint="eastAsia" w:cs="Times New Roman"/>
                <w:caps w:val="0"/>
                <w:color w:val="auto"/>
                <w:spacing w:val="0"/>
                <w:w w:val="100"/>
                <w:kern w:val="2"/>
                <w:position w:val="0"/>
                <w:sz w:val="24"/>
                <w:szCs w:val="24"/>
                <w:lang w:val="en-US" w:eastAsia="zh-CN" w:bidi="ar-SA"/>
              </w:rPr>
              <w:t>（</w:t>
            </w:r>
            <w:r>
              <w:rPr>
                <w:rFonts w:hint="default" w:ascii="Times New Roman" w:hAnsi="Times New Roman" w:eastAsia="宋体" w:cs="Times New Roman"/>
                <w:caps w:val="0"/>
                <w:color w:val="auto"/>
                <w:spacing w:val="0"/>
                <w:w w:val="100"/>
                <w:kern w:val="2"/>
                <w:position w:val="0"/>
                <w:sz w:val="24"/>
                <w:szCs w:val="24"/>
                <w:lang w:val="en-US" w:eastAsia="zh-CN" w:bidi="ar-SA"/>
              </w:rPr>
              <w:t>污染影响类）》</w:t>
            </w:r>
            <w:r>
              <w:rPr>
                <w:rFonts w:hint="eastAsia" w:cs="Times New Roman"/>
                <w:caps w:val="0"/>
                <w:color w:val="auto"/>
                <w:spacing w:val="0"/>
                <w:w w:val="100"/>
                <w:kern w:val="2"/>
                <w:position w:val="0"/>
                <w:sz w:val="24"/>
                <w:szCs w:val="24"/>
                <w:lang w:val="en-US" w:eastAsia="zh-CN" w:bidi="ar-SA"/>
              </w:rPr>
              <w:t>（</w:t>
            </w:r>
            <w:r>
              <w:rPr>
                <w:rFonts w:hint="default" w:ascii="Times New Roman" w:hAnsi="Times New Roman" w:eastAsia="宋体" w:cs="Times New Roman"/>
                <w:caps w:val="0"/>
                <w:color w:val="auto"/>
                <w:spacing w:val="0"/>
                <w:w w:val="100"/>
                <w:kern w:val="2"/>
                <w:position w:val="0"/>
                <w:sz w:val="24"/>
                <w:szCs w:val="24"/>
                <w:lang w:val="en-US" w:eastAsia="zh-CN" w:bidi="ar-SA"/>
              </w:rPr>
              <w:t>试行），排放国家、地方环境空气质量标准中有标准限值要求的特征污染物时，引用建设项目周边5km范围内近3年的现有监测数据，无相关数据的选择当季主导风向下风向1个点位补充不少于3天的监测数据</w:t>
            </w:r>
            <w:r>
              <w:rPr>
                <w:rFonts w:hint="eastAsia" w:cs="Times New Roman"/>
                <w:caps w:val="0"/>
                <w:color w:val="auto"/>
                <w:spacing w:val="0"/>
                <w:w w:val="100"/>
                <w:kern w:val="2"/>
                <w:position w:val="0"/>
                <w:sz w:val="24"/>
                <w:szCs w:val="24"/>
                <w:lang w:val="en-US" w:eastAsia="zh-CN" w:bidi="ar-SA"/>
              </w:rPr>
              <w:t>。</w:t>
            </w:r>
          </w:p>
          <w:p w14:paraId="5656AE2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eastAsia="宋体" w:cs="Times New Roman"/>
                <w:caps w:val="0"/>
                <w:color w:val="auto"/>
                <w:spacing w:val="0"/>
                <w:w w:val="100"/>
                <w:kern w:val="2"/>
                <w:position w:val="0"/>
                <w:sz w:val="24"/>
                <w:szCs w:val="24"/>
                <w:lang w:val="en-US" w:eastAsia="zh-CN" w:bidi="ar-SA"/>
              </w:rPr>
            </w:pPr>
            <w:r>
              <w:rPr>
                <w:rFonts w:hint="default" w:ascii="Times New Roman" w:hAnsi="Times New Roman" w:eastAsia="宋体" w:cs="Times New Roman"/>
                <w:caps w:val="0"/>
                <w:color w:val="auto"/>
                <w:spacing w:val="0"/>
                <w:w w:val="100"/>
                <w:kern w:val="2"/>
                <w:position w:val="0"/>
                <w:sz w:val="24"/>
                <w:szCs w:val="24"/>
                <w:lang w:val="en-US" w:eastAsia="zh-CN" w:bidi="ar-SA"/>
              </w:rPr>
              <w:t>①</w:t>
            </w:r>
            <w:r>
              <w:rPr>
                <w:rFonts w:hint="eastAsia" w:ascii="Times New Roman" w:hAnsi="Times New Roman" w:eastAsia="宋体" w:cs="Times New Roman"/>
                <w:caps w:val="0"/>
                <w:color w:val="auto"/>
                <w:spacing w:val="0"/>
                <w:w w:val="100"/>
                <w:kern w:val="2"/>
                <w:position w:val="0"/>
                <w:sz w:val="24"/>
                <w:szCs w:val="24"/>
                <w:lang w:val="en-US" w:eastAsia="zh-CN" w:bidi="ar-SA"/>
              </w:rPr>
              <w:t>监测内容</w:t>
            </w:r>
          </w:p>
          <w:p w14:paraId="7BF765A8">
            <w:pPr>
              <w:pageBreakBefore w:val="0"/>
              <w:kinsoku/>
              <w:wordWrap/>
              <w:overflowPunct/>
              <w:topLinePunct w:val="0"/>
              <w:autoSpaceDE/>
              <w:autoSpaceDN/>
              <w:bidi w:val="0"/>
              <w:adjustRightInd w:val="0"/>
              <w:snapToGrid w:val="0"/>
              <w:spacing w:line="480" w:lineRule="atLeast"/>
              <w:ind w:firstLine="422"/>
              <w:jc w:val="center"/>
              <w:textAlignment w:val="auto"/>
              <w:rPr>
                <w:rFonts w:hint="default" w:ascii="Times New Roman" w:hAnsi="Times New Roman" w:cs="Times New Roman"/>
                <w:b/>
                <w:bCs/>
                <w:caps w:val="0"/>
                <w:smallCaps w:val="0"/>
                <w:color w:val="auto"/>
                <w:spacing w:val="0"/>
                <w:w w:val="100"/>
                <w:kern w:val="0"/>
                <w:position w:val="0"/>
                <w:sz w:val="21"/>
                <w:szCs w:val="21"/>
                <w:highlight w:val="none"/>
              </w:rPr>
            </w:pPr>
            <w:r>
              <w:rPr>
                <w:rFonts w:hint="default" w:ascii="Times New Roman" w:hAnsi="Times New Roman" w:cs="Times New Roman"/>
                <w:b/>
                <w:bCs/>
                <w:caps w:val="0"/>
                <w:smallCaps w:val="0"/>
                <w:color w:val="auto"/>
                <w:spacing w:val="0"/>
                <w:w w:val="100"/>
                <w:kern w:val="0"/>
                <w:position w:val="0"/>
                <w:sz w:val="21"/>
                <w:szCs w:val="21"/>
                <w:highlight w:val="none"/>
              </w:rPr>
              <w:t>表</w:t>
            </w:r>
            <w:r>
              <w:rPr>
                <w:rFonts w:hint="eastAsia" w:cs="Times New Roman"/>
                <w:b/>
                <w:bCs/>
                <w:caps w:val="0"/>
                <w:smallCaps w:val="0"/>
                <w:color w:val="auto"/>
                <w:spacing w:val="0"/>
                <w:w w:val="100"/>
                <w:kern w:val="0"/>
                <w:position w:val="0"/>
                <w:sz w:val="21"/>
                <w:szCs w:val="21"/>
                <w:highlight w:val="none"/>
                <w:lang w:val="en-US" w:eastAsia="zh-CN"/>
              </w:rPr>
              <w:t>3-2</w:t>
            </w:r>
            <w:r>
              <w:rPr>
                <w:rFonts w:hint="eastAsia" w:ascii="Times New Roman" w:hAnsi="Times New Roman" w:cs="Times New Roman"/>
                <w:b/>
                <w:bCs/>
                <w:caps w:val="0"/>
                <w:smallCaps w:val="0"/>
                <w:color w:val="auto"/>
                <w:spacing w:val="0"/>
                <w:w w:val="100"/>
                <w:kern w:val="0"/>
                <w:position w:val="0"/>
                <w:sz w:val="21"/>
                <w:szCs w:val="21"/>
                <w:highlight w:val="none"/>
                <w:lang w:val="en-US" w:eastAsia="zh-CN"/>
              </w:rPr>
              <w:t xml:space="preserve"> </w:t>
            </w:r>
            <w:r>
              <w:rPr>
                <w:rFonts w:hint="default" w:ascii="Times New Roman" w:hAnsi="Times New Roman" w:cs="Times New Roman"/>
                <w:b/>
                <w:bCs/>
                <w:caps w:val="0"/>
                <w:smallCaps w:val="0"/>
                <w:color w:val="auto"/>
                <w:spacing w:val="0"/>
                <w:w w:val="100"/>
                <w:kern w:val="0"/>
                <w:position w:val="0"/>
                <w:sz w:val="21"/>
                <w:szCs w:val="21"/>
                <w:highlight w:val="none"/>
              </w:rPr>
              <w:t xml:space="preserve"> 监测点位</w:t>
            </w:r>
            <w:r>
              <w:rPr>
                <w:rFonts w:hint="eastAsia" w:ascii="Times New Roman" w:hAnsi="Times New Roman" w:cs="Times New Roman"/>
                <w:b/>
                <w:bCs/>
                <w:caps w:val="0"/>
                <w:smallCaps w:val="0"/>
                <w:color w:val="auto"/>
                <w:spacing w:val="0"/>
                <w:w w:val="100"/>
                <w:kern w:val="0"/>
                <w:position w:val="0"/>
                <w:sz w:val="21"/>
                <w:szCs w:val="21"/>
                <w:highlight w:val="none"/>
                <w:lang w:val="en-US" w:eastAsia="zh-CN"/>
              </w:rPr>
              <w:t>信息</w:t>
            </w:r>
            <w:r>
              <w:rPr>
                <w:rFonts w:hint="default" w:ascii="Times New Roman" w:hAnsi="Times New Roman" w:cs="Times New Roman"/>
                <w:b/>
                <w:bCs/>
                <w:caps w:val="0"/>
                <w:smallCaps w:val="0"/>
                <w:color w:val="auto"/>
                <w:spacing w:val="0"/>
                <w:w w:val="100"/>
                <w:kern w:val="0"/>
                <w:position w:val="0"/>
                <w:sz w:val="21"/>
                <w:szCs w:val="21"/>
                <w:highlight w:val="none"/>
              </w:rPr>
              <w:t>一览表</w:t>
            </w:r>
          </w:p>
          <w:tbl>
            <w:tblPr>
              <w:tblStyle w:val="27"/>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1338"/>
              <w:gridCol w:w="1235"/>
              <w:gridCol w:w="1257"/>
              <w:gridCol w:w="1367"/>
              <w:gridCol w:w="3128"/>
            </w:tblGrid>
            <w:tr w14:paraId="70ED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blHeader/>
                <w:jc w:val="center"/>
              </w:trPr>
              <w:tc>
                <w:tcPr>
                  <w:tcW w:w="394" w:type="pct"/>
                  <w:vAlign w:val="center"/>
                </w:tcPr>
                <w:p w14:paraId="5520565A">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b/>
                      <w:bCs/>
                      <w:caps w:val="0"/>
                      <w:color w:val="auto"/>
                      <w:spacing w:val="0"/>
                      <w:sz w:val="21"/>
                      <w:szCs w:val="21"/>
                    </w:rPr>
                  </w:pPr>
                  <w:r>
                    <w:rPr>
                      <w:rFonts w:hint="default" w:ascii="Times New Roman" w:hAnsi="Times New Roman" w:cs="Times New Roman"/>
                      <w:b/>
                      <w:bCs/>
                      <w:caps w:val="0"/>
                      <w:color w:val="auto"/>
                      <w:spacing w:val="0"/>
                      <w:sz w:val="21"/>
                      <w:szCs w:val="21"/>
                    </w:rPr>
                    <w:t>编号</w:t>
                  </w:r>
                </w:p>
              </w:tc>
              <w:tc>
                <w:tcPr>
                  <w:tcW w:w="740" w:type="pct"/>
                  <w:vAlign w:val="center"/>
                </w:tcPr>
                <w:p w14:paraId="5054F593">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b/>
                      <w:bCs/>
                      <w:caps w:val="0"/>
                      <w:color w:val="auto"/>
                      <w:spacing w:val="0"/>
                      <w:sz w:val="21"/>
                      <w:szCs w:val="21"/>
                    </w:rPr>
                  </w:pPr>
                  <w:r>
                    <w:rPr>
                      <w:rFonts w:hint="default" w:ascii="Times New Roman" w:hAnsi="Times New Roman" w:cs="Times New Roman"/>
                      <w:b/>
                      <w:bCs/>
                      <w:caps w:val="0"/>
                      <w:color w:val="auto"/>
                      <w:spacing w:val="0"/>
                      <w:sz w:val="21"/>
                      <w:szCs w:val="21"/>
                    </w:rPr>
                    <w:t>名称</w:t>
                  </w:r>
                </w:p>
              </w:tc>
              <w:tc>
                <w:tcPr>
                  <w:tcW w:w="683" w:type="pct"/>
                  <w:vAlign w:val="center"/>
                </w:tcPr>
                <w:p w14:paraId="2F9F7BE9">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b/>
                      <w:bCs/>
                      <w:caps w:val="0"/>
                      <w:color w:val="auto"/>
                      <w:spacing w:val="0"/>
                      <w:sz w:val="21"/>
                      <w:szCs w:val="21"/>
                    </w:rPr>
                  </w:pPr>
                  <w:r>
                    <w:rPr>
                      <w:rFonts w:hint="default" w:ascii="Times New Roman" w:hAnsi="Times New Roman" w:cs="Times New Roman"/>
                      <w:b/>
                      <w:bCs/>
                      <w:caps w:val="0"/>
                      <w:color w:val="auto"/>
                      <w:spacing w:val="0"/>
                      <w:sz w:val="21"/>
                      <w:szCs w:val="21"/>
                    </w:rPr>
                    <w:t>监测因子</w:t>
                  </w:r>
                </w:p>
              </w:tc>
              <w:tc>
                <w:tcPr>
                  <w:tcW w:w="695" w:type="pct"/>
                  <w:vAlign w:val="center"/>
                </w:tcPr>
                <w:p w14:paraId="60AA4A51">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b/>
                      <w:bCs/>
                      <w:caps w:val="0"/>
                      <w:color w:val="auto"/>
                      <w:spacing w:val="0"/>
                      <w:sz w:val="21"/>
                      <w:szCs w:val="21"/>
                      <w:lang w:val="en-US" w:eastAsia="zh-CN"/>
                    </w:rPr>
                  </w:pPr>
                  <w:r>
                    <w:rPr>
                      <w:rFonts w:hint="default" w:ascii="Times New Roman" w:hAnsi="Times New Roman" w:cs="Times New Roman"/>
                      <w:b/>
                      <w:bCs/>
                      <w:caps w:val="0"/>
                      <w:color w:val="auto"/>
                      <w:spacing w:val="0"/>
                      <w:sz w:val="21"/>
                      <w:szCs w:val="21"/>
                      <w:lang w:val="en-US" w:eastAsia="zh-CN"/>
                    </w:rPr>
                    <w:t>方位、距离</w:t>
                  </w:r>
                </w:p>
              </w:tc>
              <w:tc>
                <w:tcPr>
                  <w:tcW w:w="756" w:type="pct"/>
                  <w:vAlign w:val="center"/>
                </w:tcPr>
                <w:p w14:paraId="551D81B6">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b/>
                      <w:bCs/>
                      <w:caps w:val="0"/>
                      <w:color w:val="auto"/>
                      <w:spacing w:val="0"/>
                      <w:sz w:val="21"/>
                      <w:szCs w:val="21"/>
                      <w:lang w:val="en-US" w:eastAsia="zh-CN"/>
                    </w:rPr>
                  </w:pPr>
                  <w:r>
                    <w:rPr>
                      <w:rFonts w:hint="default" w:ascii="Times New Roman" w:hAnsi="Times New Roman" w:cs="Times New Roman"/>
                      <w:b/>
                      <w:bCs/>
                      <w:caps w:val="0"/>
                      <w:color w:val="auto"/>
                      <w:spacing w:val="0"/>
                      <w:sz w:val="21"/>
                      <w:szCs w:val="21"/>
                      <w:lang w:val="en-US" w:eastAsia="zh-CN"/>
                    </w:rPr>
                    <w:t>监测时间</w:t>
                  </w:r>
                </w:p>
              </w:tc>
              <w:tc>
                <w:tcPr>
                  <w:tcW w:w="1729" w:type="pct"/>
                  <w:vAlign w:val="center"/>
                </w:tcPr>
                <w:p w14:paraId="5A367B8B">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b/>
                      <w:bCs/>
                      <w:caps w:val="0"/>
                      <w:color w:val="auto"/>
                      <w:spacing w:val="0"/>
                      <w:sz w:val="21"/>
                      <w:szCs w:val="21"/>
                      <w:lang w:val="en-US" w:eastAsia="zh-CN"/>
                    </w:rPr>
                  </w:pPr>
                  <w:r>
                    <w:rPr>
                      <w:rFonts w:hint="eastAsia" w:cs="Times New Roman"/>
                      <w:b/>
                      <w:bCs/>
                      <w:caps w:val="0"/>
                      <w:color w:val="auto"/>
                      <w:spacing w:val="0"/>
                      <w:sz w:val="21"/>
                      <w:szCs w:val="21"/>
                      <w:lang w:val="en-US" w:eastAsia="zh-CN"/>
                    </w:rPr>
                    <w:t>来源</w:t>
                  </w:r>
                </w:p>
              </w:tc>
            </w:tr>
            <w:tr w14:paraId="6905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394" w:type="pct"/>
                  <w:vAlign w:val="center"/>
                </w:tcPr>
                <w:p w14:paraId="4E317936">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caps w:val="0"/>
                      <w:color w:val="auto"/>
                      <w:spacing w:val="0"/>
                      <w:sz w:val="21"/>
                      <w:szCs w:val="21"/>
                    </w:rPr>
                  </w:pPr>
                  <w:r>
                    <w:rPr>
                      <w:rFonts w:hint="default" w:ascii="Times New Roman" w:hAnsi="Times New Roman" w:cs="Times New Roman"/>
                      <w:caps w:val="0"/>
                      <w:color w:val="auto"/>
                      <w:spacing w:val="0"/>
                      <w:sz w:val="21"/>
                      <w:szCs w:val="21"/>
                    </w:rPr>
                    <w:t>G1</w:t>
                  </w:r>
                </w:p>
              </w:tc>
              <w:tc>
                <w:tcPr>
                  <w:tcW w:w="740" w:type="pct"/>
                  <w:vAlign w:val="center"/>
                </w:tcPr>
                <w:p w14:paraId="56A09E98">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sz w:val="21"/>
                      <w:szCs w:val="21"/>
                      <w:lang w:val="en-US" w:eastAsia="zh-CN"/>
                    </w:rPr>
                  </w:pPr>
                  <w:r>
                    <w:rPr>
                      <w:rFonts w:hint="eastAsia" w:ascii="Times New Roman" w:hAnsi="Times New Roman" w:eastAsia="宋体" w:cs="Times New Roman"/>
                      <w:caps w:val="0"/>
                      <w:smallCaps w:val="0"/>
                      <w:color w:val="auto"/>
                      <w:spacing w:val="0"/>
                      <w:w w:val="100"/>
                      <w:kern w:val="0"/>
                      <w:position w:val="0"/>
                      <w:sz w:val="21"/>
                      <w:szCs w:val="21"/>
                      <w:highlight w:val="none"/>
                      <w:lang w:val="en-US" w:eastAsia="zh-CN"/>
                    </w:rPr>
                    <w:t>孵化园公租房</w:t>
                  </w:r>
                </w:p>
              </w:tc>
              <w:tc>
                <w:tcPr>
                  <w:tcW w:w="683" w:type="pct"/>
                  <w:vAlign w:val="center"/>
                </w:tcPr>
                <w:p w14:paraId="1EEE8F5B">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sz w:val="21"/>
                      <w:szCs w:val="21"/>
                      <w:lang w:val="en-US" w:eastAsia="zh-CN"/>
                    </w:rPr>
                  </w:pPr>
                  <w:r>
                    <w:rPr>
                      <w:rFonts w:hint="eastAsia" w:ascii="Times New Roman" w:hAnsi="Times New Roman" w:eastAsia="宋体" w:cs="Times New Roman"/>
                      <w:color w:val="auto"/>
                      <w:sz w:val="21"/>
                      <w:szCs w:val="21"/>
                      <w:lang w:val="en-US" w:eastAsia="zh-CN" w:bidi="ar"/>
                    </w:rPr>
                    <w:t>TSP、非甲烷总烃</w:t>
                  </w:r>
                </w:p>
              </w:tc>
              <w:tc>
                <w:tcPr>
                  <w:tcW w:w="695" w:type="pct"/>
                  <w:vAlign w:val="center"/>
                </w:tcPr>
                <w:p w14:paraId="0FFD586B">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sz w:val="21"/>
                      <w:szCs w:val="21"/>
                      <w:lang w:val="en-US" w:eastAsia="zh-CN"/>
                    </w:rPr>
                  </w:pPr>
                  <w:r>
                    <w:rPr>
                      <w:rFonts w:hint="default" w:ascii="Times New Roman" w:hAnsi="Times New Roman" w:cs="Times New Roman"/>
                      <w:caps w:val="0"/>
                      <w:color w:val="auto"/>
                      <w:spacing w:val="0"/>
                      <w:sz w:val="21"/>
                      <w:szCs w:val="21"/>
                      <w:lang w:val="en-US" w:eastAsia="zh-CN"/>
                    </w:rPr>
                    <w:t>西</w:t>
                  </w:r>
                  <w:r>
                    <w:rPr>
                      <w:rFonts w:hint="eastAsia" w:ascii="Times New Roman" w:hAnsi="Times New Roman" w:cs="Times New Roman"/>
                      <w:caps w:val="0"/>
                      <w:color w:val="auto"/>
                      <w:spacing w:val="0"/>
                      <w:sz w:val="21"/>
                      <w:szCs w:val="21"/>
                      <w:lang w:val="en-US" w:eastAsia="zh-CN"/>
                    </w:rPr>
                    <w:t>北</w:t>
                  </w:r>
                  <w:r>
                    <w:rPr>
                      <w:rFonts w:hint="eastAsia" w:cs="Times New Roman"/>
                      <w:caps w:val="0"/>
                      <w:color w:val="auto"/>
                      <w:spacing w:val="0"/>
                      <w:sz w:val="21"/>
                      <w:szCs w:val="21"/>
                      <w:lang w:val="en-US" w:eastAsia="zh-CN"/>
                    </w:rPr>
                    <w:t>1076</w:t>
                  </w:r>
                  <w:r>
                    <w:rPr>
                      <w:rFonts w:hint="default" w:ascii="Times New Roman" w:hAnsi="Times New Roman" w:cs="Times New Roman"/>
                      <w:caps w:val="0"/>
                      <w:color w:val="auto"/>
                      <w:spacing w:val="0"/>
                      <w:sz w:val="21"/>
                      <w:szCs w:val="21"/>
                      <w:lang w:val="en-US" w:eastAsia="zh-CN"/>
                    </w:rPr>
                    <w:t>m</w:t>
                  </w:r>
                </w:p>
              </w:tc>
              <w:tc>
                <w:tcPr>
                  <w:tcW w:w="756" w:type="pct"/>
                  <w:vAlign w:val="center"/>
                </w:tcPr>
                <w:p w14:paraId="3B103CC3">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s="Times New Roman"/>
                      <w:caps w:val="0"/>
                      <w:color w:val="auto"/>
                      <w:spacing w:val="0"/>
                      <w:sz w:val="21"/>
                      <w:szCs w:val="21"/>
                      <w:lang w:val="en-US" w:eastAsia="zh-CN"/>
                    </w:rPr>
                  </w:pPr>
                  <w:r>
                    <w:rPr>
                      <w:rFonts w:hint="eastAsia" w:ascii="Times New Roman" w:hAnsi="Times New Roman"/>
                      <w:caps w:val="0"/>
                      <w:smallCaps w:val="0"/>
                      <w:color w:val="auto"/>
                      <w:spacing w:val="0"/>
                      <w:w w:val="100"/>
                      <w:kern w:val="0"/>
                      <w:position w:val="0"/>
                      <w:sz w:val="21"/>
                      <w:szCs w:val="21"/>
                      <w:highlight w:val="none"/>
                      <w:lang w:val="en-US" w:eastAsia="zh-CN"/>
                    </w:rPr>
                    <w:t>2023年8月7日~2023年8月9日</w:t>
                  </w:r>
                </w:p>
              </w:tc>
              <w:tc>
                <w:tcPr>
                  <w:tcW w:w="1729" w:type="pct"/>
                  <w:vAlign w:val="center"/>
                </w:tcPr>
                <w:p w14:paraId="2F0D1762">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caps w:val="0"/>
                      <w:smallCaps w:val="0"/>
                      <w:color w:val="auto"/>
                      <w:spacing w:val="0"/>
                      <w:w w:val="100"/>
                      <w:kern w:val="0"/>
                      <w:position w:val="0"/>
                      <w:sz w:val="21"/>
                      <w:szCs w:val="21"/>
                      <w:highlight w:val="none"/>
                      <w:lang w:val="en-US" w:eastAsia="zh-CN"/>
                    </w:rPr>
                  </w:pPr>
                  <w:r>
                    <w:rPr>
                      <w:rFonts w:hint="eastAsia"/>
                      <w:caps w:val="0"/>
                      <w:smallCaps w:val="0"/>
                      <w:color w:val="auto"/>
                      <w:spacing w:val="0"/>
                      <w:w w:val="100"/>
                      <w:kern w:val="0"/>
                      <w:position w:val="0"/>
                      <w:sz w:val="21"/>
                      <w:szCs w:val="21"/>
                      <w:highlight w:val="none"/>
                      <w:lang w:val="en-US" w:eastAsia="zh-CN"/>
                    </w:rPr>
                    <w:t>引用自</w:t>
                  </w:r>
                  <w:r>
                    <w:rPr>
                      <w:rFonts w:hint="eastAsia" w:cs="Times New Roman"/>
                      <w:caps w:val="0"/>
                      <w:color w:val="auto"/>
                      <w:spacing w:val="0"/>
                      <w:w w:val="100"/>
                      <w:kern w:val="2"/>
                      <w:position w:val="0"/>
                      <w:sz w:val="21"/>
                      <w:szCs w:val="21"/>
                      <w:lang w:val="en-US" w:eastAsia="zh-CN" w:bidi="ar-SA"/>
                    </w:rPr>
                    <w:t>《</w:t>
                  </w:r>
                  <w:r>
                    <w:rPr>
                      <w:rFonts w:hint="eastAsia" w:ascii="宋体" w:hAnsi="宋体" w:cs="宋体"/>
                      <w:bCs/>
                      <w:color w:val="auto"/>
                      <w:sz w:val="21"/>
                      <w:szCs w:val="21"/>
                      <w:lang w:eastAsia="zh-CN"/>
                    </w:rPr>
                    <w:t>安徽华航电子科技有限公司</w:t>
                  </w:r>
                  <w:r>
                    <w:rPr>
                      <w:rFonts w:hint="eastAsia" w:hAnsi="宋体"/>
                      <w:color w:val="auto"/>
                      <w:spacing w:val="0"/>
                      <w:position w:val="0"/>
                      <w:sz w:val="21"/>
                      <w:szCs w:val="21"/>
                      <w:lang w:val="en-US" w:eastAsia="zh-CN"/>
                    </w:rPr>
                    <w:t>智能终端研发生产基地项目环境影响报告表</w:t>
                  </w:r>
                  <w:r>
                    <w:rPr>
                      <w:rFonts w:hint="eastAsia" w:cs="Times New Roman"/>
                      <w:caps w:val="0"/>
                      <w:color w:val="auto"/>
                      <w:spacing w:val="0"/>
                      <w:w w:val="100"/>
                      <w:kern w:val="2"/>
                      <w:position w:val="0"/>
                      <w:sz w:val="21"/>
                      <w:szCs w:val="21"/>
                      <w:lang w:val="en-US" w:eastAsia="zh-CN" w:bidi="ar-SA"/>
                    </w:rPr>
                    <w:t>》</w:t>
                  </w:r>
                </w:p>
              </w:tc>
            </w:tr>
            <w:tr w14:paraId="4285E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394" w:type="pct"/>
                  <w:vAlign w:val="center"/>
                </w:tcPr>
                <w:p w14:paraId="27BF2A98">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aps w:val="0"/>
                      <w:color w:val="auto"/>
                      <w:spacing w:val="0"/>
                      <w:sz w:val="21"/>
                      <w:szCs w:val="21"/>
                      <w:lang w:val="en-US" w:eastAsia="zh-CN"/>
                    </w:rPr>
                  </w:pPr>
                  <w:r>
                    <w:rPr>
                      <w:rFonts w:hint="eastAsia" w:cs="Times New Roman"/>
                      <w:caps w:val="0"/>
                      <w:color w:val="auto"/>
                      <w:spacing w:val="0"/>
                      <w:sz w:val="21"/>
                      <w:szCs w:val="21"/>
                      <w:lang w:val="en-US" w:eastAsia="zh-CN"/>
                    </w:rPr>
                    <w:t>G2</w:t>
                  </w:r>
                </w:p>
              </w:tc>
              <w:tc>
                <w:tcPr>
                  <w:tcW w:w="740" w:type="pct"/>
                  <w:shd w:val="clear" w:color="auto" w:fill="auto"/>
                  <w:vAlign w:val="center"/>
                </w:tcPr>
                <w:p w14:paraId="50EC2273">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olor w:val="auto"/>
                      <w:sz w:val="21"/>
                      <w:szCs w:val="21"/>
                      <w:lang w:val="en-US" w:eastAsia="zh-CN" w:bidi="ar"/>
                    </w:rPr>
                  </w:pPr>
                  <w:r>
                    <w:rPr>
                      <w:rFonts w:hint="eastAsia" w:cs="Times New Roman"/>
                      <w:color w:val="auto"/>
                      <w:sz w:val="21"/>
                      <w:szCs w:val="21"/>
                      <w:lang w:val="en-US" w:eastAsia="zh-CN" w:bidi="ar"/>
                    </w:rPr>
                    <w:t>龙腾大道与凤鸣大道交汇口西南处</w:t>
                  </w:r>
                </w:p>
              </w:tc>
              <w:tc>
                <w:tcPr>
                  <w:tcW w:w="683" w:type="pct"/>
                  <w:shd w:val="clear" w:color="auto" w:fill="auto"/>
                  <w:vAlign w:val="center"/>
                </w:tcPr>
                <w:p w14:paraId="4DA9C9A4">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氟化物</w:t>
                  </w:r>
                </w:p>
              </w:tc>
              <w:tc>
                <w:tcPr>
                  <w:tcW w:w="695" w:type="pct"/>
                  <w:vAlign w:val="center"/>
                </w:tcPr>
                <w:p w14:paraId="64936632">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东南</w:t>
                  </w:r>
                  <w:r>
                    <w:rPr>
                      <w:rFonts w:hint="eastAsia" w:cs="Times New Roman"/>
                      <w:color w:val="auto"/>
                      <w:sz w:val="21"/>
                      <w:szCs w:val="21"/>
                      <w:lang w:val="en-US" w:eastAsia="zh-CN" w:bidi="ar"/>
                    </w:rPr>
                    <w:t>1456</w:t>
                  </w:r>
                  <w:r>
                    <w:rPr>
                      <w:rFonts w:hint="eastAsia" w:ascii="Times New Roman" w:hAnsi="Times New Roman" w:cs="Times New Roman"/>
                      <w:color w:val="auto"/>
                      <w:sz w:val="21"/>
                      <w:szCs w:val="21"/>
                      <w:lang w:val="en-US" w:eastAsia="zh-CN" w:bidi="ar"/>
                    </w:rPr>
                    <w:t>m</w:t>
                  </w:r>
                </w:p>
              </w:tc>
              <w:tc>
                <w:tcPr>
                  <w:tcW w:w="756" w:type="pct"/>
                  <w:vAlign w:val="center"/>
                </w:tcPr>
                <w:p w14:paraId="111B677E">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eastAsia" w:ascii="Times New Roman" w:hAnsi="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olor w:val="auto"/>
                      <w:sz w:val="21"/>
                      <w:szCs w:val="21"/>
                      <w:lang w:val="en-US" w:eastAsia="zh-CN"/>
                    </w:rPr>
                    <w:t>202</w:t>
                  </w:r>
                  <w:r>
                    <w:rPr>
                      <w:rFonts w:hint="eastAsia" w:cs="Times New Roman"/>
                      <w:color w:val="auto"/>
                      <w:sz w:val="21"/>
                      <w:szCs w:val="21"/>
                      <w:lang w:val="en-US" w:eastAsia="zh-CN"/>
                    </w:rPr>
                    <w:t>5</w:t>
                  </w:r>
                  <w:r>
                    <w:rPr>
                      <w:rFonts w:hint="default" w:ascii="Times New Roman" w:hAnsi="Times New Roman" w:eastAsia="宋体" w:cs="Times New Roman"/>
                      <w:color w:val="auto"/>
                      <w:sz w:val="21"/>
                      <w:szCs w:val="21"/>
                      <w:lang w:val="en-US" w:eastAsia="zh-CN"/>
                    </w:rPr>
                    <w:t>年</w:t>
                  </w:r>
                  <w:r>
                    <w:rPr>
                      <w:rFonts w:hint="eastAsia"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月</w:t>
                  </w:r>
                  <w:r>
                    <w:rPr>
                      <w:rFonts w:hint="eastAsia" w:cs="Times New Roman"/>
                      <w:color w:val="auto"/>
                      <w:sz w:val="21"/>
                      <w:szCs w:val="21"/>
                      <w:lang w:val="en-US" w:eastAsia="zh-CN"/>
                    </w:rPr>
                    <w:t>9</w:t>
                  </w:r>
                  <w:r>
                    <w:rPr>
                      <w:rFonts w:hint="default" w:ascii="Times New Roman" w:hAnsi="Times New Roman" w:eastAsia="宋体" w:cs="Times New Roman"/>
                      <w:color w:val="auto"/>
                      <w:sz w:val="21"/>
                      <w:szCs w:val="21"/>
                      <w:lang w:val="en-US" w:eastAsia="zh-CN"/>
                    </w:rPr>
                    <w:t>日~</w:t>
                  </w:r>
                  <w:r>
                    <w:rPr>
                      <w:rFonts w:hint="eastAsia" w:cs="Times New Roman"/>
                      <w:color w:val="auto"/>
                      <w:sz w:val="21"/>
                      <w:szCs w:val="21"/>
                      <w:lang w:val="en-US" w:eastAsia="zh-CN"/>
                    </w:rPr>
                    <w:t>15</w:t>
                  </w:r>
                  <w:r>
                    <w:rPr>
                      <w:rFonts w:hint="default" w:ascii="Times New Roman" w:hAnsi="Times New Roman" w:eastAsia="宋体" w:cs="Times New Roman"/>
                      <w:color w:val="auto"/>
                      <w:sz w:val="21"/>
                      <w:szCs w:val="21"/>
                      <w:lang w:val="en-US" w:eastAsia="zh-CN"/>
                    </w:rPr>
                    <w:t>日</w:t>
                  </w:r>
                </w:p>
              </w:tc>
              <w:tc>
                <w:tcPr>
                  <w:tcW w:w="1729" w:type="pct"/>
                  <w:vAlign w:val="center"/>
                </w:tcPr>
                <w:p w14:paraId="0C145A37">
                  <w:pPr>
                    <w:pStyle w:val="45"/>
                    <w:keepNext w:val="0"/>
                    <w:keepLines w:val="0"/>
                    <w:pageBreakBefore w:val="0"/>
                    <w:widowControl w:val="0"/>
                    <w:kinsoku/>
                    <w:wordWrap/>
                    <w:overflowPunct/>
                    <w:topLinePunct w:val="0"/>
                    <w:autoSpaceDE/>
                    <w:autoSpaceDN/>
                    <w:bidi w:val="0"/>
                    <w:adjustRightInd/>
                    <w:snapToGrid/>
                    <w:ind w:left="0" w:leftChars="0"/>
                    <w:textAlignment w:val="auto"/>
                    <w:rPr>
                      <w:rFonts w:hint="eastAsia" w:ascii="Times New Roman" w:hAnsi="Times New Roman"/>
                      <w:caps w:val="0"/>
                      <w:smallCaps w:val="0"/>
                      <w:color w:val="auto"/>
                      <w:spacing w:val="0"/>
                      <w:w w:val="100"/>
                      <w:kern w:val="0"/>
                      <w:position w:val="0"/>
                      <w:sz w:val="21"/>
                      <w:szCs w:val="21"/>
                      <w:highlight w:val="none"/>
                      <w:lang w:val="en-US" w:eastAsia="zh-CN"/>
                    </w:rPr>
                  </w:pPr>
                  <w:r>
                    <w:rPr>
                      <w:rFonts w:hint="default" w:ascii="Times New Roman" w:hAnsi="Times New Roman" w:cs="Times New Roman"/>
                      <w:caps w:val="0"/>
                      <w:smallCaps w:val="0"/>
                      <w:color w:val="auto"/>
                      <w:spacing w:val="0"/>
                      <w:w w:val="100"/>
                      <w:kern w:val="0"/>
                      <w:position w:val="0"/>
                      <w:sz w:val="21"/>
                      <w:szCs w:val="21"/>
                      <w:highlight w:val="none"/>
                      <w:lang w:val="en-US" w:eastAsia="zh-CN"/>
                    </w:rPr>
                    <w:t>引用</w:t>
                  </w:r>
                  <w:r>
                    <w:rPr>
                      <w:rFonts w:hint="eastAsia"/>
                      <w:caps w:val="0"/>
                      <w:smallCaps w:val="0"/>
                      <w:color w:val="auto"/>
                      <w:spacing w:val="0"/>
                      <w:w w:val="100"/>
                      <w:kern w:val="0"/>
                      <w:position w:val="0"/>
                      <w:sz w:val="21"/>
                      <w:szCs w:val="21"/>
                      <w:highlight w:val="none"/>
                      <w:lang w:val="en-US" w:eastAsia="zh-CN"/>
                    </w:rPr>
                    <w:t>自</w:t>
                  </w:r>
                  <w:r>
                    <w:rPr>
                      <w:rFonts w:hint="default" w:ascii="Times New Roman" w:hAnsi="Times New Roman" w:cs="Times New Roman"/>
                      <w:caps w:val="0"/>
                      <w:smallCaps w:val="0"/>
                      <w:color w:val="auto"/>
                      <w:spacing w:val="0"/>
                      <w:w w:val="100"/>
                      <w:kern w:val="0"/>
                      <w:position w:val="0"/>
                      <w:sz w:val="21"/>
                      <w:szCs w:val="21"/>
                      <w:highlight w:val="none"/>
                      <w:lang w:val="en-US" w:eastAsia="zh-CN"/>
                    </w:rPr>
                    <w:t>《</w:t>
                  </w:r>
                  <w:r>
                    <w:rPr>
                      <w:rFonts w:hint="default" w:ascii="Times New Roman" w:hAnsi="Times New Roman" w:eastAsia="宋体" w:cs="Times New Roman"/>
                      <w:color w:val="auto"/>
                      <w:sz w:val="21"/>
                      <w:szCs w:val="21"/>
                    </w:rPr>
                    <w:t>皖江江南新兴产业集中区环境质量现状监测</w:t>
                  </w:r>
                  <w:r>
                    <w:rPr>
                      <w:rFonts w:hint="eastAsia" w:cs="Times New Roman"/>
                      <w:color w:val="auto"/>
                      <w:sz w:val="21"/>
                      <w:szCs w:val="21"/>
                      <w:lang w:val="en-US" w:eastAsia="zh-CN"/>
                    </w:rPr>
                    <w:t>检测报告</w:t>
                  </w:r>
                  <w:r>
                    <w:rPr>
                      <w:rFonts w:hint="default" w:ascii="Times New Roman" w:hAnsi="Times New Roman" w:eastAsia="宋体" w:cs="Times New Roman"/>
                      <w:color w:val="auto"/>
                      <w:sz w:val="21"/>
                      <w:szCs w:val="21"/>
                      <w:lang w:eastAsia="zh-CN"/>
                    </w:rPr>
                    <w:t>》</w:t>
                  </w:r>
                </w:p>
              </w:tc>
            </w:tr>
          </w:tbl>
          <w:p w14:paraId="631F504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caps w:val="0"/>
                <w:color w:val="auto"/>
                <w:spacing w:val="0"/>
                <w:w w:val="100"/>
                <w:position w:val="0"/>
                <w:sz w:val="24"/>
              </w:rPr>
            </w:pPr>
            <w:r>
              <w:rPr>
                <w:rFonts w:hint="default" w:ascii="Times New Roman" w:hAnsi="Times New Roman" w:cs="Times New Roman"/>
                <w:caps w:val="0"/>
                <w:color w:val="auto"/>
                <w:spacing w:val="0"/>
                <w:sz w:val="21"/>
                <w:szCs w:val="21"/>
              </w:rPr>
              <w:drawing>
                <wp:anchor distT="0" distB="0" distL="114300" distR="114300" simplePos="0" relativeHeight="251663360" behindDoc="0" locked="0" layoutInCell="1" allowOverlap="1">
                  <wp:simplePos x="0" y="0"/>
                  <wp:positionH relativeFrom="column">
                    <wp:posOffset>4926965</wp:posOffset>
                  </wp:positionH>
                  <wp:positionV relativeFrom="paragraph">
                    <wp:posOffset>169545</wp:posOffset>
                  </wp:positionV>
                  <wp:extent cx="793115" cy="878840"/>
                  <wp:effectExtent l="0" t="0" r="14605" b="5080"/>
                  <wp:wrapNone/>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pic:cNvPicPr>
                        </pic:nvPicPr>
                        <pic:blipFill>
                          <a:blip r:embed="rId17"/>
                          <a:stretch>
                            <a:fillRect/>
                          </a:stretch>
                        </pic:blipFill>
                        <pic:spPr>
                          <a:xfrm>
                            <a:off x="0" y="0"/>
                            <a:ext cx="793115" cy="878840"/>
                          </a:xfrm>
                          <a:prstGeom prst="rect">
                            <a:avLst/>
                          </a:prstGeom>
                          <a:noFill/>
                          <a:ln>
                            <a:noFill/>
                          </a:ln>
                        </pic:spPr>
                      </pic:pic>
                    </a:graphicData>
                  </a:graphic>
                </wp:anchor>
              </w:drawing>
            </w:r>
          </w:p>
          <w:p w14:paraId="619F50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aps w:val="0"/>
                <w:color w:val="auto"/>
                <w:spacing w:val="0"/>
                <w:position w:val="0"/>
                <w:sz w:val="21"/>
                <w:szCs w:val="21"/>
              </w:rPr>
            </w:pPr>
            <w:r>
              <w:drawing>
                <wp:inline distT="0" distB="0" distL="114300" distR="114300">
                  <wp:extent cx="5719445" cy="4825365"/>
                  <wp:effectExtent l="0" t="0" r="1079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8"/>
                          <a:stretch>
                            <a:fillRect/>
                          </a:stretch>
                        </pic:blipFill>
                        <pic:spPr>
                          <a:xfrm>
                            <a:off x="0" y="0"/>
                            <a:ext cx="5719445" cy="4825365"/>
                          </a:xfrm>
                          <a:prstGeom prst="rect">
                            <a:avLst/>
                          </a:prstGeom>
                          <a:noFill/>
                          <a:ln>
                            <a:noFill/>
                          </a:ln>
                        </pic:spPr>
                      </pic:pic>
                    </a:graphicData>
                  </a:graphic>
                </wp:inline>
              </w:drawing>
            </w:r>
          </w:p>
          <w:p w14:paraId="36C7D1EC">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宋体" w:cs="Times New Roman"/>
                <w:caps w:val="0"/>
                <w:color w:val="auto"/>
                <w:spacing w:val="0"/>
                <w:w w:val="100"/>
                <w:position w:val="0"/>
                <w:sz w:val="24"/>
                <w:lang w:val="en-US" w:eastAsia="zh-CN"/>
              </w:rPr>
            </w:pPr>
            <w:r>
              <w:rPr>
                <w:rFonts w:hint="eastAsia" w:cs="Times New Roman"/>
                <w:b/>
                <w:bCs/>
                <w:caps w:val="0"/>
                <w:color w:val="auto"/>
                <w:spacing w:val="0"/>
                <w:w w:val="100"/>
                <w:position w:val="0"/>
                <w:sz w:val="21"/>
                <w:szCs w:val="21"/>
                <w:lang w:val="en-US" w:eastAsia="zh-CN"/>
              </w:rPr>
              <w:t>图3-1  环境空气现状监测点位图</w:t>
            </w:r>
          </w:p>
          <w:p w14:paraId="22D9BCF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caps w:val="0"/>
                <w:color w:val="auto"/>
                <w:spacing w:val="0"/>
                <w:w w:val="100"/>
                <w:position w:val="0"/>
                <w:sz w:val="24"/>
              </w:rPr>
            </w:pPr>
            <w:r>
              <w:rPr>
                <w:rFonts w:hint="default" w:ascii="Times New Roman" w:hAnsi="Times New Roman" w:eastAsia="宋体" w:cs="Times New Roman"/>
                <w:caps w:val="0"/>
                <w:color w:val="auto"/>
                <w:spacing w:val="0"/>
                <w:w w:val="100"/>
                <w:position w:val="0"/>
                <w:sz w:val="24"/>
                <w:lang w:val="en-US" w:eastAsia="zh-CN"/>
              </w:rPr>
              <w:t>②</w:t>
            </w:r>
            <w:r>
              <w:rPr>
                <w:rFonts w:hint="default" w:ascii="Times New Roman" w:hAnsi="Times New Roman" w:cs="Times New Roman"/>
                <w:caps w:val="0"/>
                <w:color w:val="auto"/>
                <w:spacing w:val="0"/>
                <w:w w:val="100"/>
                <w:position w:val="0"/>
                <w:sz w:val="24"/>
              </w:rPr>
              <w:t>评价方法</w:t>
            </w:r>
          </w:p>
          <w:p w14:paraId="72E7EBD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caps w:val="0"/>
                <w:color w:val="auto"/>
                <w:spacing w:val="0"/>
                <w:w w:val="100"/>
                <w:position w:val="0"/>
                <w:sz w:val="24"/>
              </w:rPr>
            </w:pPr>
            <w:r>
              <w:rPr>
                <w:rFonts w:hint="default" w:ascii="Times New Roman" w:hAnsi="Times New Roman" w:cs="Times New Roman"/>
                <w:caps w:val="0"/>
                <w:color w:val="auto"/>
                <w:spacing w:val="0"/>
                <w:w w:val="100"/>
                <w:position w:val="0"/>
                <w:sz w:val="24"/>
              </w:rPr>
              <w:t>采用单项因子标准指数法进行评价，具体表达式如下：</w:t>
            </w:r>
          </w:p>
          <w:p w14:paraId="1E8E3A8E">
            <w:pPr>
              <w:keepNext w:val="0"/>
              <w:keepLines w:val="0"/>
              <w:pageBreakBefore w:val="0"/>
              <w:widowControl w:val="0"/>
              <w:kinsoku/>
              <w:wordWrap/>
              <w:overflowPunct/>
              <w:topLinePunct w:val="0"/>
              <w:autoSpaceDE/>
              <w:autoSpaceDN/>
              <w:bidi w:val="0"/>
              <w:adjustRightInd/>
              <w:snapToGrid/>
              <w:spacing w:line="480" w:lineRule="exact"/>
              <w:ind w:firstLine="1440" w:firstLineChars="600"/>
              <w:textAlignment w:val="auto"/>
              <w:rPr>
                <w:rFonts w:hint="default" w:ascii="Times New Roman" w:hAnsi="Times New Roman" w:cs="Times New Roman"/>
                <w:caps w:val="0"/>
                <w:color w:val="auto"/>
                <w:spacing w:val="0"/>
                <w:w w:val="100"/>
                <w:position w:val="0"/>
                <w:szCs w:val="21"/>
              </w:rPr>
            </w:pPr>
            <w:r>
              <w:rPr>
                <w:rFonts w:hint="default" w:ascii="Times New Roman" w:hAnsi="Times New Roman" w:cs="Times New Roman"/>
                <w:caps w:val="0"/>
                <w:color w:val="auto"/>
                <w:spacing w:val="0"/>
                <w:w w:val="100"/>
                <w:position w:val="0"/>
                <w:sz w:val="24"/>
              </w:rPr>
              <w:t xml:space="preserve">         </w:t>
            </w:r>
            <w:r>
              <w:rPr>
                <w:rFonts w:hint="default" w:ascii="Times New Roman" w:hAnsi="Times New Roman" w:cs="Times New Roman"/>
                <w:caps w:val="0"/>
                <w:color w:val="auto"/>
                <w:spacing w:val="0"/>
                <w:w w:val="100"/>
                <w:position w:val="0"/>
              </w:rPr>
              <w:fldChar w:fldCharType="begin"/>
            </w:r>
            <w:r>
              <w:rPr>
                <w:rFonts w:hint="default" w:ascii="Times New Roman" w:hAnsi="Times New Roman" w:cs="Times New Roman"/>
                <w:caps w:val="0"/>
                <w:color w:val="auto"/>
                <w:spacing w:val="0"/>
                <w:w w:val="100"/>
                <w:position w:val="0"/>
              </w:rPr>
              <w:instrText xml:space="preserve"> INCLUDEPICTURE "C:\\Users\\ADMINI~1\\AppData\\Local\\Temp\\ksohtml1072\\wps1.png" \* MERGEFORMATINET </w:instrText>
            </w:r>
            <w:r>
              <w:rPr>
                <w:rFonts w:hint="default" w:ascii="Times New Roman" w:hAnsi="Times New Roman" w:cs="Times New Roman"/>
                <w:caps w:val="0"/>
                <w:color w:val="auto"/>
                <w:spacing w:val="0"/>
                <w:w w:val="100"/>
                <w:position w:val="0"/>
              </w:rPr>
              <w:fldChar w:fldCharType="separate"/>
            </w:r>
            <w:r>
              <w:rPr>
                <w:rFonts w:hint="default" w:ascii="Times New Roman" w:hAnsi="Times New Roman" w:cs="Times New Roman"/>
                <w:caps w:val="0"/>
                <w:color w:val="auto"/>
                <w:spacing w:val="0"/>
                <w:w w:val="100"/>
                <w:position w:val="0"/>
              </w:rPr>
              <w:drawing>
                <wp:inline distT="0" distB="0" distL="114300" distR="114300">
                  <wp:extent cx="647700" cy="228600"/>
                  <wp:effectExtent l="0" t="0" r="7620" b="0"/>
                  <wp:docPr id="21" name="图片 3" descr="w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wps1"/>
                          <pic:cNvPicPr>
                            <a:picLocks noChangeAspect="1"/>
                          </pic:cNvPicPr>
                        </pic:nvPicPr>
                        <pic:blipFill>
                          <a:blip r:embed="rId19"/>
                          <a:stretch>
                            <a:fillRect/>
                          </a:stretch>
                        </pic:blipFill>
                        <pic:spPr>
                          <a:xfrm>
                            <a:off x="0" y="0"/>
                            <a:ext cx="647700" cy="228600"/>
                          </a:xfrm>
                          <a:prstGeom prst="rect">
                            <a:avLst/>
                          </a:prstGeom>
                          <a:noFill/>
                          <a:ln>
                            <a:noFill/>
                          </a:ln>
                        </pic:spPr>
                      </pic:pic>
                    </a:graphicData>
                  </a:graphic>
                </wp:inline>
              </w:drawing>
            </w:r>
            <w:r>
              <w:rPr>
                <w:rFonts w:hint="default" w:ascii="Times New Roman" w:hAnsi="Times New Roman" w:cs="Times New Roman"/>
                <w:caps w:val="0"/>
                <w:color w:val="auto"/>
                <w:spacing w:val="0"/>
                <w:w w:val="100"/>
                <w:position w:val="0"/>
              </w:rPr>
              <w:fldChar w:fldCharType="end"/>
            </w:r>
          </w:p>
          <w:p w14:paraId="2B3CDB0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caps w:val="0"/>
                <w:color w:val="auto"/>
                <w:spacing w:val="0"/>
                <w:w w:val="100"/>
                <w:position w:val="0"/>
                <w:sz w:val="24"/>
                <w:lang w:eastAsia="zh-CN"/>
              </w:rPr>
            </w:pPr>
            <w:r>
              <w:rPr>
                <w:rFonts w:hint="default" w:ascii="Times New Roman" w:hAnsi="Times New Roman" w:cs="Times New Roman"/>
                <w:caps w:val="0"/>
                <w:color w:val="auto"/>
                <w:spacing w:val="0"/>
                <w:w w:val="100"/>
                <w:position w:val="0"/>
                <w:sz w:val="24"/>
              </w:rPr>
              <w:t xml:space="preserve">式中： </w:t>
            </w:r>
            <w:r>
              <w:rPr>
                <w:rFonts w:hint="default" w:ascii="Times New Roman" w:hAnsi="Times New Roman" w:cs="Times New Roman"/>
                <w:caps w:val="0"/>
                <w:color w:val="auto"/>
                <w:spacing w:val="0"/>
                <w:w w:val="100"/>
                <w:position w:val="0"/>
              </w:rPr>
              <w:fldChar w:fldCharType="begin"/>
            </w:r>
            <w:r>
              <w:rPr>
                <w:rFonts w:hint="default" w:ascii="Times New Roman" w:hAnsi="Times New Roman" w:cs="Times New Roman"/>
                <w:caps w:val="0"/>
                <w:color w:val="auto"/>
                <w:spacing w:val="0"/>
                <w:w w:val="100"/>
                <w:position w:val="0"/>
              </w:rPr>
              <w:instrText xml:space="preserve"> INCLUDEPICTURE "C:\\Users\\ADMINI~1\\AppData\\Local\\Temp\\ksohtml1072\\wps2.png" \* MERGEFORMATINET </w:instrText>
            </w:r>
            <w:r>
              <w:rPr>
                <w:rFonts w:hint="default" w:ascii="Times New Roman" w:hAnsi="Times New Roman" w:cs="Times New Roman"/>
                <w:caps w:val="0"/>
                <w:color w:val="auto"/>
                <w:spacing w:val="0"/>
                <w:w w:val="100"/>
                <w:position w:val="0"/>
              </w:rPr>
              <w:fldChar w:fldCharType="separate"/>
            </w:r>
            <w:r>
              <w:rPr>
                <w:rFonts w:hint="default" w:ascii="Times New Roman" w:hAnsi="Times New Roman" w:cs="Times New Roman"/>
                <w:caps w:val="0"/>
                <w:color w:val="auto"/>
                <w:spacing w:val="0"/>
                <w:w w:val="100"/>
                <w:position w:val="0"/>
              </w:rPr>
              <w:drawing>
                <wp:inline distT="0" distB="0" distL="114300" distR="114300">
                  <wp:extent cx="152400" cy="228600"/>
                  <wp:effectExtent l="0" t="0" r="0" b="0"/>
                  <wp:docPr id="22" name="图片 4" descr="w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wps2"/>
                          <pic:cNvPicPr>
                            <a:picLocks noChangeAspect="1"/>
                          </pic:cNvPicPr>
                        </pic:nvPicPr>
                        <pic:blipFill>
                          <a:blip r:embed="rId20"/>
                          <a:stretch>
                            <a:fillRect/>
                          </a:stretch>
                        </pic:blipFill>
                        <pic:spPr>
                          <a:xfrm>
                            <a:off x="0" y="0"/>
                            <a:ext cx="152400" cy="228600"/>
                          </a:xfrm>
                          <a:prstGeom prst="rect">
                            <a:avLst/>
                          </a:prstGeom>
                          <a:noFill/>
                          <a:ln>
                            <a:noFill/>
                          </a:ln>
                        </pic:spPr>
                      </pic:pic>
                    </a:graphicData>
                  </a:graphic>
                </wp:inline>
              </w:drawing>
            </w:r>
            <w:r>
              <w:rPr>
                <w:rFonts w:hint="default" w:ascii="Times New Roman" w:hAnsi="Times New Roman" w:cs="Times New Roman"/>
                <w:caps w:val="0"/>
                <w:color w:val="auto"/>
                <w:spacing w:val="0"/>
                <w:w w:val="100"/>
                <w:position w:val="0"/>
              </w:rPr>
              <w:fldChar w:fldCharType="end"/>
            </w:r>
            <w:r>
              <w:rPr>
                <w:rFonts w:hint="default" w:ascii="Times New Roman" w:hAnsi="Times New Roman" w:cs="Times New Roman"/>
                <w:caps w:val="0"/>
                <w:color w:val="auto"/>
                <w:spacing w:val="0"/>
                <w:w w:val="100"/>
                <w:position w:val="0"/>
                <w:sz w:val="24"/>
              </w:rPr>
              <w:t>——</w:t>
            </w:r>
            <w:r>
              <w:rPr>
                <w:rFonts w:hint="default" w:ascii="Times New Roman" w:hAnsi="Times New Roman" w:cs="Times New Roman"/>
                <w:caps w:val="0"/>
                <w:color w:val="auto"/>
                <w:spacing w:val="0"/>
                <w:w w:val="100"/>
                <w:position w:val="0"/>
              </w:rPr>
              <w:fldChar w:fldCharType="begin"/>
            </w:r>
            <w:r>
              <w:rPr>
                <w:rFonts w:hint="default" w:ascii="Times New Roman" w:hAnsi="Times New Roman" w:cs="Times New Roman"/>
                <w:caps w:val="0"/>
                <w:color w:val="auto"/>
                <w:spacing w:val="0"/>
                <w:w w:val="100"/>
                <w:position w:val="0"/>
              </w:rPr>
              <w:instrText xml:space="preserve"> INCLUDEPICTURE "C:\\Users\\ADMINI~1\\AppData\\Local\\Temp\\ksohtml1072\\wps3.png" \* MERGEFORMATINET </w:instrText>
            </w:r>
            <w:r>
              <w:rPr>
                <w:rFonts w:hint="default" w:ascii="Times New Roman" w:hAnsi="Times New Roman" w:cs="Times New Roman"/>
                <w:caps w:val="0"/>
                <w:color w:val="auto"/>
                <w:spacing w:val="0"/>
                <w:w w:val="100"/>
                <w:position w:val="0"/>
              </w:rPr>
              <w:fldChar w:fldCharType="separate"/>
            </w:r>
            <w:r>
              <w:rPr>
                <w:rFonts w:hint="default" w:ascii="Times New Roman" w:hAnsi="Times New Roman" w:cs="Times New Roman"/>
                <w:caps w:val="0"/>
                <w:color w:val="auto"/>
                <w:spacing w:val="0"/>
                <w:w w:val="100"/>
                <w:position w:val="0"/>
              </w:rPr>
              <w:drawing>
                <wp:inline distT="0" distB="0" distL="114300" distR="114300">
                  <wp:extent cx="114300" cy="161925"/>
                  <wp:effectExtent l="0" t="0" r="0" b="5080"/>
                  <wp:docPr id="14" name="图片 5" descr="wp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wps7"/>
                          <pic:cNvPicPr>
                            <a:picLocks noChangeAspect="1"/>
                          </pic:cNvPicPr>
                        </pic:nvPicPr>
                        <pic:blipFill>
                          <a:blip r:embed="rId21"/>
                          <a:stretch>
                            <a:fillRect/>
                          </a:stretch>
                        </pic:blipFill>
                        <pic:spPr>
                          <a:xfrm>
                            <a:off x="0" y="0"/>
                            <a:ext cx="114300" cy="161925"/>
                          </a:xfrm>
                          <a:prstGeom prst="rect">
                            <a:avLst/>
                          </a:prstGeom>
                          <a:noFill/>
                          <a:ln>
                            <a:noFill/>
                          </a:ln>
                        </pic:spPr>
                      </pic:pic>
                    </a:graphicData>
                  </a:graphic>
                </wp:inline>
              </w:drawing>
            </w:r>
            <w:r>
              <w:rPr>
                <w:rFonts w:hint="default" w:ascii="Times New Roman" w:hAnsi="Times New Roman" w:cs="Times New Roman"/>
                <w:caps w:val="0"/>
                <w:color w:val="auto"/>
                <w:spacing w:val="0"/>
                <w:w w:val="100"/>
                <w:position w:val="0"/>
              </w:rPr>
              <w:fldChar w:fldCharType="end"/>
            </w:r>
            <w:r>
              <w:rPr>
                <w:rFonts w:hint="default" w:ascii="Times New Roman" w:hAnsi="Times New Roman" w:cs="Times New Roman"/>
                <w:caps w:val="0"/>
                <w:color w:val="auto"/>
                <w:spacing w:val="0"/>
                <w:w w:val="100"/>
                <w:position w:val="0"/>
                <w:sz w:val="24"/>
              </w:rPr>
              <w:t>污染物单因子指数</w:t>
            </w:r>
            <w:r>
              <w:rPr>
                <w:rFonts w:hint="eastAsia" w:cs="Times New Roman"/>
                <w:caps w:val="0"/>
                <w:color w:val="auto"/>
                <w:spacing w:val="0"/>
                <w:w w:val="100"/>
                <w:position w:val="0"/>
                <w:sz w:val="24"/>
                <w:lang w:eastAsia="zh-CN"/>
              </w:rPr>
              <w:t>；</w:t>
            </w:r>
          </w:p>
          <w:p w14:paraId="5DADF02B">
            <w:pPr>
              <w:keepNext w:val="0"/>
              <w:keepLines w:val="0"/>
              <w:pageBreakBefore w:val="0"/>
              <w:widowControl w:val="0"/>
              <w:kinsoku/>
              <w:wordWrap/>
              <w:overflowPunct/>
              <w:topLinePunct w:val="0"/>
              <w:autoSpaceDE/>
              <w:autoSpaceDN/>
              <w:bidi w:val="0"/>
              <w:adjustRightInd/>
              <w:snapToGrid/>
              <w:spacing w:line="480" w:lineRule="exact"/>
              <w:ind w:firstLine="1260" w:firstLineChars="600"/>
              <w:textAlignment w:val="auto"/>
              <w:rPr>
                <w:rFonts w:hint="eastAsia" w:ascii="Times New Roman" w:hAnsi="Times New Roman" w:eastAsia="宋体" w:cs="Times New Roman"/>
                <w:caps w:val="0"/>
                <w:color w:val="auto"/>
                <w:spacing w:val="0"/>
                <w:w w:val="100"/>
                <w:position w:val="0"/>
                <w:sz w:val="24"/>
                <w:lang w:eastAsia="zh-CN"/>
              </w:rPr>
            </w:pPr>
            <w:r>
              <w:rPr>
                <w:rFonts w:hint="default" w:ascii="Times New Roman" w:hAnsi="Times New Roman" w:cs="Times New Roman"/>
                <w:caps w:val="0"/>
                <w:color w:val="auto"/>
                <w:spacing w:val="0"/>
                <w:w w:val="100"/>
                <w:position w:val="0"/>
              </w:rPr>
              <w:fldChar w:fldCharType="begin"/>
            </w:r>
            <w:r>
              <w:rPr>
                <w:rFonts w:hint="default" w:ascii="Times New Roman" w:hAnsi="Times New Roman" w:cs="Times New Roman"/>
                <w:caps w:val="0"/>
                <w:color w:val="auto"/>
                <w:spacing w:val="0"/>
                <w:w w:val="100"/>
                <w:position w:val="0"/>
              </w:rPr>
              <w:instrText xml:space="preserve"> INCLUDEPICTURE "C:\\Users\\ADMINI~1\\AppData\\Local\\Temp\\ksohtml1072\\wps4.png" \* MERGEFORMATINET </w:instrText>
            </w:r>
            <w:r>
              <w:rPr>
                <w:rFonts w:hint="default" w:ascii="Times New Roman" w:hAnsi="Times New Roman" w:cs="Times New Roman"/>
                <w:caps w:val="0"/>
                <w:color w:val="auto"/>
                <w:spacing w:val="0"/>
                <w:w w:val="100"/>
                <w:position w:val="0"/>
              </w:rPr>
              <w:fldChar w:fldCharType="separate"/>
            </w:r>
            <w:r>
              <w:rPr>
                <w:rFonts w:hint="default" w:ascii="Times New Roman" w:hAnsi="Times New Roman" w:cs="Times New Roman"/>
                <w:caps w:val="0"/>
                <w:color w:val="auto"/>
                <w:spacing w:val="0"/>
                <w:w w:val="100"/>
                <w:position w:val="0"/>
              </w:rPr>
              <w:drawing>
                <wp:inline distT="0" distB="0" distL="114300" distR="114300">
                  <wp:extent cx="161925" cy="228600"/>
                  <wp:effectExtent l="0" t="0" r="5715" b="0"/>
                  <wp:docPr id="20" name="图片 6" descr="wp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descr="wps4"/>
                          <pic:cNvPicPr>
                            <a:picLocks noChangeAspect="1"/>
                          </pic:cNvPicPr>
                        </pic:nvPicPr>
                        <pic:blipFill>
                          <a:blip r:embed="rId22"/>
                          <a:stretch>
                            <a:fillRect/>
                          </a:stretch>
                        </pic:blipFill>
                        <pic:spPr>
                          <a:xfrm>
                            <a:off x="0" y="0"/>
                            <a:ext cx="161925" cy="228600"/>
                          </a:xfrm>
                          <a:prstGeom prst="rect">
                            <a:avLst/>
                          </a:prstGeom>
                          <a:noFill/>
                          <a:ln>
                            <a:noFill/>
                          </a:ln>
                        </pic:spPr>
                      </pic:pic>
                    </a:graphicData>
                  </a:graphic>
                </wp:inline>
              </w:drawing>
            </w:r>
            <w:r>
              <w:rPr>
                <w:rFonts w:hint="default" w:ascii="Times New Roman" w:hAnsi="Times New Roman" w:cs="Times New Roman"/>
                <w:caps w:val="0"/>
                <w:color w:val="auto"/>
                <w:spacing w:val="0"/>
                <w:w w:val="100"/>
                <w:position w:val="0"/>
              </w:rPr>
              <w:fldChar w:fldCharType="end"/>
            </w:r>
            <w:r>
              <w:rPr>
                <w:rFonts w:hint="default" w:ascii="Times New Roman" w:hAnsi="Times New Roman" w:cs="Times New Roman"/>
                <w:caps w:val="0"/>
                <w:color w:val="auto"/>
                <w:spacing w:val="0"/>
                <w:w w:val="100"/>
                <w:position w:val="0"/>
                <w:sz w:val="24"/>
              </w:rPr>
              <w:t>——</w:t>
            </w:r>
            <w:r>
              <w:rPr>
                <w:rFonts w:hint="default" w:ascii="Times New Roman" w:hAnsi="Times New Roman" w:cs="Times New Roman"/>
                <w:caps w:val="0"/>
                <w:color w:val="auto"/>
                <w:spacing w:val="0"/>
                <w:w w:val="100"/>
                <w:position w:val="0"/>
              </w:rPr>
              <w:fldChar w:fldCharType="begin"/>
            </w:r>
            <w:r>
              <w:rPr>
                <w:rFonts w:hint="default" w:ascii="Times New Roman" w:hAnsi="Times New Roman" w:cs="Times New Roman"/>
                <w:caps w:val="0"/>
                <w:color w:val="auto"/>
                <w:spacing w:val="0"/>
                <w:w w:val="100"/>
                <w:position w:val="0"/>
              </w:rPr>
              <w:instrText xml:space="preserve"> INCLUDEPICTURE "C:\\Users\\ADMINI~1\\AppData\\Local\\Temp\\ksohtml1072\\wps5.png" \* MERGEFORMATINET </w:instrText>
            </w:r>
            <w:r>
              <w:rPr>
                <w:rFonts w:hint="default" w:ascii="Times New Roman" w:hAnsi="Times New Roman" w:cs="Times New Roman"/>
                <w:caps w:val="0"/>
                <w:color w:val="auto"/>
                <w:spacing w:val="0"/>
                <w:w w:val="100"/>
                <w:position w:val="0"/>
              </w:rPr>
              <w:fldChar w:fldCharType="separate"/>
            </w:r>
            <w:r>
              <w:rPr>
                <w:rFonts w:hint="default" w:ascii="Times New Roman" w:hAnsi="Times New Roman" w:cs="Times New Roman"/>
                <w:caps w:val="0"/>
                <w:color w:val="auto"/>
                <w:spacing w:val="0"/>
                <w:w w:val="100"/>
                <w:position w:val="0"/>
              </w:rPr>
              <w:drawing>
                <wp:inline distT="0" distB="0" distL="114300" distR="114300">
                  <wp:extent cx="114300" cy="161925"/>
                  <wp:effectExtent l="0" t="0" r="0" b="5080"/>
                  <wp:docPr id="16" name="图片 7" descr="wp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wps7"/>
                          <pic:cNvPicPr>
                            <a:picLocks noChangeAspect="1"/>
                          </pic:cNvPicPr>
                        </pic:nvPicPr>
                        <pic:blipFill>
                          <a:blip r:embed="rId21"/>
                          <a:stretch>
                            <a:fillRect/>
                          </a:stretch>
                        </pic:blipFill>
                        <pic:spPr>
                          <a:xfrm>
                            <a:off x="0" y="0"/>
                            <a:ext cx="114300" cy="161925"/>
                          </a:xfrm>
                          <a:prstGeom prst="rect">
                            <a:avLst/>
                          </a:prstGeom>
                          <a:noFill/>
                          <a:ln>
                            <a:noFill/>
                          </a:ln>
                        </pic:spPr>
                      </pic:pic>
                    </a:graphicData>
                  </a:graphic>
                </wp:inline>
              </w:drawing>
            </w:r>
            <w:r>
              <w:rPr>
                <w:rFonts w:hint="default" w:ascii="Times New Roman" w:hAnsi="Times New Roman" w:cs="Times New Roman"/>
                <w:caps w:val="0"/>
                <w:color w:val="auto"/>
                <w:spacing w:val="0"/>
                <w:w w:val="100"/>
                <w:position w:val="0"/>
              </w:rPr>
              <w:fldChar w:fldCharType="end"/>
            </w:r>
            <w:r>
              <w:rPr>
                <w:rFonts w:hint="default" w:ascii="Times New Roman" w:hAnsi="Times New Roman" w:cs="Times New Roman"/>
                <w:caps w:val="0"/>
                <w:color w:val="auto"/>
                <w:spacing w:val="0"/>
                <w:w w:val="100"/>
                <w:position w:val="0"/>
                <w:sz w:val="24"/>
              </w:rPr>
              <w:t>污染物实测浓度，mg/m</w:t>
            </w:r>
            <w:r>
              <w:rPr>
                <w:rFonts w:hint="default" w:ascii="Times New Roman" w:hAnsi="Times New Roman" w:cs="Times New Roman"/>
                <w:caps w:val="0"/>
                <w:color w:val="auto"/>
                <w:spacing w:val="0"/>
                <w:w w:val="100"/>
                <w:position w:val="0"/>
                <w:sz w:val="24"/>
                <w:vertAlign w:val="superscript"/>
              </w:rPr>
              <w:t>3</w:t>
            </w:r>
            <w:r>
              <w:rPr>
                <w:rFonts w:hint="eastAsia" w:cs="Times New Roman"/>
                <w:caps w:val="0"/>
                <w:color w:val="auto"/>
                <w:spacing w:val="0"/>
                <w:w w:val="100"/>
                <w:position w:val="0"/>
                <w:sz w:val="24"/>
                <w:lang w:eastAsia="zh-CN"/>
              </w:rPr>
              <w:t>；</w:t>
            </w:r>
          </w:p>
          <w:p w14:paraId="36882AD4">
            <w:pPr>
              <w:keepNext w:val="0"/>
              <w:keepLines w:val="0"/>
              <w:pageBreakBefore w:val="0"/>
              <w:widowControl w:val="0"/>
              <w:kinsoku/>
              <w:wordWrap/>
              <w:overflowPunct/>
              <w:topLinePunct w:val="0"/>
              <w:autoSpaceDE/>
              <w:autoSpaceDN/>
              <w:bidi w:val="0"/>
              <w:adjustRightInd/>
              <w:snapToGrid/>
              <w:spacing w:line="480" w:lineRule="exact"/>
              <w:ind w:firstLine="1260" w:firstLineChars="600"/>
              <w:textAlignment w:val="auto"/>
              <w:rPr>
                <w:rFonts w:hint="default" w:ascii="Times New Roman" w:hAnsi="Times New Roman" w:cs="Times New Roman"/>
                <w:caps w:val="0"/>
                <w:color w:val="auto"/>
                <w:spacing w:val="0"/>
                <w:w w:val="100"/>
                <w:position w:val="0"/>
                <w:sz w:val="24"/>
              </w:rPr>
            </w:pPr>
            <w:r>
              <w:rPr>
                <w:rFonts w:hint="default" w:ascii="Times New Roman" w:hAnsi="Times New Roman" w:cs="Times New Roman"/>
                <w:caps w:val="0"/>
                <w:color w:val="auto"/>
                <w:spacing w:val="0"/>
                <w:w w:val="100"/>
                <w:position w:val="0"/>
              </w:rPr>
              <w:fldChar w:fldCharType="begin"/>
            </w:r>
            <w:r>
              <w:rPr>
                <w:rFonts w:hint="default" w:ascii="Times New Roman" w:hAnsi="Times New Roman" w:cs="Times New Roman"/>
                <w:caps w:val="0"/>
                <w:color w:val="auto"/>
                <w:spacing w:val="0"/>
                <w:w w:val="100"/>
                <w:position w:val="0"/>
              </w:rPr>
              <w:instrText xml:space="preserve"> INCLUDEPICTURE "C:\\Users\\ADMINI~1\\AppData\\Local\\Temp\\ksohtml1072\\wps6.png" \* MERGEFORMATINET </w:instrText>
            </w:r>
            <w:r>
              <w:rPr>
                <w:rFonts w:hint="default" w:ascii="Times New Roman" w:hAnsi="Times New Roman" w:cs="Times New Roman"/>
                <w:caps w:val="0"/>
                <w:color w:val="auto"/>
                <w:spacing w:val="0"/>
                <w:w w:val="100"/>
                <w:position w:val="0"/>
              </w:rPr>
              <w:fldChar w:fldCharType="separate"/>
            </w:r>
            <w:r>
              <w:rPr>
                <w:rFonts w:hint="default" w:ascii="Times New Roman" w:hAnsi="Times New Roman" w:cs="Times New Roman"/>
                <w:caps w:val="0"/>
                <w:color w:val="auto"/>
                <w:spacing w:val="0"/>
                <w:w w:val="100"/>
                <w:position w:val="0"/>
              </w:rPr>
              <w:drawing>
                <wp:inline distT="0" distB="0" distL="114300" distR="114300">
                  <wp:extent cx="152400" cy="228600"/>
                  <wp:effectExtent l="0" t="0" r="0" b="0"/>
                  <wp:docPr id="19" name="图片 8" descr="wp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descr="wps6"/>
                          <pic:cNvPicPr>
                            <a:picLocks noChangeAspect="1"/>
                          </pic:cNvPicPr>
                        </pic:nvPicPr>
                        <pic:blipFill>
                          <a:blip r:embed="rId23"/>
                          <a:stretch>
                            <a:fillRect/>
                          </a:stretch>
                        </pic:blipFill>
                        <pic:spPr>
                          <a:xfrm>
                            <a:off x="0" y="0"/>
                            <a:ext cx="152400" cy="228600"/>
                          </a:xfrm>
                          <a:prstGeom prst="rect">
                            <a:avLst/>
                          </a:prstGeom>
                          <a:noFill/>
                          <a:ln>
                            <a:noFill/>
                          </a:ln>
                        </pic:spPr>
                      </pic:pic>
                    </a:graphicData>
                  </a:graphic>
                </wp:inline>
              </w:drawing>
            </w:r>
            <w:r>
              <w:rPr>
                <w:rFonts w:hint="default" w:ascii="Times New Roman" w:hAnsi="Times New Roman" w:cs="Times New Roman"/>
                <w:caps w:val="0"/>
                <w:color w:val="auto"/>
                <w:spacing w:val="0"/>
                <w:w w:val="100"/>
                <w:position w:val="0"/>
              </w:rPr>
              <w:fldChar w:fldCharType="end"/>
            </w:r>
            <w:r>
              <w:rPr>
                <w:rFonts w:hint="default" w:ascii="Times New Roman" w:hAnsi="Times New Roman" w:cs="Times New Roman"/>
                <w:caps w:val="0"/>
                <w:color w:val="auto"/>
                <w:spacing w:val="0"/>
                <w:w w:val="100"/>
                <w:position w:val="0"/>
                <w:sz w:val="24"/>
              </w:rPr>
              <w:t>——</w:t>
            </w:r>
            <w:r>
              <w:rPr>
                <w:rFonts w:hint="default" w:ascii="Times New Roman" w:hAnsi="Times New Roman" w:cs="Times New Roman"/>
                <w:caps w:val="0"/>
                <w:color w:val="auto"/>
                <w:spacing w:val="0"/>
                <w:w w:val="100"/>
                <w:position w:val="0"/>
              </w:rPr>
              <w:fldChar w:fldCharType="begin"/>
            </w:r>
            <w:r>
              <w:rPr>
                <w:rFonts w:hint="default" w:ascii="Times New Roman" w:hAnsi="Times New Roman" w:cs="Times New Roman"/>
                <w:caps w:val="0"/>
                <w:color w:val="auto"/>
                <w:spacing w:val="0"/>
                <w:w w:val="100"/>
                <w:position w:val="0"/>
              </w:rPr>
              <w:instrText xml:space="preserve"> INCLUDEPICTURE "C:\\Users\\ADMINI~1\\AppData\\Local\\Temp\\ksohtml1072\\wps7.png" \* MERGEFORMATINET </w:instrText>
            </w:r>
            <w:r>
              <w:rPr>
                <w:rFonts w:hint="default" w:ascii="Times New Roman" w:hAnsi="Times New Roman" w:cs="Times New Roman"/>
                <w:caps w:val="0"/>
                <w:color w:val="auto"/>
                <w:spacing w:val="0"/>
                <w:w w:val="100"/>
                <w:position w:val="0"/>
              </w:rPr>
              <w:fldChar w:fldCharType="separate"/>
            </w:r>
            <w:r>
              <w:rPr>
                <w:rFonts w:hint="default" w:ascii="Times New Roman" w:hAnsi="Times New Roman" w:cs="Times New Roman"/>
                <w:caps w:val="0"/>
                <w:color w:val="auto"/>
                <w:spacing w:val="0"/>
                <w:w w:val="100"/>
                <w:position w:val="0"/>
              </w:rPr>
              <w:drawing>
                <wp:inline distT="0" distB="0" distL="114300" distR="114300">
                  <wp:extent cx="114300" cy="161925"/>
                  <wp:effectExtent l="0" t="0" r="0" b="5080"/>
                  <wp:docPr id="18" name="图片 9" descr="wp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descr="wps7"/>
                          <pic:cNvPicPr>
                            <a:picLocks noChangeAspect="1"/>
                          </pic:cNvPicPr>
                        </pic:nvPicPr>
                        <pic:blipFill>
                          <a:blip r:embed="rId21"/>
                          <a:stretch>
                            <a:fillRect/>
                          </a:stretch>
                        </pic:blipFill>
                        <pic:spPr>
                          <a:xfrm>
                            <a:off x="0" y="0"/>
                            <a:ext cx="114300" cy="161925"/>
                          </a:xfrm>
                          <a:prstGeom prst="rect">
                            <a:avLst/>
                          </a:prstGeom>
                          <a:noFill/>
                          <a:ln>
                            <a:noFill/>
                          </a:ln>
                        </pic:spPr>
                      </pic:pic>
                    </a:graphicData>
                  </a:graphic>
                </wp:inline>
              </w:drawing>
            </w:r>
            <w:r>
              <w:rPr>
                <w:rFonts w:hint="default" w:ascii="Times New Roman" w:hAnsi="Times New Roman" w:cs="Times New Roman"/>
                <w:caps w:val="0"/>
                <w:color w:val="auto"/>
                <w:spacing w:val="0"/>
                <w:w w:val="100"/>
                <w:position w:val="0"/>
              </w:rPr>
              <w:fldChar w:fldCharType="end"/>
            </w:r>
            <w:r>
              <w:rPr>
                <w:rFonts w:hint="default" w:ascii="Times New Roman" w:hAnsi="Times New Roman" w:cs="Times New Roman"/>
                <w:caps w:val="0"/>
                <w:color w:val="auto"/>
                <w:spacing w:val="0"/>
                <w:w w:val="100"/>
                <w:position w:val="0"/>
                <w:sz w:val="24"/>
              </w:rPr>
              <w:t>污染物评价标准，mg/m</w:t>
            </w:r>
            <w:r>
              <w:rPr>
                <w:rFonts w:hint="default" w:ascii="Times New Roman" w:hAnsi="Times New Roman" w:cs="Times New Roman"/>
                <w:caps w:val="0"/>
                <w:color w:val="auto"/>
                <w:spacing w:val="0"/>
                <w:w w:val="100"/>
                <w:position w:val="0"/>
                <w:sz w:val="24"/>
                <w:vertAlign w:val="superscript"/>
              </w:rPr>
              <w:t>3</w:t>
            </w:r>
            <w:r>
              <w:rPr>
                <w:rFonts w:hint="default" w:ascii="Times New Roman" w:hAnsi="Times New Roman" w:cs="Times New Roman"/>
                <w:caps w:val="0"/>
                <w:color w:val="auto"/>
                <w:spacing w:val="0"/>
                <w:w w:val="100"/>
                <w:position w:val="0"/>
                <w:sz w:val="24"/>
              </w:rPr>
              <w:t>。</w:t>
            </w:r>
          </w:p>
          <w:p w14:paraId="39D3F6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caps w:val="0"/>
                <w:color w:val="auto"/>
                <w:spacing w:val="0"/>
                <w:w w:val="100"/>
                <w:position w:val="0"/>
                <w:sz w:val="24"/>
              </w:rPr>
            </w:pPr>
            <w:r>
              <w:rPr>
                <w:rFonts w:hint="default" w:ascii="Times New Roman" w:hAnsi="Times New Roman" w:eastAsia="宋体" w:cs="Times New Roman"/>
                <w:caps w:val="0"/>
                <w:color w:val="auto"/>
                <w:spacing w:val="0"/>
                <w:w w:val="100"/>
                <w:position w:val="0"/>
                <w:sz w:val="24"/>
              </w:rPr>
              <w:t>③</w:t>
            </w:r>
            <w:r>
              <w:rPr>
                <w:rFonts w:hint="default" w:ascii="Times New Roman" w:hAnsi="Times New Roman" w:cs="Times New Roman"/>
                <w:caps w:val="0"/>
                <w:color w:val="auto"/>
                <w:spacing w:val="0"/>
                <w:w w:val="100"/>
                <w:position w:val="0"/>
                <w:sz w:val="24"/>
              </w:rPr>
              <w:t>评价标准</w:t>
            </w:r>
          </w:p>
          <w:p w14:paraId="3ECB040E">
            <w:pPr>
              <w:pStyle w:val="51"/>
              <w:keepNext w:val="0"/>
              <w:keepLines w:val="0"/>
              <w:pageBreakBefore w:val="0"/>
              <w:widowControl w:val="0"/>
              <w:kinsoku/>
              <w:wordWrap/>
              <w:overflowPunct/>
              <w:topLinePunct w:val="0"/>
              <w:autoSpaceDE/>
              <w:autoSpaceDN/>
              <w:bidi w:val="0"/>
              <w:adjustRightInd/>
              <w:snapToGrid/>
              <w:spacing w:line="480" w:lineRule="exact"/>
              <w:ind w:firstLine="0"/>
              <w:jc w:val="center"/>
              <w:textAlignment w:val="auto"/>
              <w:rPr>
                <w:rFonts w:hint="default" w:ascii="Times New Roman" w:hAnsi="Times New Roman" w:eastAsia="宋体" w:cs="Times New Roman"/>
                <w:b/>
                <w:bCs/>
                <w:caps w:val="0"/>
                <w:color w:val="auto"/>
                <w:spacing w:val="0"/>
                <w:w w:val="100"/>
                <w:position w:val="0"/>
                <w:sz w:val="21"/>
                <w:szCs w:val="21"/>
              </w:rPr>
            </w:pPr>
            <w:r>
              <w:rPr>
                <w:rFonts w:hint="default" w:ascii="Times New Roman" w:hAnsi="Times New Roman" w:eastAsia="宋体" w:cs="Times New Roman"/>
                <w:b/>
                <w:bCs/>
                <w:caps w:val="0"/>
                <w:color w:val="auto"/>
                <w:spacing w:val="0"/>
                <w:w w:val="100"/>
                <w:position w:val="0"/>
                <w:sz w:val="21"/>
                <w:szCs w:val="21"/>
              </w:rPr>
              <w:t>表3-</w:t>
            </w:r>
            <w:r>
              <w:rPr>
                <w:rFonts w:hint="default" w:ascii="Times New Roman" w:hAnsi="Times New Roman" w:eastAsia="宋体" w:cs="Times New Roman"/>
                <w:b/>
                <w:bCs/>
                <w:caps w:val="0"/>
                <w:color w:val="auto"/>
                <w:spacing w:val="0"/>
                <w:w w:val="100"/>
                <w:position w:val="0"/>
                <w:sz w:val="21"/>
                <w:szCs w:val="21"/>
                <w:lang w:val="en-US" w:eastAsia="zh-CN"/>
              </w:rPr>
              <w:t>3</w:t>
            </w:r>
            <w:r>
              <w:rPr>
                <w:rFonts w:hint="default" w:ascii="Times New Roman" w:hAnsi="Times New Roman" w:eastAsia="宋体" w:cs="Times New Roman"/>
                <w:b/>
                <w:bCs/>
                <w:caps w:val="0"/>
                <w:color w:val="auto"/>
                <w:spacing w:val="0"/>
                <w:w w:val="100"/>
                <w:position w:val="0"/>
                <w:sz w:val="21"/>
                <w:szCs w:val="21"/>
              </w:rPr>
              <w:t xml:space="preserve">  环境空气质量标准</w:t>
            </w:r>
          </w:p>
          <w:tbl>
            <w:tblPr>
              <w:tblStyle w:val="26"/>
              <w:tblW w:w="88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81"/>
              <w:gridCol w:w="1424"/>
              <w:gridCol w:w="1216"/>
              <w:gridCol w:w="932"/>
              <w:gridCol w:w="3825"/>
            </w:tblGrid>
            <w:tr w14:paraId="7274E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1481" w:type="dxa"/>
                  <w:tcBorders>
                    <w:tl2br w:val="nil"/>
                    <w:tr2bl w:val="nil"/>
                  </w:tcBorders>
                  <w:noWrap w:val="0"/>
                  <w:vAlign w:val="center"/>
                </w:tcPr>
                <w:p w14:paraId="13D80DCA">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b/>
                      <w:caps w:val="0"/>
                      <w:color w:val="auto"/>
                      <w:spacing w:val="0"/>
                      <w:w w:val="100"/>
                      <w:position w:val="0"/>
                      <w:sz w:val="21"/>
                      <w:szCs w:val="21"/>
                    </w:rPr>
                  </w:pPr>
                  <w:r>
                    <w:rPr>
                      <w:rFonts w:hint="default" w:ascii="Times New Roman" w:hAnsi="Times New Roman" w:cs="Times New Roman"/>
                      <w:b/>
                      <w:caps w:val="0"/>
                      <w:color w:val="auto"/>
                      <w:spacing w:val="0"/>
                      <w:w w:val="100"/>
                      <w:position w:val="0"/>
                      <w:sz w:val="21"/>
                      <w:szCs w:val="21"/>
                    </w:rPr>
                    <w:t>污染物</w:t>
                  </w:r>
                </w:p>
              </w:tc>
              <w:tc>
                <w:tcPr>
                  <w:tcW w:w="2640" w:type="dxa"/>
                  <w:gridSpan w:val="2"/>
                  <w:tcBorders>
                    <w:tl2br w:val="nil"/>
                    <w:tr2bl w:val="nil"/>
                  </w:tcBorders>
                  <w:noWrap w:val="0"/>
                  <w:vAlign w:val="center"/>
                </w:tcPr>
                <w:p w14:paraId="721C3FCD">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b/>
                      <w:caps w:val="0"/>
                      <w:color w:val="auto"/>
                      <w:spacing w:val="0"/>
                      <w:w w:val="100"/>
                      <w:position w:val="0"/>
                      <w:sz w:val="21"/>
                      <w:szCs w:val="21"/>
                    </w:rPr>
                  </w:pPr>
                  <w:r>
                    <w:rPr>
                      <w:rFonts w:hint="default" w:ascii="Times New Roman" w:hAnsi="Times New Roman" w:cs="Times New Roman"/>
                      <w:b/>
                      <w:caps w:val="0"/>
                      <w:color w:val="auto"/>
                      <w:spacing w:val="0"/>
                      <w:w w:val="100"/>
                      <w:position w:val="0"/>
                      <w:sz w:val="21"/>
                      <w:szCs w:val="21"/>
                    </w:rPr>
                    <w:t>标准限值</w:t>
                  </w:r>
                </w:p>
              </w:tc>
              <w:tc>
                <w:tcPr>
                  <w:tcW w:w="932" w:type="dxa"/>
                  <w:tcBorders>
                    <w:tl2br w:val="nil"/>
                    <w:tr2bl w:val="nil"/>
                  </w:tcBorders>
                  <w:noWrap w:val="0"/>
                  <w:vAlign w:val="center"/>
                </w:tcPr>
                <w:p w14:paraId="5790A487">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b/>
                      <w:caps w:val="0"/>
                      <w:color w:val="auto"/>
                      <w:spacing w:val="0"/>
                      <w:w w:val="100"/>
                      <w:position w:val="0"/>
                      <w:sz w:val="21"/>
                      <w:szCs w:val="21"/>
                    </w:rPr>
                  </w:pPr>
                  <w:r>
                    <w:rPr>
                      <w:rFonts w:hint="default" w:ascii="Times New Roman" w:hAnsi="Times New Roman" w:cs="Times New Roman"/>
                      <w:b/>
                      <w:caps w:val="0"/>
                      <w:color w:val="auto"/>
                      <w:spacing w:val="0"/>
                      <w:w w:val="100"/>
                      <w:position w:val="0"/>
                      <w:sz w:val="21"/>
                      <w:szCs w:val="21"/>
                    </w:rPr>
                    <w:t>单位</w:t>
                  </w:r>
                </w:p>
              </w:tc>
              <w:tc>
                <w:tcPr>
                  <w:tcW w:w="3825" w:type="dxa"/>
                  <w:tcBorders>
                    <w:tl2br w:val="nil"/>
                    <w:tr2bl w:val="nil"/>
                  </w:tcBorders>
                  <w:noWrap w:val="0"/>
                  <w:vAlign w:val="center"/>
                </w:tcPr>
                <w:p w14:paraId="55FFCDCA">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b/>
                      <w:caps w:val="0"/>
                      <w:color w:val="auto"/>
                      <w:spacing w:val="0"/>
                      <w:w w:val="100"/>
                      <w:position w:val="0"/>
                      <w:sz w:val="21"/>
                      <w:szCs w:val="21"/>
                    </w:rPr>
                  </w:pPr>
                  <w:r>
                    <w:rPr>
                      <w:rFonts w:hint="default" w:ascii="Times New Roman" w:hAnsi="Times New Roman" w:cs="Times New Roman"/>
                      <w:b/>
                      <w:caps w:val="0"/>
                      <w:color w:val="auto"/>
                      <w:spacing w:val="0"/>
                      <w:w w:val="100"/>
                      <w:position w:val="0"/>
                      <w:sz w:val="21"/>
                      <w:szCs w:val="21"/>
                    </w:rPr>
                    <w:t>标准</w:t>
                  </w:r>
                </w:p>
              </w:tc>
            </w:tr>
            <w:tr w14:paraId="774C8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1481" w:type="dxa"/>
                  <w:tcBorders>
                    <w:tl2br w:val="nil"/>
                    <w:tr2bl w:val="nil"/>
                  </w:tcBorders>
                  <w:noWrap w:val="0"/>
                  <w:vAlign w:val="center"/>
                </w:tcPr>
                <w:p w14:paraId="4C1D546B">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cs="Times New Roman"/>
                      <w:caps w:val="0"/>
                      <w:color w:val="auto"/>
                      <w:spacing w:val="0"/>
                      <w:w w:val="100"/>
                      <w:position w:val="0"/>
                      <w:sz w:val="21"/>
                      <w:szCs w:val="21"/>
                    </w:rPr>
                  </w:pPr>
                  <w:r>
                    <w:rPr>
                      <w:rFonts w:hint="default" w:ascii="Times New Roman" w:hAnsi="Times New Roman" w:cs="Times New Roman"/>
                      <w:caps w:val="0"/>
                      <w:color w:val="auto"/>
                      <w:spacing w:val="0"/>
                      <w:w w:val="100"/>
                      <w:position w:val="0"/>
                      <w:sz w:val="21"/>
                      <w:szCs w:val="21"/>
                    </w:rPr>
                    <w:t>非甲烷总烃</w:t>
                  </w:r>
                </w:p>
              </w:tc>
              <w:tc>
                <w:tcPr>
                  <w:tcW w:w="1424" w:type="dxa"/>
                  <w:tcBorders>
                    <w:tl2br w:val="nil"/>
                    <w:tr2bl w:val="nil"/>
                  </w:tcBorders>
                  <w:noWrap w:val="0"/>
                  <w:vAlign w:val="center"/>
                </w:tcPr>
                <w:p w14:paraId="7450A52B">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cs="Times New Roman"/>
                      <w:caps w:val="0"/>
                      <w:color w:val="auto"/>
                      <w:spacing w:val="0"/>
                      <w:w w:val="100"/>
                      <w:position w:val="0"/>
                      <w:sz w:val="21"/>
                      <w:szCs w:val="21"/>
                    </w:rPr>
                  </w:pPr>
                  <w:r>
                    <w:rPr>
                      <w:rFonts w:hint="default" w:ascii="Times New Roman" w:hAnsi="Times New Roman" w:cs="Times New Roman"/>
                      <w:caps w:val="0"/>
                      <w:color w:val="auto"/>
                      <w:spacing w:val="0"/>
                      <w:w w:val="100"/>
                      <w:position w:val="0"/>
                      <w:sz w:val="21"/>
                      <w:szCs w:val="21"/>
                    </w:rPr>
                    <w:t>1h平均</w:t>
                  </w:r>
                </w:p>
              </w:tc>
              <w:tc>
                <w:tcPr>
                  <w:tcW w:w="1216" w:type="dxa"/>
                  <w:tcBorders>
                    <w:tl2br w:val="nil"/>
                    <w:tr2bl w:val="nil"/>
                  </w:tcBorders>
                  <w:noWrap w:val="0"/>
                  <w:vAlign w:val="center"/>
                </w:tcPr>
                <w:p w14:paraId="24C4640F">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caps w:val="0"/>
                      <w:color w:val="auto"/>
                      <w:spacing w:val="0"/>
                      <w:w w:val="100"/>
                      <w:position w:val="0"/>
                      <w:sz w:val="21"/>
                      <w:szCs w:val="21"/>
                    </w:rPr>
                  </w:pPr>
                  <w:r>
                    <w:rPr>
                      <w:rFonts w:hint="default" w:ascii="Times New Roman" w:hAnsi="Times New Roman" w:cs="Times New Roman"/>
                      <w:caps w:val="0"/>
                      <w:color w:val="auto"/>
                      <w:spacing w:val="0"/>
                      <w:w w:val="100"/>
                      <w:position w:val="0"/>
                      <w:sz w:val="21"/>
                      <w:szCs w:val="21"/>
                    </w:rPr>
                    <w:t>2.0</w:t>
                  </w:r>
                </w:p>
              </w:tc>
              <w:tc>
                <w:tcPr>
                  <w:tcW w:w="932" w:type="dxa"/>
                  <w:tcBorders>
                    <w:tl2br w:val="nil"/>
                    <w:tr2bl w:val="nil"/>
                  </w:tcBorders>
                  <w:noWrap w:val="0"/>
                  <w:vAlign w:val="center"/>
                </w:tcPr>
                <w:p w14:paraId="6A7BB61A">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caps w:val="0"/>
                      <w:color w:val="auto"/>
                      <w:spacing w:val="0"/>
                      <w:w w:val="100"/>
                      <w:position w:val="0"/>
                      <w:sz w:val="21"/>
                      <w:szCs w:val="21"/>
                    </w:rPr>
                  </w:pPr>
                  <w:r>
                    <w:rPr>
                      <w:rFonts w:hint="default" w:ascii="Times New Roman" w:hAnsi="Times New Roman" w:cs="Times New Roman"/>
                      <w:caps w:val="0"/>
                      <w:color w:val="auto"/>
                      <w:spacing w:val="0"/>
                      <w:w w:val="100"/>
                      <w:position w:val="0"/>
                      <w:sz w:val="21"/>
                      <w:szCs w:val="21"/>
                    </w:rPr>
                    <w:t>mg/m³</w:t>
                  </w:r>
                </w:p>
              </w:tc>
              <w:tc>
                <w:tcPr>
                  <w:tcW w:w="3825" w:type="dxa"/>
                  <w:tcBorders>
                    <w:tl2br w:val="nil"/>
                    <w:tr2bl w:val="nil"/>
                  </w:tcBorders>
                  <w:noWrap w:val="0"/>
                  <w:vAlign w:val="center"/>
                </w:tcPr>
                <w:p w14:paraId="68BA54F6">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caps w:val="0"/>
                      <w:color w:val="auto"/>
                      <w:spacing w:val="0"/>
                      <w:w w:val="100"/>
                      <w:position w:val="0"/>
                      <w:sz w:val="21"/>
                      <w:szCs w:val="21"/>
                    </w:rPr>
                  </w:pPr>
                  <w:r>
                    <w:rPr>
                      <w:rFonts w:hint="default" w:ascii="Times New Roman" w:hAnsi="Times New Roman" w:cs="Times New Roman"/>
                      <w:caps w:val="0"/>
                      <w:color w:val="auto"/>
                      <w:spacing w:val="0"/>
                      <w:w w:val="100"/>
                      <w:position w:val="0"/>
                      <w:sz w:val="21"/>
                      <w:szCs w:val="21"/>
                    </w:rPr>
                    <w:t>参考《大气污染物综合排放标准详解》</w:t>
                  </w:r>
                </w:p>
              </w:tc>
            </w:tr>
            <w:tr w14:paraId="4E9B0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1481" w:type="dxa"/>
                  <w:tcBorders>
                    <w:tl2br w:val="nil"/>
                    <w:tr2bl w:val="nil"/>
                  </w:tcBorders>
                  <w:noWrap w:val="0"/>
                  <w:vAlign w:val="center"/>
                </w:tcPr>
                <w:p w14:paraId="597FE43C">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eastAsia" w:ascii="Times New Roman" w:hAnsi="Times New Roman" w:cs="Times New Roman"/>
                      <w:caps w:val="0"/>
                      <w:color w:val="auto"/>
                      <w:spacing w:val="0"/>
                      <w:w w:val="100"/>
                      <w:position w:val="0"/>
                      <w:sz w:val="21"/>
                      <w:szCs w:val="21"/>
                      <w:lang w:val="en-US" w:eastAsia="zh-CN"/>
                    </w:rPr>
                    <w:t>TSP</w:t>
                  </w:r>
                </w:p>
              </w:tc>
              <w:tc>
                <w:tcPr>
                  <w:tcW w:w="1424" w:type="dxa"/>
                  <w:tcBorders>
                    <w:tl2br w:val="nil"/>
                    <w:tr2bl w:val="nil"/>
                  </w:tcBorders>
                  <w:noWrap w:val="0"/>
                  <w:vAlign w:val="center"/>
                </w:tcPr>
                <w:p w14:paraId="0CF92574">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eastAsia" w:ascii="Times New Roman" w:hAnsi="Times New Roman" w:cs="Times New Roman"/>
                      <w:caps w:val="0"/>
                      <w:color w:val="auto"/>
                      <w:spacing w:val="0"/>
                      <w:w w:val="100"/>
                      <w:position w:val="0"/>
                      <w:sz w:val="21"/>
                      <w:szCs w:val="21"/>
                      <w:lang w:val="en-US" w:eastAsia="zh-CN"/>
                    </w:rPr>
                    <w:t>24h平均</w:t>
                  </w:r>
                </w:p>
              </w:tc>
              <w:tc>
                <w:tcPr>
                  <w:tcW w:w="1216" w:type="dxa"/>
                  <w:tcBorders>
                    <w:tl2br w:val="nil"/>
                    <w:tr2bl w:val="nil"/>
                  </w:tcBorders>
                  <w:noWrap w:val="0"/>
                  <w:vAlign w:val="center"/>
                </w:tcPr>
                <w:p w14:paraId="0C92298C">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eastAsia" w:ascii="Times New Roman" w:hAnsi="Times New Roman" w:cs="Times New Roman"/>
                      <w:caps w:val="0"/>
                      <w:color w:val="auto"/>
                      <w:spacing w:val="0"/>
                      <w:w w:val="100"/>
                      <w:position w:val="0"/>
                      <w:sz w:val="21"/>
                      <w:szCs w:val="21"/>
                      <w:lang w:val="en-US" w:eastAsia="zh-CN"/>
                    </w:rPr>
                    <w:t>0.3</w:t>
                  </w:r>
                </w:p>
              </w:tc>
              <w:tc>
                <w:tcPr>
                  <w:tcW w:w="932" w:type="dxa"/>
                  <w:tcBorders>
                    <w:tl2br w:val="nil"/>
                    <w:tr2bl w:val="nil"/>
                  </w:tcBorders>
                  <w:noWrap w:val="0"/>
                  <w:vAlign w:val="center"/>
                </w:tcPr>
                <w:p w14:paraId="02FBFAED">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caps w:val="0"/>
                      <w:color w:val="auto"/>
                      <w:spacing w:val="0"/>
                      <w:w w:val="100"/>
                      <w:position w:val="0"/>
                      <w:sz w:val="21"/>
                      <w:szCs w:val="21"/>
                    </w:rPr>
                  </w:pPr>
                  <w:r>
                    <w:rPr>
                      <w:rFonts w:hint="default" w:ascii="Times New Roman" w:hAnsi="Times New Roman" w:cs="Times New Roman"/>
                      <w:caps w:val="0"/>
                      <w:color w:val="auto"/>
                      <w:spacing w:val="0"/>
                      <w:w w:val="100"/>
                      <w:position w:val="0"/>
                      <w:sz w:val="21"/>
                      <w:szCs w:val="21"/>
                    </w:rPr>
                    <w:t>mg/m³</w:t>
                  </w:r>
                </w:p>
              </w:tc>
              <w:tc>
                <w:tcPr>
                  <w:tcW w:w="3825" w:type="dxa"/>
                  <w:vMerge w:val="restart"/>
                  <w:tcBorders>
                    <w:tl2br w:val="nil"/>
                    <w:tr2bl w:val="nil"/>
                  </w:tcBorders>
                  <w:noWrap w:val="0"/>
                  <w:vAlign w:val="center"/>
                </w:tcPr>
                <w:p w14:paraId="30EBE6B9">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caps w:val="0"/>
                      <w:color w:val="auto"/>
                      <w:spacing w:val="0"/>
                      <w:w w:val="100"/>
                      <w:position w:val="0"/>
                      <w:sz w:val="21"/>
                      <w:szCs w:val="21"/>
                    </w:rPr>
                  </w:pPr>
                  <w:r>
                    <w:rPr>
                      <w:rFonts w:cs="Times New Roman"/>
                      <w:caps w:val="0"/>
                      <w:smallCaps w:val="0"/>
                      <w:color w:val="auto"/>
                      <w:spacing w:val="0"/>
                      <w:w w:val="100"/>
                      <w:position w:val="0"/>
                      <w:sz w:val="21"/>
                      <w:szCs w:val="21"/>
                    </w:rPr>
                    <w:t>《环境空气质量标准》</w:t>
                  </w:r>
                  <w:r>
                    <w:rPr>
                      <w:rFonts w:hint="eastAsia" w:cs="Times New Roman"/>
                      <w:caps w:val="0"/>
                      <w:smallCaps w:val="0"/>
                      <w:color w:val="auto"/>
                      <w:spacing w:val="0"/>
                      <w:w w:val="100"/>
                      <w:position w:val="0"/>
                      <w:sz w:val="21"/>
                      <w:szCs w:val="21"/>
                      <w:lang w:eastAsia="zh-CN"/>
                    </w:rPr>
                    <w:t>（</w:t>
                  </w:r>
                  <w:r>
                    <w:rPr>
                      <w:rFonts w:cs="Times New Roman"/>
                      <w:caps w:val="0"/>
                      <w:smallCaps w:val="0"/>
                      <w:color w:val="auto"/>
                      <w:spacing w:val="0"/>
                      <w:w w:val="100"/>
                      <w:position w:val="0"/>
                      <w:sz w:val="21"/>
                      <w:szCs w:val="21"/>
                    </w:rPr>
                    <w:t>GB3095-2012）二级标准</w:t>
                  </w:r>
                </w:p>
              </w:tc>
            </w:tr>
            <w:tr w14:paraId="0ED4E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1481" w:type="dxa"/>
                  <w:tcBorders>
                    <w:tl2br w:val="nil"/>
                    <w:tr2bl w:val="nil"/>
                  </w:tcBorders>
                  <w:noWrap w:val="0"/>
                  <w:vAlign w:val="center"/>
                </w:tcPr>
                <w:p w14:paraId="6A20C7EE">
                  <w:pPr>
                    <w:keepNext w:val="0"/>
                    <w:keepLines w:val="0"/>
                    <w:pageBreakBefore w:val="0"/>
                    <w:widowControl w:val="0"/>
                    <w:kinsoku/>
                    <w:wordWrap/>
                    <w:overflowPunct/>
                    <w:topLinePunct w:val="0"/>
                    <w:autoSpaceDE/>
                    <w:autoSpaceDN/>
                    <w:bidi w:val="0"/>
                    <w:adjustRightInd w:val="0"/>
                    <w:snapToGrid/>
                    <w:spacing w:line="240" w:lineRule="auto"/>
                    <w:jc w:val="center"/>
                    <w:rPr>
                      <w:rFonts w:hint="eastAsia" w:ascii="Times New Roman" w:hAnsi="Times New Roman" w:cs="Times New Roman"/>
                      <w:caps w:val="0"/>
                      <w:color w:val="auto"/>
                      <w:spacing w:val="0"/>
                      <w:w w:val="100"/>
                      <w:position w:val="0"/>
                      <w:sz w:val="21"/>
                      <w:szCs w:val="21"/>
                      <w:lang w:val="en-US" w:eastAsia="zh-CN"/>
                    </w:rPr>
                  </w:pPr>
                  <w:r>
                    <w:rPr>
                      <w:rFonts w:hint="eastAsia" w:cs="Times New Roman"/>
                      <w:caps w:val="0"/>
                      <w:color w:val="auto"/>
                      <w:spacing w:val="0"/>
                      <w:w w:val="100"/>
                      <w:position w:val="0"/>
                      <w:sz w:val="21"/>
                      <w:szCs w:val="21"/>
                      <w:lang w:val="en-US" w:eastAsia="zh-CN"/>
                    </w:rPr>
                    <w:t>氟化物</w:t>
                  </w:r>
                </w:p>
              </w:tc>
              <w:tc>
                <w:tcPr>
                  <w:tcW w:w="1424" w:type="dxa"/>
                  <w:tcBorders>
                    <w:tl2br w:val="nil"/>
                    <w:tr2bl w:val="nil"/>
                  </w:tcBorders>
                  <w:noWrap w:val="0"/>
                  <w:vAlign w:val="center"/>
                </w:tcPr>
                <w:p w14:paraId="59B118A6">
                  <w:pPr>
                    <w:keepNext w:val="0"/>
                    <w:keepLines w:val="0"/>
                    <w:pageBreakBefore w:val="0"/>
                    <w:widowControl w:val="0"/>
                    <w:kinsoku/>
                    <w:wordWrap/>
                    <w:overflowPunct/>
                    <w:topLinePunct w:val="0"/>
                    <w:autoSpaceDE/>
                    <w:autoSpaceDN/>
                    <w:bidi w:val="0"/>
                    <w:adjustRightInd w:val="0"/>
                    <w:snapToGrid/>
                    <w:spacing w:line="240" w:lineRule="auto"/>
                    <w:jc w:val="center"/>
                    <w:rPr>
                      <w:rFonts w:hint="eastAsia" w:ascii="Times New Roman" w:hAnsi="Times New Roman" w:cs="Times New Roman"/>
                      <w:caps w:val="0"/>
                      <w:color w:val="auto"/>
                      <w:spacing w:val="0"/>
                      <w:w w:val="100"/>
                      <w:position w:val="0"/>
                      <w:sz w:val="21"/>
                      <w:szCs w:val="21"/>
                      <w:lang w:val="en-US" w:eastAsia="zh-CN"/>
                    </w:rPr>
                  </w:pPr>
                  <w:r>
                    <w:rPr>
                      <w:rFonts w:hint="default" w:ascii="Times New Roman" w:hAnsi="Times New Roman" w:cs="Times New Roman"/>
                      <w:caps w:val="0"/>
                      <w:color w:val="auto"/>
                      <w:spacing w:val="0"/>
                      <w:w w:val="100"/>
                      <w:position w:val="0"/>
                      <w:sz w:val="21"/>
                      <w:szCs w:val="21"/>
                    </w:rPr>
                    <w:t>1h平均</w:t>
                  </w:r>
                </w:p>
              </w:tc>
              <w:tc>
                <w:tcPr>
                  <w:tcW w:w="1216" w:type="dxa"/>
                  <w:tcBorders>
                    <w:tl2br w:val="nil"/>
                    <w:tr2bl w:val="nil"/>
                  </w:tcBorders>
                  <w:noWrap w:val="0"/>
                  <w:vAlign w:val="center"/>
                </w:tcPr>
                <w:p w14:paraId="6BEDC5A4">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caps w:val="0"/>
                      <w:color w:val="auto"/>
                      <w:spacing w:val="0"/>
                      <w:w w:val="100"/>
                      <w:position w:val="0"/>
                      <w:sz w:val="21"/>
                      <w:szCs w:val="21"/>
                      <w:lang w:val="en-US" w:eastAsia="zh-CN"/>
                    </w:rPr>
                  </w:pPr>
                  <w:r>
                    <w:rPr>
                      <w:rFonts w:hint="eastAsia" w:cs="Times New Roman"/>
                      <w:caps w:val="0"/>
                      <w:color w:val="auto"/>
                      <w:spacing w:val="0"/>
                      <w:w w:val="100"/>
                      <w:position w:val="0"/>
                      <w:sz w:val="21"/>
                      <w:szCs w:val="21"/>
                      <w:lang w:val="en-US" w:eastAsia="zh-CN"/>
                    </w:rPr>
                    <w:t>0.02</w:t>
                  </w:r>
                </w:p>
              </w:tc>
              <w:tc>
                <w:tcPr>
                  <w:tcW w:w="932" w:type="dxa"/>
                  <w:tcBorders>
                    <w:tl2br w:val="nil"/>
                    <w:tr2bl w:val="nil"/>
                  </w:tcBorders>
                  <w:noWrap w:val="0"/>
                  <w:vAlign w:val="center"/>
                </w:tcPr>
                <w:p w14:paraId="07E87432">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cs="Times New Roman"/>
                      <w:caps w:val="0"/>
                      <w:color w:val="auto"/>
                      <w:spacing w:val="0"/>
                      <w:w w:val="100"/>
                      <w:position w:val="0"/>
                      <w:sz w:val="21"/>
                      <w:szCs w:val="21"/>
                    </w:rPr>
                  </w:pPr>
                  <w:r>
                    <w:rPr>
                      <w:rFonts w:hint="default" w:ascii="Times New Roman" w:hAnsi="Times New Roman" w:cs="Times New Roman"/>
                      <w:caps w:val="0"/>
                      <w:color w:val="auto"/>
                      <w:spacing w:val="0"/>
                      <w:w w:val="100"/>
                      <w:position w:val="0"/>
                      <w:sz w:val="21"/>
                      <w:szCs w:val="21"/>
                    </w:rPr>
                    <w:t>mg/m³</w:t>
                  </w:r>
                </w:p>
              </w:tc>
              <w:tc>
                <w:tcPr>
                  <w:tcW w:w="3825" w:type="dxa"/>
                  <w:vMerge w:val="continue"/>
                  <w:tcBorders>
                    <w:tl2br w:val="nil"/>
                    <w:tr2bl w:val="nil"/>
                  </w:tcBorders>
                  <w:noWrap w:val="0"/>
                  <w:vAlign w:val="center"/>
                </w:tcPr>
                <w:p w14:paraId="24E16F09">
                  <w:pPr>
                    <w:keepNext w:val="0"/>
                    <w:keepLines w:val="0"/>
                    <w:pageBreakBefore w:val="0"/>
                    <w:widowControl w:val="0"/>
                    <w:kinsoku/>
                    <w:wordWrap/>
                    <w:overflowPunct/>
                    <w:topLinePunct w:val="0"/>
                    <w:autoSpaceDE/>
                    <w:autoSpaceDN/>
                    <w:bidi w:val="0"/>
                    <w:snapToGrid/>
                    <w:spacing w:line="240" w:lineRule="auto"/>
                    <w:jc w:val="center"/>
                    <w:rPr>
                      <w:rFonts w:cs="Times New Roman"/>
                      <w:caps w:val="0"/>
                      <w:smallCaps w:val="0"/>
                      <w:color w:val="auto"/>
                      <w:spacing w:val="0"/>
                      <w:w w:val="100"/>
                      <w:position w:val="0"/>
                      <w:sz w:val="21"/>
                      <w:szCs w:val="21"/>
                    </w:rPr>
                  </w:pPr>
                </w:p>
              </w:tc>
            </w:tr>
          </w:tbl>
          <w:p w14:paraId="618214AE">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default" w:ascii="Times New Roman" w:hAnsi="Times New Roman" w:cs="Times New Roman"/>
                <w:caps w:val="0"/>
                <w:color w:val="auto"/>
                <w:spacing w:val="0"/>
                <w:w w:val="100"/>
                <w:position w:val="0"/>
                <w:sz w:val="24"/>
              </w:rPr>
            </w:pPr>
            <w:r>
              <w:rPr>
                <w:rFonts w:hint="default" w:ascii="Times New Roman" w:hAnsi="Times New Roman" w:eastAsia="宋体" w:cs="Times New Roman"/>
                <w:caps w:val="0"/>
                <w:color w:val="auto"/>
                <w:spacing w:val="0"/>
                <w:w w:val="100"/>
                <w:position w:val="0"/>
                <w:sz w:val="24"/>
              </w:rPr>
              <w:t>④</w:t>
            </w:r>
            <w:r>
              <w:rPr>
                <w:rFonts w:hint="eastAsia" w:ascii="Times New Roman" w:hAnsi="Times New Roman" w:cs="Times New Roman"/>
                <w:caps w:val="0"/>
                <w:color w:val="auto"/>
                <w:spacing w:val="0"/>
                <w:w w:val="100"/>
                <w:position w:val="0"/>
                <w:sz w:val="24"/>
                <w:lang w:val="en-US" w:eastAsia="zh-CN"/>
              </w:rPr>
              <w:t>评价</w:t>
            </w:r>
            <w:r>
              <w:rPr>
                <w:rFonts w:hint="default" w:ascii="Times New Roman" w:hAnsi="Times New Roman" w:cs="Times New Roman"/>
                <w:caps w:val="0"/>
                <w:color w:val="auto"/>
                <w:spacing w:val="0"/>
                <w:w w:val="100"/>
                <w:position w:val="0"/>
                <w:sz w:val="24"/>
              </w:rPr>
              <w:t>结果</w:t>
            </w:r>
          </w:p>
          <w:p w14:paraId="26CFC2BD">
            <w:pPr>
              <w:keepNext w:val="0"/>
              <w:keepLines w:val="0"/>
              <w:pageBreakBefore w:val="0"/>
              <w:widowControl w:val="0"/>
              <w:kinsoku/>
              <w:wordWrap/>
              <w:overflowPunct/>
              <w:topLinePunct w:val="0"/>
              <w:autoSpaceDE/>
              <w:autoSpaceDN/>
              <w:bidi w:val="0"/>
              <w:adjustRightInd/>
              <w:snapToGrid/>
              <w:spacing w:line="480" w:lineRule="exact"/>
              <w:ind w:firstLine="422" w:firstLineChars="200"/>
              <w:jc w:val="center"/>
              <w:textAlignment w:val="auto"/>
              <w:rPr>
                <w:rFonts w:hint="default" w:ascii="Times New Roman" w:hAnsi="Times New Roman" w:eastAsia="宋体" w:cs="Times New Roman"/>
                <w:b/>
                <w:bCs w:val="0"/>
                <w:caps w:val="0"/>
                <w:smallCaps w:val="0"/>
                <w:color w:val="auto"/>
                <w:spacing w:val="0"/>
                <w:w w:val="100"/>
                <w:kern w:val="0"/>
                <w:position w:val="0"/>
                <w:sz w:val="21"/>
                <w:szCs w:val="21"/>
                <w:highlight w:val="none"/>
              </w:rPr>
            </w:pPr>
            <w:r>
              <w:rPr>
                <w:rFonts w:hint="default" w:ascii="Times New Roman" w:hAnsi="Times New Roman" w:eastAsia="宋体" w:cs="Times New Roman"/>
                <w:b/>
                <w:bCs w:val="0"/>
                <w:caps w:val="0"/>
                <w:smallCaps w:val="0"/>
                <w:color w:val="auto"/>
                <w:spacing w:val="0"/>
                <w:w w:val="100"/>
                <w:kern w:val="0"/>
                <w:position w:val="0"/>
                <w:sz w:val="21"/>
                <w:szCs w:val="21"/>
                <w:highlight w:val="none"/>
              </w:rPr>
              <w:t>表</w:t>
            </w:r>
            <w:r>
              <w:rPr>
                <w:rFonts w:hint="eastAsia" w:ascii="Times New Roman" w:hAnsi="Times New Roman" w:eastAsia="宋体" w:cs="Times New Roman"/>
                <w:b/>
                <w:bCs w:val="0"/>
                <w:caps w:val="0"/>
                <w:smallCaps w:val="0"/>
                <w:color w:val="auto"/>
                <w:spacing w:val="0"/>
                <w:w w:val="100"/>
                <w:kern w:val="0"/>
                <w:position w:val="0"/>
                <w:sz w:val="21"/>
                <w:szCs w:val="21"/>
                <w:highlight w:val="none"/>
                <w:lang w:val="en-US" w:eastAsia="zh-CN"/>
              </w:rPr>
              <w:t>3-</w:t>
            </w:r>
            <w:r>
              <w:rPr>
                <w:rFonts w:hint="eastAsia" w:cs="Times New Roman"/>
                <w:b/>
                <w:bCs w:val="0"/>
                <w:caps w:val="0"/>
                <w:smallCaps w:val="0"/>
                <w:color w:val="auto"/>
                <w:spacing w:val="0"/>
                <w:w w:val="100"/>
                <w:kern w:val="0"/>
                <w:position w:val="0"/>
                <w:sz w:val="21"/>
                <w:szCs w:val="21"/>
                <w:highlight w:val="none"/>
                <w:lang w:val="en-US" w:eastAsia="zh-CN"/>
              </w:rPr>
              <w:t>4</w:t>
            </w:r>
            <w:r>
              <w:rPr>
                <w:rFonts w:hint="eastAsia" w:ascii="Times New Roman" w:hAnsi="Times New Roman" w:eastAsia="宋体" w:cs="Times New Roman"/>
                <w:b/>
                <w:bCs w:val="0"/>
                <w:caps w:val="0"/>
                <w:smallCaps w:val="0"/>
                <w:color w:val="auto"/>
                <w:spacing w:val="0"/>
                <w:w w:val="100"/>
                <w:kern w:val="0"/>
                <w:position w:val="0"/>
                <w:sz w:val="21"/>
                <w:szCs w:val="21"/>
                <w:highlight w:val="none"/>
                <w:lang w:val="en-US" w:eastAsia="zh-CN"/>
              </w:rPr>
              <w:t xml:space="preserve"> </w:t>
            </w:r>
            <w:r>
              <w:rPr>
                <w:rFonts w:hint="default" w:ascii="Times New Roman" w:hAnsi="Times New Roman" w:eastAsia="宋体" w:cs="Times New Roman"/>
                <w:b/>
                <w:bCs w:val="0"/>
                <w:caps w:val="0"/>
                <w:smallCaps w:val="0"/>
                <w:color w:val="auto"/>
                <w:spacing w:val="0"/>
                <w:w w:val="100"/>
                <w:kern w:val="0"/>
                <w:position w:val="0"/>
                <w:sz w:val="21"/>
                <w:szCs w:val="21"/>
                <w:highlight w:val="none"/>
              </w:rPr>
              <w:t xml:space="preserve"> 评价区大气环境现状评价结果</w:t>
            </w:r>
          </w:p>
          <w:tbl>
            <w:tblPr>
              <w:tblStyle w:val="69"/>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83"/>
              <w:gridCol w:w="996"/>
              <w:gridCol w:w="1312"/>
              <w:gridCol w:w="732"/>
              <w:gridCol w:w="1032"/>
              <w:gridCol w:w="862"/>
              <w:gridCol w:w="1007"/>
              <w:gridCol w:w="992"/>
              <w:gridCol w:w="842"/>
            </w:tblGrid>
            <w:tr w14:paraId="79839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1083" w:type="dxa"/>
                  <w:vMerge w:val="restart"/>
                  <w:tcBorders>
                    <w:tl2br w:val="nil"/>
                    <w:tr2bl w:val="nil"/>
                  </w:tcBorders>
                  <w:noWrap w:val="0"/>
                  <w:vAlign w:val="center"/>
                </w:tcPr>
                <w:p w14:paraId="467ECA3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lang w:eastAsia="zh-CN"/>
                    </w:rPr>
                  </w:pPr>
                  <w:r>
                    <w:rPr>
                      <w:rFonts w:hint="default" w:ascii="Times New Roman" w:hAnsi="Times New Roman" w:eastAsia="宋体" w:cs="Times New Roman"/>
                      <w:b/>
                      <w:bCs/>
                      <w:caps w:val="0"/>
                      <w:smallCaps w:val="0"/>
                      <w:color w:val="auto"/>
                      <w:spacing w:val="0"/>
                      <w:w w:val="100"/>
                      <w:position w:val="0"/>
                      <w:sz w:val="21"/>
                      <w:szCs w:val="21"/>
                      <w:lang w:val="en-US" w:eastAsia="zh-CN"/>
                    </w:rPr>
                    <w:t>监测点位</w:t>
                  </w:r>
                </w:p>
              </w:tc>
              <w:tc>
                <w:tcPr>
                  <w:tcW w:w="996" w:type="dxa"/>
                  <w:vMerge w:val="restart"/>
                  <w:tcBorders>
                    <w:tl2br w:val="nil"/>
                    <w:tr2bl w:val="nil"/>
                  </w:tcBorders>
                  <w:noWrap w:val="0"/>
                  <w:vAlign w:val="center"/>
                </w:tcPr>
                <w:p w14:paraId="4E4F3E9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rPr>
                  </w:pPr>
                  <w:r>
                    <w:rPr>
                      <w:rFonts w:hint="default" w:ascii="Times New Roman" w:hAnsi="Times New Roman" w:eastAsia="宋体" w:cs="Times New Roman"/>
                      <w:b/>
                      <w:bCs/>
                      <w:caps w:val="0"/>
                      <w:smallCaps w:val="0"/>
                      <w:color w:val="auto"/>
                      <w:spacing w:val="0"/>
                      <w:w w:val="100"/>
                      <w:position w:val="0"/>
                      <w:sz w:val="21"/>
                      <w:szCs w:val="21"/>
                    </w:rPr>
                    <w:t>监测项目</w:t>
                  </w:r>
                </w:p>
              </w:tc>
              <w:tc>
                <w:tcPr>
                  <w:tcW w:w="6779" w:type="dxa"/>
                  <w:gridSpan w:val="7"/>
                  <w:tcBorders>
                    <w:tl2br w:val="nil"/>
                    <w:tr2bl w:val="nil"/>
                  </w:tcBorders>
                  <w:noWrap w:val="0"/>
                  <w:vAlign w:val="center"/>
                </w:tcPr>
                <w:p w14:paraId="4088FB0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rPr>
                  </w:pPr>
                  <w:r>
                    <w:rPr>
                      <w:rFonts w:hint="default" w:ascii="Times New Roman" w:hAnsi="Times New Roman" w:eastAsia="宋体" w:cs="Times New Roman"/>
                      <w:b/>
                      <w:bCs/>
                      <w:caps w:val="0"/>
                      <w:smallCaps w:val="0"/>
                      <w:color w:val="auto"/>
                      <w:spacing w:val="0"/>
                      <w:w w:val="100"/>
                      <w:position w:val="0"/>
                      <w:sz w:val="21"/>
                      <w:szCs w:val="21"/>
                    </w:rPr>
                    <w:t>平均浓度</w:t>
                  </w:r>
                </w:p>
              </w:tc>
            </w:tr>
            <w:tr w14:paraId="29D47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83" w:type="dxa"/>
                  <w:vMerge w:val="continue"/>
                  <w:tcBorders>
                    <w:tl2br w:val="nil"/>
                    <w:tr2bl w:val="nil"/>
                  </w:tcBorders>
                  <w:noWrap w:val="0"/>
                  <w:vAlign w:val="center"/>
                </w:tcPr>
                <w:p w14:paraId="5A3BD80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cs="Times New Roman"/>
                      <w:b/>
                      <w:bCs/>
                      <w:caps w:val="0"/>
                      <w:smallCaps w:val="0"/>
                      <w:color w:val="auto"/>
                      <w:spacing w:val="0"/>
                      <w:w w:val="100"/>
                      <w:position w:val="0"/>
                      <w:sz w:val="21"/>
                      <w:szCs w:val="21"/>
                    </w:rPr>
                  </w:pPr>
                </w:p>
              </w:tc>
              <w:tc>
                <w:tcPr>
                  <w:tcW w:w="996" w:type="dxa"/>
                  <w:vMerge w:val="continue"/>
                  <w:tcBorders>
                    <w:tl2br w:val="nil"/>
                    <w:tr2bl w:val="nil"/>
                  </w:tcBorders>
                  <w:noWrap w:val="0"/>
                  <w:vAlign w:val="center"/>
                </w:tcPr>
                <w:p w14:paraId="58249F9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cs="Times New Roman"/>
                      <w:b/>
                      <w:bCs/>
                      <w:caps w:val="0"/>
                      <w:smallCaps w:val="0"/>
                      <w:color w:val="auto"/>
                      <w:spacing w:val="0"/>
                      <w:w w:val="100"/>
                      <w:position w:val="0"/>
                      <w:sz w:val="21"/>
                      <w:szCs w:val="21"/>
                    </w:rPr>
                  </w:pPr>
                </w:p>
              </w:tc>
              <w:tc>
                <w:tcPr>
                  <w:tcW w:w="1312" w:type="dxa"/>
                  <w:tcBorders>
                    <w:tl2br w:val="nil"/>
                    <w:tr2bl w:val="nil"/>
                  </w:tcBorders>
                  <w:noWrap w:val="0"/>
                  <w:vAlign w:val="center"/>
                </w:tcPr>
                <w:p w14:paraId="7E889E0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rPr>
                  </w:pPr>
                  <w:r>
                    <w:rPr>
                      <w:rFonts w:hint="default" w:ascii="Times New Roman" w:hAnsi="Times New Roman" w:eastAsia="宋体" w:cs="Times New Roman"/>
                      <w:b/>
                      <w:bCs/>
                      <w:caps w:val="0"/>
                      <w:smallCaps w:val="0"/>
                      <w:color w:val="auto"/>
                      <w:spacing w:val="0"/>
                      <w:w w:val="100"/>
                      <w:position w:val="0"/>
                      <w:sz w:val="21"/>
                      <w:szCs w:val="21"/>
                    </w:rPr>
                    <w:t>浓度范围</w:t>
                  </w:r>
                </w:p>
              </w:tc>
              <w:tc>
                <w:tcPr>
                  <w:tcW w:w="732" w:type="dxa"/>
                  <w:tcBorders>
                    <w:tl2br w:val="nil"/>
                    <w:tr2bl w:val="nil"/>
                  </w:tcBorders>
                  <w:noWrap w:val="0"/>
                  <w:vAlign w:val="center"/>
                </w:tcPr>
                <w:p w14:paraId="02E863B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rPr>
                  </w:pPr>
                  <w:r>
                    <w:rPr>
                      <w:rFonts w:hint="default" w:ascii="Times New Roman" w:hAnsi="Times New Roman" w:eastAsia="宋体" w:cs="Times New Roman"/>
                      <w:b/>
                      <w:bCs/>
                      <w:caps w:val="0"/>
                      <w:smallCaps w:val="0"/>
                      <w:color w:val="auto"/>
                      <w:spacing w:val="0"/>
                      <w:w w:val="100"/>
                      <w:position w:val="0"/>
                      <w:sz w:val="21"/>
                      <w:szCs w:val="21"/>
                    </w:rPr>
                    <w:t>标准限值</w:t>
                  </w:r>
                </w:p>
              </w:tc>
              <w:tc>
                <w:tcPr>
                  <w:tcW w:w="1032" w:type="dxa"/>
                  <w:tcBorders>
                    <w:tl2br w:val="nil"/>
                    <w:tr2bl w:val="nil"/>
                  </w:tcBorders>
                  <w:noWrap w:val="0"/>
                  <w:vAlign w:val="center"/>
                </w:tcPr>
                <w:p w14:paraId="578B51A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Times New Roman" w:hAnsi="Times New Roman" w:eastAsia="宋体" w:cs="Times New Roman"/>
                      <w:b/>
                      <w:bCs/>
                      <w:caps w:val="0"/>
                      <w:smallCaps w:val="0"/>
                      <w:color w:val="auto"/>
                      <w:spacing w:val="0"/>
                      <w:w w:val="100"/>
                      <w:position w:val="0"/>
                      <w:sz w:val="21"/>
                      <w:szCs w:val="21"/>
                      <w:lang w:eastAsia="zh-CN"/>
                    </w:rPr>
                  </w:pPr>
                  <w:r>
                    <w:rPr>
                      <w:rFonts w:hint="default" w:ascii="Times New Roman" w:hAnsi="Times New Roman" w:eastAsia="宋体" w:cs="Times New Roman"/>
                      <w:b/>
                      <w:bCs/>
                      <w:caps w:val="0"/>
                      <w:smallCaps w:val="0"/>
                      <w:color w:val="auto"/>
                      <w:spacing w:val="0"/>
                      <w:w w:val="100"/>
                      <w:position w:val="0"/>
                      <w:sz w:val="21"/>
                      <w:szCs w:val="21"/>
                    </w:rPr>
                    <w:t>最大占标率</w:t>
                  </w:r>
                  <w:r>
                    <w:rPr>
                      <w:rFonts w:hint="eastAsia" w:cs="Times New Roman"/>
                      <w:b/>
                      <w:bCs/>
                      <w:caps w:val="0"/>
                      <w:smallCaps w:val="0"/>
                      <w:color w:val="auto"/>
                      <w:spacing w:val="0"/>
                      <w:w w:val="100"/>
                      <w:position w:val="0"/>
                      <w:sz w:val="21"/>
                      <w:szCs w:val="21"/>
                      <w:lang w:eastAsia="zh-CN"/>
                    </w:rPr>
                    <w:t>（</w:t>
                  </w:r>
                  <w:r>
                    <w:rPr>
                      <w:rFonts w:hint="default" w:ascii="Times New Roman" w:hAnsi="Times New Roman" w:eastAsia="Times New Roman" w:cs="Times New Roman"/>
                      <w:b/>
                      <w:bCs/>
                      <w:caps w:val="0"/>
                      <w:smallCaps w:val="0"/>
                      <w:color w:val="auto"/>
                      <w:spacing w:val="0"/>
                      <w:w w:val="100"/>
                      <w:position w:val="0"/>
                      <w:sz w:val="21"/>
                      <w:szCs w:val="21"/>
                    </w:rPr>
                    <w:t>%</w:t>
                  </w:r>
                  <w:r>
                    <w:rPr>
                      <w:rFonts w:hint="eastAsia" w:eastAsia="宋体" w:cs="Times New Roman"/>
                      <w:b/>
                      <w:bCs/>
                      <w:caps w:val="0"/>
                      <w:smallCaps w:val="0"/>
                      <w:color w:val="auto"/>
                      <w:spacing w:val="0"/>
                      <w:w w:val="100"/>
                      <w:position w:val="0"/>
                      <w:sz w:val="21"/>
                      <w:szCs w:val="21"/>
                      <w:lang w:eastAsia="zh-CN"/>
                    </w:rPr>
                    <w:t>）</w:t>
                  </w:r>
                </w:p>
              </w:tc>
              <w:tc>
                <w:tcPr>
                  <w:tcW w:w="862" w:type="dxa"/>
                  <w:tcBorders>
                    <w:tl2br w:val="nil"/>
                    <w:tr2bl w:val="nil"/>
                  </w:tcBorders>
                  <w:noWrap w:val="0"/>
                  <w:vAlign w:val="center"/>
                </w:tcPr>
                <w:p w14:paraId="2175048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rPr>
                  </w:pPr>
                  <w:r>
                    <w:rPr>
                      <w:rFonts w:hint="default" w:ascii="Times New Roman" w:hAnsi="Times New Roman" w:eastAsia="宋体" w:cs="Times New Roman"/>
                      <w:b/>
                      <w:bCs/>
                      <w:caps w:val="0"/>
                      <w:smallCaps w:val="0"/>
                      <w:color w:val="auto"/>
                      <w:spacing w:val="0"/>
                      <w:w w:val="100"/>
                      <w:position w:val="0"/>
                      <w:sz w:val="21"/>
                      <w:szCs w:val="21"/>
                    </w:rPr>
                    <w:t>超标数</w:t>
                  </w:r>
                  <w:r>
                    <w:rPr>
                      <w:rFonts w:hint="eastAsia" w:cs="Times New Roman"/>
                      <w:b/>
                      <w:bCs/>
                      <w:caps w:val="0"/>
                      <w:smallCaps w:val="0"/>
                      <w:color w:val="auto"/>
                      <w:spacing w:val="0"/>
                      <w:w w:val="100"/>
                      <w:position w:val="0"/>
                      <w:sz w:val="21"/>
                      <w:szCs w:val="21"/>
                      <w:lang w:eastAsia="zh-CN"/>
                    </w:rPr>
                    <w:t>（</w:t>
                  </w:r>
                  <w:r>
                    <w:rPr>
                      <w:rFonts w:hint="default" w:ascii="Times New Roman" w:hAnsi="Times New Roman" w:eastAsia="宋体" w:cs="Times New Roman"/>
                      <w:b/>
                      <w:bCs/>
                      <w:caps w:val="0"/>
                      <w:smallCaps w:val="0"/>
                      <w:color w:val="auto"/>
                      <w:spacing w:val="0"/>
                      <w:w w:val="100"/>
                      <w:position w:val="0"/>
                      <w:sz w:val="21"/>
                      <w:szCs w:val="21"/>
                    </w:rPr>
                    <w:t>个）</w:t>
                  </w:r>
                </w:p>
              </w:tc>
              <w:tc>
                <w:tcPr>
                  <w:tcW w:w="1007" w:type="dxa"/>
                  <w:tcBorders>
                    <w:tl2br w:val="nil"/>
                    <w:tr2bl w:val="nil"/>
                  </w:tcBorders>
                  <w:noWrap w:val="0"/>
                  <w:vAlign w:val="center"/>
                </w:tcPr>
                <w:p w14:paraId="388D547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rPr>
                  </w:pPr>
                  <w:r>
                    <w:rPr>
                      <w:rFonts w:hint="default" w:ascii="Times New Roman" w:hAnsi="Times New Roman" w:eastAsia="宋体" w:cs="Times New Roman"/>
                      <w:b/>
                      <w:bCs/>
                      <w:caps w:val="0"/>
                      <w:smallCaps w:val="0"/>
                      <w:color w:val="auto"/>
                      <w:spacing w:val="0"/>
                      <w:w w:val="100"/>
                      <w:position w:val="0"/>
                      <w:sz w:val="21"/>
                      <w:szCs w:val="21"/>
                    </w:rPr>
                    <w:t>超标率</w:t>
                  </w:r>
                </w:p>
                <w:p w14:paraId="5550BFF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rPr>
                  </w:pPr>
                  <w:r>
                    <w:rPr>
                      <w:rFonts w:hint="eastAsia" w:cs="Times New Roman"/>
                      <w:b/>
                      <w:bCs/>
                      <w:caps w:val="0"/>
                      <w:smallCaps w:val="0"/>
                      <w:color w:val="auto"/>
                      <w:spacing w:val="0"/>
                      <w:w w:val="100"/>
                      <w:position w:val="0"/>
                      <w:sz w:val="21"/>
                      <w:szCs w:val="21"/>
                      <w:lang w:eastAsia="zh-CN"/>
                    </w:rPr>
                    <w:t>（</w:t>
                  </w:r>
                  <w:r>
                    <w:rPr>
                      <w:rFonts w:hint="default" w:ascii="Times New Roman" w:hAnsi="Times New Roman" w:eastAsia="Times New Roman" w:cs="Times New Roman"/>
                      <w:b/>
                      <w:bCs/>
                      <w:caps w:val="0"/>
                      <w:smallCaps w:val="0"/>
                      <w:color w:val="auto"/>
                      <w:spacing w:val="0"/>
                      <w:w w:val="100"/>
                      <w:position w:val="0"/>
                      <w:sz w:val="21"/>
                      <w:szCs w:val="21"/>
                    </w:rPr>
                    <w:t>%</w:t>
                  </w:r>
                  <w:r>
                    <w:rPr>
                      <w:rFonts w:hint="default" w:ascii="Times New Roman" w:hAnsi="Times New Roman" w:eastAsia="宋体" w:cs="Times New Roman"/>
                      <w:b/>
                      <w:bCs/>
                      <w:caps w:val="0"/>
                      <w:smallCaps w:val="0"/>
                      <w:color w:val="auto"/>
                      <w:spacing w:val="0"/>
                      <w:w w:val="100"/>
                      <w:position w:val="0"/>
                      <w:sz w:val="21"/>
                      <w:szCs w:val="21"/>
                    </w:rPr>
                    <w:t>）</w:t>
                  </w:r>
                </w:p>
              </w:tc>
              <w:tc>
                <w:tcPr>
                  <w:tcW w:w="992" w:type="dxa"/>
                  <w:tcBorders>
                    <w:tl2br w:val="nil"/>
                    <w:tr2bl w:val="nil"/>
                  </w:tcBorders>
                  <w:noWrap w:val="0"/>
                  <w:vAlign w:val="center"/>
                </w:tcPr>
                <w:p w14:paraId="03C00A7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rPr>
                  </w:pPr>
                  <w:r>
                    <w:rPr>
                      <w:rFonts w:hint="default" w:ascii="Times New Roman" w:hAnsi="Times New Roman" w:eastAsia="宋体" w:cs="Times New Roman"/>
                      <w:b/>
                      <w:bCs/>
                      <w:caps w:val="0"/>
                      <w:smallCaps w:val="0"/>
                      <w:color w:val="auto"/>
                      <w:spacing w:val="0"/>
                      <w:w w:val="100"/>
                      <w:position w:val="0"/>
                      <w:sz w:val="21"/>
                      <w:szCs w:val="21"/>
                    </w:rPr>
                    <w:t>最大超标 倍数</w:t>
                  </w:r>
                </w:p>
              </w:tc>
              <w:tc>
                <w:tcPr>
                  <w:tcW w:w="842" w:type="dxa"/>
                  <w:tcBorders>
                    <w:tl2br w:val="nil"/>
                    <w:tr2bl w:val="nil"/>
                  </w:tcBorders>
                  <w:noWrap w:val="0"/>
                  <w:vAlign w:val="center"/>
                </w:tcPr>
                <w:p w14:paraId="379D934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aps w:val="0"/>
                      <w:smallCaps w:val="0"/>
                      <w:color w:val="auto"/>
                      <w:spacing w:val="0"/>
                      <w:w w:val="100"/>
                      <w:position w:val="0"/>
                      <w:sz w:val="21"/>
                      <w:szCs w:val="21"/>
                    </w:rPr>
                  </w:pPr>
                  <w:r>
                    <w:rPr>
                      <w:rFonts w:hint="default" w:ascii="Times New Roman" w:hAnsi="Times New Roman" w:eastAsia="宋体" w:cs="Times New Roman"/>
                      <w:b/>
                      <w:bCs/>
                      <w:caps w:val="0"/>
                      <w:smallCaps w:val="0"/>
                      <w:color w:val="auto"/>
                      <w:spacing w:val="0"/>
                      <w:w w:val="100"/>
                      <w:position w:val="0"/>
                      <w:sz w:val="21"/>
                      <w:szCs w:val="21"/>
                    </w:rPr>
                    <w:t>是否达标</w:t>
                  </w:r>
                </w:p>
              </w:tc>
            </w:tr>
            <w:tr w14:paraId="0E282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83" w:type="dxa"/>
                  <w:vMerge w:val="restart"/>
                  <w:tcBorders>
                    <w:tl2br w:val="nil"/>
                    <w:tr2bl w:val="nil"/>
                  </w:tcBorders>
                  <w:noWrap w:val="0"/>
                  <w:vAlign w:val="center"/>
                </w:tcPr>
                <w:p w14:paraId="6C2728E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Times New Roman" w:cs="Times New Roman"/>
                      <w:caps w:val="0"/>
                      <w:smallCaps w:val="0"/>
                      <w:color w:val="auto"/>
                      <w:spacing w:val="0"/>
                      <w:w w:val="100"/>
                      <w:position w:val="0"/>
                      <w:sz w:val="21"/>
                      <w:szCs w:val="21"/>
                    </w:rPr>
                  </w:pPr>
                  <w:r>
                    <w:rPr>
                      <w:rFonts w:hint="default" w:ascii="Times New Roman" w:hAnsi="Times New Roman" w:eastAsia="宋体" w:cs="Times New Roman"/>
                      <w:color w:val="auto"/>
                      <w:sz w:val="21"/>
                      <w:szCs w:val="21"/>
                      <w:lang w:val="en-US" w:eastAsia="zh-CN"/>
                    </w:rPr>
                    <w:t>孵化园公租房</w:t>
                  </w:r>
                </w:p>
              </w:tc>
              <w:tc>
                <w:tcPr>
                  <w:tcW w:w="996" w:type="dxa"/>
                  <w:tcBorders>
                    <w:tl2br w:val="nil"/>
                    <w:tr2bl w:val="nil"/>
                  </w:tcBorders>
                  <w:noWrap w:val="0"/>
                  <w:vAlign w:val="center"/>
                </w:tcPr>
                <w:p w14:paraId="0706D5F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rPr>
                    <w:t>非甲烷总烃</w:t>
                  </w:r>
                </w:p>
              </w:tc>
              <w:tc>
                <w:tcPr>
                  <w:tcW w:w="1312" w:type="dxa"/>
                  <w:tcBorders>
                    <w:tl2br w:val="nil"/>
                    <w:tr2bl w:val="nil"/>
                  </w:tcBorders>
                  <w:noWrap w:val="0"/>
                  <w:vAlign w:val="center"/>
                </w:tcPr>
                <w:p w14:paraId="172951E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default" w:ascii="Times New Roman" w:hAnsi="Times New Roman" w:cs="Times New Roman"/>
                      <w:caps w:val="0"/>
                      <w:smallCaps w:val="0"/>
                      <w:color w:val="auto"/>
                      <w:spacing w:val="0"/>
                      <w:w w:val="100"/>
                      <w:position w:val="0"/>
                      <w:sz w:val="21"/>
                      <w:szCs w:val="21"/>
                      <w:lang w:val="en-US" w:eastAsia="zh-CN"/>
                    </w:rPr>
                    <w:t>1.08~1.88</w:t>
                  </w:r>
                </w:p>
              </w:tc>
              <w:tc>
                <w:tcPr>
                  <w:tcW w:w="732" w:type="dxa"/>
                  <w:tcBorders>
                    <w:tl2br w:val="nil"/>
                    <w:tr2bl w:val="nil"/>
                  </w:tcBorders>
                  <w:noWrap w:val="0"/>
                  <w:vAlign w:val="center"/>
                </w:tcPr>
                <w:p w14:paraId="34DB14C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2.0</w:t>
                  </w:r>
                </w:p>
              </w:tc>
              <w:tc>
                <w:tcPr>
                  <w:tcW w:w="1032" w:type="dxa"/>
                  <w:tcBorders>
                    <w:tl2br w:val="nil"/>
                    <w:tr2bl w:val="nil"/>
                  </w:tcBorders>
                  <w:noWrap w:val="0"/>
                  <w:vAlign w:val="center"/>
                </w:tcPr>
                <w:p w14:paraId="2AA2D77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lang w:val="en-US" w:eastAsia="zh-CN"/>
                    </w:rPr>
                    <w:t>94</w:t>
                  </w:r>
                </w:p>
              </w:tc>
              <w:tc>
                <w:tcPr>
                  <w:tcW w:w="862" w:type="dxa"/>
                  <w:tcBorders>
                    <w:tl2br w:val="nil"/>
                    <w:tr2bl w:val="nil"/>
                  </w:tcBorders>
                  <w:noWrap w:val="0"/>
                  <w:vAlign w:val="center"/>
                </w:tcPr>
                <w:p w14:paraId="15786D1A">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0</w:t>
                  </w:r>
                </w:p>
              </w:tc>
              <w:tc>
                <w:tcPr>
                  <w:tcW w:w="1007" w:type="dxa"/>
                  <w:tcBorders>
                    <w:tl2br w:val="nil"/>
                    <w:tr2bl w:val="nil"/>
                  </w:tcBorders>
                  <w:noWrap w:val="0"/>
                  <w:vAlign w:val="center"/>
                </w:tcPr>
                <w:p w14:paraId="6E1422B2">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0</w:t>
                  </w:r>
                </w:p>
              </w:tc>
              <w:tc>
                <w:tcPr>
                  <w:tcW w:w="992" w:type="dxa"/>
                  <w:tcBorders>
                    <w:tl2br w:val="nil"/>
                    <w:tr2bl w:val="nil"/>
                  </w:tcBorders>
                  <w:noWrap w:val="0"/>
                  <w:vAlign w:val="center"/>
                </w:tcPr>
                <w:p w14:paraId="227F439B">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0</w:t>
                  </w:r>
                </w:p>
              </w:tc>
              <w:tc>
                <w:tcPr>
                  <w:tcW w:w="842" w:type="dxa"/>
                  <w:tcBorders>
                    <w:tl2br w:val="nil"/>
                    <w:tr2bl w:val="nil"/>
                  </w:tcBorders>
                  <w:noWrap w:val="0"/>
                  <w:vAlign w:val="center"/>
                </w:tcPr>
                <w:p w14:paraId="59D4E53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rPr>
                    <w:t>是</w:t>
                  </w:r>
                </w:p>
              </w:tc>
            </w:tr>
            <w:tr w14:paraId="6DC59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1083" w:type="dxa"/>
                  <w:vMerge w:val="continue"/>
                  <w:tcBorders>
                    <w:tl2br w:val="nil"/>
                    <w:tr2bl w:val="nil"/>
                  </w:tcBorders>
                  <w:noWrap w:val="0"/>
                  <w:vAlign w:val="center"/>
                </w:tcPr>
                <w:p w14:paraId="5327398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p>
              </w:tc>
              <w:tc>
                <w:tcPr>
                  <w:tcW w:w="996" w:type="dxa"/>
                  <w:tcBorders>
                    <w:tl2br w:val="nil"/>
                    <w:tr2bl w:val="nil"/>
                  </w:tcBorders>
                  <w:noWrap w:val="0"/>
                  <w:vAlign w:val="center"/>
                </w:tcPr>
                <w:p w14:paraId="2DF3B851">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position w:val="0"/>
                      <w:sz w:val="21"/>
                      <w:szCs w:val="21"/>
                      <w:lang w:val="en-US" w:eastAsia="zh-CN"/>
                    </w:rPr>
                  </w:pPr>
                  <w:r>
                    <w:rPr>
                      <w:rFonts w:hint="default" w:ascii="Times New Roman" w:hAnsi="Times New Roman" w:eastAsia="宋体" w:cs="Times New Roman"/>
                      <w:caps w:val="0"/>
                      <w:smallCaps w:val="0"/>
                      <w:color w:val="auto"/>
                      <w:spacing w:val="0"/>
                      <w:w w:val="100"/>
                      <w:position w:val="0"/>
                      <w:sz w:val="21"/>
                      <w:szCs w:val="21"/>
                      <w:lang w:val="en-US" w:eastAsia="zh-CN"/>
                    </w:rPr>
                    <w:t>TSP</w:t>
                  </w:r>
                </w:p>
              </w:tc>
              <w:tc>
                <w:tcPr>
                  <w:tcW w:w="1312" w:type="dxa"/>
                  <w:tcBorders>
                    <w:tl2br w:val="nil"/>
                    <w:tr2bl w:val="nil"/>
                  </w:tcBorders>
                  <w:noWrap w:val="0"/>
                  <w:vAlign w:val="center"/>
                </w:tcPr>
                <w:p w14:paraId="1302416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cs="Times New Roman"/>
                      <w:caps w:val="0"/>
                      <w:smallCaps w:val="0"/>
                      <w:color w:val="auto"/>
                      <w:spacing w:val="0"/>
                      <w:w w:val="100"/>
                      <w:position w:val="0"/>
                      <w:sz w:val="21"/>
                      <w:szCs w:val="21"/>
                      <w:lang w:val="en-US" w:eastAsia="zh-CN"/>
                    </w:rPr>
                  </w:pPr>
                  <w:r>
                    <w:rPr>
                      <w:rFonts w:hint="default" w:ascii="Times New Roman" w:hAnsi="Times New Roman" w:cs="Times New Roman"/>
                      <w:caps w:val="0"/>
                      <w:smallCaps w:val="0"/>
                      <w:color w:val="auto"/>
                      <w:spacing w:val="0"/>
                      <w:w w:val="100"/>
                      <w:position w:val="0"/>
                      <w:sz w:val="21"/>
                      <w:szCs w:val="21"/>
                      <w:lang w:val="en-US" w:eastAsia="zh-CN"/>
                    </w:rPr>
                    <w:t>0.099~0.105</w:t>
                  </w:r>
                </w:p>
              </w:tc>
              <w:tc>
                <w:tcPr>
                  <w:tcW w:w="732" w:type="dxa"/>
                  <w:tcBorders>
                    <w:tl2br w:val="nil"/>
                    <w:tr2bl w:val="nil"/>
                  </w:tcBorders>
                  <w:noWrap w:val="0"/>
                  <w:vAlign w:val="center"/>
                </w:tcPr>
                <w:p w14:paraId="44347362">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position w:val="0"/>
                      <w:sz w:val="21"/>
                      <w:szCs w:val="21"/>
                      <w:lang w:val="en-US" w:eastAsia="zh-CN"/>
                    </w:rPr>
                  </w:pPr>
                  <w:r>
                    <w:rPr>
                      <w:rFonts w:hint="default" w:ascii="Times New Roman" w:hAnsi="Times New Roman" w:eastAsia="宋体" w:cs="Times New Roman"/>
                      <w:caps w:val="0"/>
                      <w:smallCaps w:val="0"/>
                      <w:color w:val="auto"/>
                      <w:spacing w:val="0"/>
                      <w:w w:val="100"/>
                      <w:position w:val="0"/>
                      <w:sz w:val="21"/>
                      <w:szCs w:val="21"/>
                      <w:lang w:val="en-US" w:eastAsia="zh-CN"/>
                    </w:rPr>
                    <w:t>0.</w:t>
                  </w:r>
                  <w:r>
                    <w:rPr>
                      <w:rFonts w:hint="eastAsia" w:ascii="Times New Roman" w:hAnsi="Times New Roman" w:eastAsia="宋体" w:cs="Times New Roman"/>
                      <w:caps w:val="0"/>
                      <w:smallCaps w:val="0"/>
                      <w:color w:val="auto"/>
                      <w:spacing w:val="0"/>
                      <w:w w:val="100"/>
                      <w:position w:val="0"/>
                      <w:sz w:val="21"/>
                      <w:szCs w:val="21"/>
                      <w:lang w:val="en-US" w:eastAsia="zh-CN"/>
                    </w:rPr>
                    <w:t>3</w:t>
                  </w:r>
                </w:p>
              </w:tc>
              <w:tc>
                <w:tcPr>
                  <w:tcW w:w="1032" w:type="dxa"/>
                  <w:tcBorders>
                    <w:tl2br w:val="nil"/>
                    <w:tr2bl w:val="nil"/>
                  </w:tcBorders>
                  <w:noWrap w:val="0"/>
                  <w:vAlign w:val="center"/>
                </w:tcPr>
                <w:p w14:paraId="76DB1856">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position w:val="0"/>
                      <w:sz w:val="21"/>
                      <w:szCs w:val="21"/>
                      <w:lang w:val="en-US" w:eastAsia="zh-CN"/>
                    </w:rPr>
                  </w:pPr>
                  <w:r>
                    <w:rPr>
                      <w:rFonts w:hint="eastAsia" w:ascii="Times New Roman" w:hAnsi="Times New Roman" w:eastAsia="宋体" w:cs="Times New Roman"/>
                      <w:caps w:val="0"/>
                      <w:smallCaps w:val="0"/>
                      <w:color w:val="auto"/>
                      <w:spacing w:val="0"/>
                      <w:w w:val="100"/>
                      <w:position w:val="0"/>
                      <w:sz w:val="21"/>
                      <w:szCs w:val="21"/>
                      <w:lang w:val="en-US" w:eastAsia="zh-CN"/>
                    </w:rPr>
                    <w:t>21</w:t>
                  </w:r>
                </w:p>
              </w:tc>
              <w:tc>
                <w:tcPr>
                  <w:tcW w:w="862" w:type="dxa"/>
                  <w:tcBorders>
                    <w:tl2br w:val="nil"/>
                    <w:tr2bl w:val="nil"/>
                  </w:tcBorders>
                  <w:noWrap w:val="0"/>
                  <w:vAlign w:val="center"/>
                </w:tcPr>
                <w:p w14:paraId="3136C1D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0</w:t>
                  </w:r>
                </w:p>
              </w:tc>
              <w:tc>
                <w:tcPr>
                  <w:tcW w:w="1007" w:type="dxa"/>
                  <w:tcBorders>
                    <w:tl2br w:val="nil"/>
                    <w:tr2bl w:val="nil"/>
                  </w:tcBorders>
                  <w:noWrap w:val="0"/>
                  <w:vAlign w:val="center"/>
                </w:tcPr>
                <w:p w14:paraId="38D47B7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0</w:t>
                  </w:r>
                </w:p>
              </w:tc>
              <w:tc>
                <w:tcPr>
                  <w:tcW w:w="992" w:type="dxa"/>
                  <w:tcBorders>
                    <w:tl2br w:val="nil"/>
                    <w:tr2bl w:val="nil"/>
                  </w:tcBorders>
                  <w:noWrap w:val="0"/>
                  <w:vAlign w:val="center"/>
                </w:tcPr>
                <w:p w14:paraId="68FEC54A">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0</w:t>
                  </w:r>
                </w:p>
              </w:tc>
              <w:tc>
                <w:tcPr>
                  <w:tcW w:w="842" w:type="dxa"/>
                  <w:tcBorders>
                    <w:tl2br w:val="nil"/>
                    <w:tr2bl w:val="nil"/>
                  </w:tcBorders>
                  <w:noWrap w:val="0"/>
                  <w:vAlign w:val="center"/>
                </w:tcPr>
                <w:p w14:paraId="2591081B">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rPr>
                    <w:t>是</w:t>
                  </w:r>
                </w:p>
              </w:tc>
            </w:tr>
            <w:tr w14:paraId="2BF59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1083" w:type="dxa"/>
                  <w:tcBorders>
                    <w:tl2br w:val="nil"/>
                    <w:tr2bl w:val="nil"/>
                  </w:tcBorders>
                  <w:noWrap w:val="0"/>
                  <w:vAlign w:val="center"/>
                </w:tcPr>
                <w:p w14:paraId="7FF14EF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bidi="ar"/>
                    </w:rPr>
                    <w:t>龙腾大道与凤鸣大道交汇口西南处</w:t>
                  </w:r>
                </w:p>
              </w:tc>
              <w:tc>
                <w:tcPr>
                  <w:tcW w:w="996" w:type="dxa"/>
                  <w:tcBorders>
                    <w:tl2br w:val="nil"/>
                    <w:tr2bl w:val="nil"/>
                  </w:tcBorders>
                  <w:shd w:val="clear" w:color="auto" w:fill="auto"/>
                  <w:noWrap w:val="0"/>
                  <w:vAlign w:val="center"/>
                </w:tcPr>
                <w:p w14:paraId="56DFF1E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caps w:val="0"/>
                      <w:smallCaps w:val="0"/>
                      <w:color w:val="auto"/>
                      <w:spacing w:val="0"/>
                      <w:w w:val="100"/>
                      <w:position w:val="0"/>
                      <w:sz w:val="21"/>
                      <w:szCs w:val="21"/>
                      <w:lang w:val="en-US" w:eastAsia="zh-CN"/>
                    </w:rPr>
                    <w:t>氟化物</w:t>
                  </w:r>
                </w:p>
              </w:tc>
              <w:tc>
                <w:tcPr>
                  <w:tcW w:w="1312" w:type="dxa"/>
                  <w:tcBorders>
                    <w:tl2br w:val="nil"/>
                    <w:tr2bl w:val="nil"/>
                  </w:tcBorders>
                  <w:shd w:val="clear" w:color="auto" w:fill="auto"/>
                  <w:noWrap w:val="0"/>
                  <w:vAlign w:val="center"/>
                </w:tcPr>
                <w:p w14:paraId="0475C5F3">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caps w:val="0"/>
                      <w:smallCaps w:val="0"/>
                      <w:color w:val="auto"/>
                      <w:spacing w:val="0"/>
                      <w:w w:val="100"/>
                      <w:position w:val="0"/>
                      <w:sz w:val="21"/>
                      <w:szCs w:val="21"/>
                      <w:lang w:val="en-US" w:eastAsia="zh-CN"/>
                    </w:rPr>
                    <w:t>0.0005~0.0009</w:t>
                  </w:r>
                </w:p>
              </w:tc>
              <w:tc>
                <w:tcPr>
                  <w:tcW w:w="732" w:type="dxa"/>
                  <w:tcBorders>
                    <w:tl2br w:val="nil"/>
                    <w:tr2bl w:val="nil"/>
                  </w:tcBorders>
                  <w:shd w:val="clear" w:color="auto" w:fill="auto"/>
                  <w:noWrap w:val="0"/>
                  <w:vAlign w:val="center"/>
                </w:tcPr>
                <w:p w14:paraId="666CF86A">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caps w:val="0"/>
                      <w:smallCaps w:val="0"/>
                      <w:color w:val="auto"/>
                      <w:spacing w:val="0"/>
                      <w:w w:val="100"/>
                      <w:position w:val="0"/>
                      <w:sz w:val="21"/>
                      <w:szCs w:val="21"/>
                      <w:lang w:val="en-US" w:eastAsia="zh-CN"/>
                    </w:rPr>
                    <w:t>0.02</w:t>
                  </w:r>
                </w:p>
              </w:tc>
              <w:tc>
                <w:tcPr>
                  <w:tcW w:w="1032" w:type="dxa"/>
                  <w:tcBorders>
                    <w:tl2br w:val="nil"/>
                    <w:tr2bl w:val="nil"/>
                  </w:tcBorders>
                  <w:shd w:val="clear" w:color="auto" w:fill="auto"/>
                  <w:noWrap w:val="0"/>
                  <w:vAlign w:val="center"/>
                </w:tcPr>
                <w:p w14:paraId="2F31453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eastAsia" w:cs="Times New Roman"/>
                      <w:caps w:val="0"/>
                      <w:smallCaps w:val="0"/>
                      <w:color w:val="auto"/>
                      <w:spacing w:val="0"/>
                      <w:w w:val="100"/>
                      <w:position w:val="0"/>
                      <w:sz w:val="21"/>
                      <w:szCs w:val="21"/>
                      <w:lang w:val="en-US" w:eastAsia="zh-CN"/>
                    </w:rPr>
                    <w:t>4.5</w:t>
                  </w:r>
                </w:p>
              </w:tc>
              <w:tc>
                <w:tcPr>
                  <w:tcW w:w="862" w:type="dxa"/>
                  <w:tcBorders>
                    <w:tl2br w:val="nil"/>
                    <w:tr2bl w:val="nil"/>
                  </w:tcBorders>
                  <w:shd w:val="clear" w:color="auto" w:fill="auto"/>
                  <w:noWrap w:val="0"/>
                  <w:vAlign w:val="center"/>
                </w:tcPr>
                <w:p w14:paraId="6C96185B">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0</w:t>
                  </w:r>
                </w:p>
              </w:tc>
              <w:tc>
                <w:tcPr>
                  <w:tcW w:w="1007" w:type="dxa"/>
                  <w:tcBorders>
                    <w:tl2br w:val="nil"/>
                    <w:tr2bl w:val="nil"/>
                  </w:tcBorders>
                  <w:shd w:val="clear" w:color="auto" w:fill="auto"/>
                  <w:noWrap w:val="0"/>
                  <w:vAlign w:val="center"/>
                </w:tcPr>
                <w:p w14:paraId="2D50933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0</w:t>
                  </w:r>
                </w:p>
              </w:tc>
              <w:tc>
                <w:tcPr>
                  <w:tcW w:w="992" w:type="dxa"/>
                  <w:tcBorders>
                    <w:tl2br w:val="nil"/>
                    <w:tr2bl w:val="nil"/>
                  </w:tcBorders>
                  <w:shd w:val="clear" w:color="auto" w:fill="auto"/>
                  <w:noWrap w:val="0"/>
                  <w:vAlign w:val="center"/>
                </w:tcPr>
                <w:p w14:paraId="1294128A">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Times New Roman" w:cs="Times New Roman"/>
                      <w:caps w:val="0"/>
                      <w:smallCaps w:val="0"/>
                      <w:color w:val="auto"/>
                      <w:spacing w:val="0"/>
                      <w:w w:val="100"/>
                      <w:kern w:val="2"/>
                      <w:position w:val="0"/>
                      <w:sz w:val="21"/>
                      <w:szCs w:val="21"/>
                      <w:lang w:val="en-US" w:eastAsia="zh-CN" w:bidi="ar-SA"/>
                    </w:rPr>
                  </w:pPr>
                  <w:r>
                    <w:rPr>
                      <w:rFonts w:hint="default" w:ascii="Times New Roman" w:hAnsi="Times New Roman" w:eastAsia="Times New Roman" w:cs="Times New Roman"/>
                      <w:caps w:val="0"/>
                      <w:smallCaps w:val="0"/>
                      <w:color w:val="auto"/>
                      <w:spacing w:val="0"/>
                      <w:w w:val="100"/>
                      <w:position w:val="0"/>
                      <w:sz w:val="21"/>
                      <w:szCs w:val="21"/>
                    </w:rPr>
                    <w:t>0</w:t>
                  </w:r>
                </w:p>
              </w:tc>
              <w:tc>
                <w:tcPr>
                  <w:tcW w:w="842" w:type="dxa"/>
                  <w:tcBorders>
                    <w:tl2br w:val="nil"/>
                    <w:tr2bl w:val="nil"/>
                  </w:tcBorders>
                  <w:shd w:val="clear" w:color="auto" w:fill="auto"/>
                  <w:noWrap w:val="0"/>
                  <w:vAlign w:val="center"/>
                </w:tcPr>
                <w:p w14:paraId="4E21DB55">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rPr>
                    <w:t>是</w:t>
                  </w:r>
                </w:p>
              </w:tc>
            </w:tr>
          </w:tbl>
          <w:p w14:paraId="36326848">
            <w:pPr>
              <w:keepNext w:val="0"/>
              <w:keepLines w:val="0"/>
              <w:pageBreakBefore w:val="0"/>
              <w:widowControl w:val="0"/>
              <w:kinsoku/>
              <w:wordWrap/>
              <w:overflowPunct/>
              <w:topLinePunct w:val="0"/>
              <w:autoSpaceDE/>
              <w:autoSpaceDN/>
              <w:bidi w:val="0"/>
              <w:adjustRightInd/>
              <w:snapToGrid/>
              <w:spacing w:line="480" w:lineRule="atLeast"/>
              <w:ind w:right="0" w:firstLine="480" w:firstLineChars="200"/>
              <w:jc w:val="both"/>
              <w:textAlignment w:val="auto"/>
              <w:rPr>
                <w:rFonts w:hint="default" w:ascii="Times New Roman" w:hAnsi="Times New Roman" w:eastAsia="宋体" w:cs="Times New Roman"/>
                <w:caps w:val="0"/>
                <w:color w:val="auto"/>
                <w:spacing w:val="0"/>
                <w:w w:val="100"/>
                <w:position w:val="0"/>
                <w:sz w:val="24"/>
                <w:lang w:val="en-US" w:eastAsia="zh-CN"/>
              </w:rPr>
            </w:pPr>
            <w:r>
              <w:rPr>
                <w:rFonts w:hint="default" w:ascii="Times New Roman" w:hAnsi="Times New Roman" w:eastAsia="宋体" w:cs="Times New Roman"/>
                <w:color w:val="auto"/>
                <w:spacing w:val="0"/>
                <w:kern w:val="2"/>
                <w:position w:val="0"/>
                <w:sz w:val="24"/>
                <w:szCs w:val="24"/>
                <w:lang w:val="en-US" w:eastAsia="zh-CN" w:bidi="ar-SA"/>
              </w:rPr>
              <w:t>由监测结果可见各监测点</w:t>
            </w:r>
            <w:r>
              <w:rPr>
                <w:rFonts w:hint="default" w:ascii="Times New Roman" w:hAnsi="Times New Roman" w:eastAsia="宋体" w:cs="Times New Roman"/>
                <w:caps w:val="0"/>
                <w:color w:val="auto"/>
                <w:spacing w:val="0"/>
                <w:w w:val="100"/>
                <w:kern w:val="2"/>
                <w:position w:val="0"/>
                <w:sz w:val="24"/>
                <w:szCs w:val="24"/>
                <w:lang w:val="en-US" w:eastAsia="zh-CN" w:bidi="ar-SA"/>
              </w:rPr>
              <w:t>TSP</w:t>
            </w:r>
            <w:r>
              <w:rPr>
                <w:rFonts w:hint="eastAsia" w:cs="Times New Roman"/>
                <w:caps w:val="0"/>
                <w:color w:val="auto"/>
                <w:spacing w:val="0"/>
                <w:w w:val="100"/>
                <w:kern w:val="2"/>
                <w:position w:val="0"/>
                <w:sz w:val="24"/>
                <w:szCs w:val="24"/>
                <w:lang w:val="en-US" w:eastAsia="zh-CN" w:bidi="ar-SA"/>
              </w:rPr>
              <w:t>、非甲烷总烃、氟化物</w:t>
            </w:r>
            <w:r>
              <w:rPr>
                <w:rFonts w:hint="eastAsia" w:ascii="Times New Roman" w:hAnsi="Times New Roman" w:eastAsia="宋体" w:cs="Times New Roman"/>
                <w:color w:val="auto"/>
                <w:spacing w:val="0"/>
                <w:kern w:val="2"/>
                <w:position w:val="0"/>
                <w:sz w:val="24"/>
                <w:szCs w:val="24"/>
                <w:lang w:val="en-US" w:eastAsia="zh-CN" w:bidi="ar-SA"/>
              </w:rPr>
              <w:t>均</w:t>
            </w:r>
            <w:r>
              <w:rPr>
                <w:rFonts w:hint="default" w:ascii="Times New Roman" w:hAnsi="Times New Roman" w:eastAsia="宋体" w:cs="Times New Roman"/>
                <w:color w:val="auto"/>
                <w:spacing w:val="0"/>
                <w:kern w:val="2"/>
                <w:position w:val="0"/>
                <w:sz w:val="24"/>
                <w:szCs w:val="24"/>
                <w:lang w:val="en-US" w:eastAsia="zh-CN" w:bidi="ar-SA"/>
              </w:rPr>
              <w:t>满足</w:t>
            </w:r>
            <w:r>
              <w:rPr>
                <w:rFonts w:hint="eastAsia" w:cs="Times New Roman"/>
                <w:color w:val="auto"/>
                <w:spacing w:val="0"/>
                <w:kern w:val="2"/>
                <w:position w:val="0"/>
                <w:sz w:val="24"/>
                <w:szCs w:val="24"/>
                <w:lang w:val="en-US" w:eastAsia="zh-CN" w:bidi="ar-SA"/>
              </w:rPr>
              <w:t>相应</w:t>
            </w:r>
            <w:r>
              <w:rPr>
                <w:rFonts w:hint="eastAsia" w:ascii="Times New Roman" w:hAnsi="Times New Roman" w:eastAsia="宋体" w:cs="Times New Roman"/>
                <w:color w:val="auto"/>
                <w:spacing w:val="0"/>
                <w:kern w:val="2"/>
                <w:position w:val="0"/>
                <w:sz w:val="24"/>
                <w:szCs w:val="24"/>
                <w:lang w:val="en-US" w:eastAsia="zh-CN" w:bidi="ar-SA"/>
              </w:rPr>
              <w:t>标准限值</w:t>
            </w:r>
            <w:r>
              <w:rPr>
                <w:rFonts w:hint="default" w:ascii="Times New Roman" w:hAnsi="Times New Roman" w:eastAsia="宋体" w:cs="Times New Roman"/>
                <w:caps w:val="0"/>
                <w:color w:val="auto"/>
                <w:spacing w:val="0"/>
                <w:w w:val="100"/>
                <w:position w:val="0"/>
                <w:sz w:val="24"/>
                <w:lang w:eastAsia="zh-CN"/>
              </w:rPr>
              <w:t>。</w:t>
            </w:r>
          </w:p>
          <w:p w14:paraId="50C926AE">
            <w:pPr>
              <w:widowControl w:val="0"/>
              <w:spacing w:line="480" w:lineRule="exact"/>
              <w:jc w:val="both"/>
              <w:rPr>
                <w:rFonts w:hint="default" w:ascii="Times New Roman" w:hAnsi="Times New Roman" w:eastAsia="宋体" w:cs="Times New Roman"/>
                <w:b/>
                <w:bCs/>
                <w:color w:val="auto"/>
                <w:spacing w:val="0"/>
                <w:kern w:val="2"/>
                <w:position w:val="0"/>
                <w:sz w:val="24"/>
                <w:szCs w:val="24"/>
                <w:lang w:val="en-US" w:eastAsia="zh-CN" w:bidi="ar-SA"/>
              </w:rPr>
            </w:pPr>
            <w:r>
              <w:rPr>
                <w:rFonts w:hint="default" w:ascii="Times New Roman" w:hAnsi="Times New Roman" w:eastAsia="宋体" w:cs="Times New Roman"/>
                <w:b/>
                <w:bCs/>
                <w:color w:val="auto"/>
                <w:spacing w:val="0"/>
                <w:kern w:val="2"/>
                <w:position w:val="0"/>
                <w:sz w:val="24"/>
                <w:szCs w:val="24"/>
                <w:lang w:val="en-US" w:eastAsia="zh-CN" w:bidi="ar-SA"/>
              </w:rPr>
              <w:t>2、地表水环境</w:t>
            </w:r>
          </w:p>
          <w:p w14:paraId="4395DF5C">
            <w:pPr>
              <w:keepNext w:val="0"/>
              <w:keepLines w:val="0"/>
              <w:pageBreakBefore w:val="0"/>
              <w:widowControl w:val="0"/>
              <w:kinsoku/>
              <w:wordWrap/>
              <w:overflowPunct/>
              <w:topLinePunct w:val="0"/>
              <w:autoSpaceDE/>
              <w:autoSpaceDN/>
              <w:bidi w:val="0"/>
              <w:adjustRightInd/>
              <w:snapToGrid/>
              <w:spacing w:line="480" w:lineRule="atLeast"/>
              <w:ind w:right="0" w:firstLine="480" w:firstLineChars="200"/>
              <w:textAlignment w:val="auto"/>
              <w:rPr>
                <w:rFonts w:hint="eastAsia" w:ascii="Times New Roman" w:hAnsi="Times New Roman" w:eastAsia="宋体" w:cs="Times New Roman"/>
                <w:color w:val="auto"/>
                <w:spacing w:val="0"/>
                <w:position w:val="0"/>
                <w:sz w:val="24"/>
                <w:lang w:eastAsia="zh-CN"/>
              </w:rPr>
            </w:pPr>
            <w:r>
              <w:rPr>
                <w:color w:val="auto"/>
                <w:spacing w:val="0"/>
                <w:position w:val="0"/>
                <w:sz w:val="24"/>
              </w:rPr>
              <w:t>根据《建设项目环境影响报告表编制技术指南》</w:t>
            </w:r>
            <w:r>
              <w:rPr>
                <w:rFonts w:hint="eastAsia"/>
                <w:color w:val="auto"/>
                <w:spacing w:val="0"/>
                <w:position w:val="0"/>
                <w:sz w:val="24"/>
                <w:lang w:eastAsia="zh-CN"/>
              </w:rPr>
              <w:t>（</w:t>
            </w:r>
            <w:r>
              <w:rPr>
                <w:rFonts w:hint="eastAsia"/>
                <w:color w:val="auto"/>
                <w:spacing w:val="0"/>
                <w:position w:val="0"/>
                <w:sz w:val="24"/>
              </w:rPr>
              <w:t>污染影响类</w:t>
            </w:r>
            <w:r>
              <w:rPr>
                <w:color w:val="auto"/>
                <w:spacing w:val="0"/>
                <w:position w:val="0"/>
                <w:sz w:val="24"/>
              </w:rPr>
              <w:t>）</w:t>
            </w:r>
            <w:r>
              <w:rPr>
                <w:rFonts w:hint="eastAsia"/>
                <w:color w:val="auto"/>
                <w:spacing w:val="0"/>
                <w:position w:val="0"/>
                <w:sz w:val="24"/>
              </w:rPr>
              <w:t>：</w:t>
            </w:r>
            <w:r>
              <w:rPr>
                <w:rFonts w:hint="eastAsia"/>
                <w:color w:val="auto"/>
                <w:spacing w:val="0"/>
                <w:position w:val="0"/>
                <w:sz w:val="24"/>
                <w:lang w:eastAsia="zh-CN"/>
              </w:rPr>
              <w:t>“</w:t>
            </w:r>
            <w:r>
              <w:rPr>
                <w:color w:val="auto"/>
                <w:spacing w:val="0"/>
                <w:position w:val="0"/>
                <w:sz w:val="24"/>
              </w:rPr>
              <w:t>2.地表水环境。引用与建设项目距离近的有效数据，包括近3年的规划环境影响评价的监测数据，所在流域控制单元内国家、地方控制断面监测数据，生态环境主管部门发布的水环境质量数据或地表水达标情况的</w:t>
            </w:r>
            <w:r>
              <w:rPr>
                <w:rFonts w:ascii="Times New Roman" w:hAnsi="Times New Roman" w:eastAsia="宋体" w:cs="Times New Roman"/>
                <w:color w:val="auto"/>
                <w:spacing w:val="0"/>
                <w:position w:val="0"/>
                <w:sz w:val="24"/>
              </w:rPr>
              <w:t>结论。</w:t>
            </w:r>
            <w:r>
              <w:rPr>
                <w:rFonts w:hint="eastAsia" w:cs="Times New Roman"/>
                <w:color w:val="auto"/>
                <w:spacing w:val="0"/>
                <w:position w:val="0"/>
                <w:sz w:val="24"/>
                <w:lang w:eastAsia="zh-CN"/>
              </w:rPr>
              <w:t>”</w:t>
            </w:r>
          </w:p>
          <w:p w14:paraId="614998E5">
            <w:pPr>
              <w:keepNext w:val="0"/>
              <w:keepLines w:val="0"/>
              <w:pageBreakBefore w:val="0"/>
              <w:widowControl w:val="0"/>
              <w:kinsoku/>
              <w:wordWrap/>
              <w:overflowPunct/>
              <w:topLinePunct w:val="0"/>
              <w:autoSpaceDE/>
              <w:autoSpaceDN/>
              <w:bidi w:val="0"/>
              <w:adjustRightInd/>
              <w:snapToGrid/>
              <w:spacing w:line="480" w:lineRule="atLeast"/>
              <w:ind w:right="0" w:firstLine="480" w:firstLineChars="200"/>
              <w:textAlignment w:val="auto"/>
              <w:rPr>
                <w:rFonts w:hint="default" w:ascii="Times New Roman" w:hAnsi="Times New Roman" w:eastAsia="宋体" w:cs="Times New Roman"/>
                <w:caps w:val="0"/>
                <w:color w:val="auto"/>
                <w:spacing w:val="0"/>
                <w:w w:val="100"/>
                <w:position w:val="0"/>
                <w:sz w:val="24"/>
                <w:lang w:val="en-US" w:eastAsia="zh-CN"/>
              </w:rPr>
            </w:pPr>
            <w:r>
              <w:rPr>
                <w:rFonts w:hint="eastAsia" w:ascii="Times New Roman" w:hAnsi="Times New Roman" w:eastAsia="宋体" w:cs="Times New Roman"/>
                <w:color w:val="auto"/>
                <w:spacing w:val="0"/>
                <w:position w:val="0"/>
                <w:sz w:val="24"/>
              </w:rPr>
              <w:t>根据《</w:t>
            </w:r>
            <w:r>
              <w:rPr>
                <w:rFonts w:hint="eastAsia" w:cs="Times New Roman"/>
                <w:color w:val="auto"/>
                <w:spacing w:val="0"/>
                <w:position w:val="0"/>
                <w:sz w:val="24"/>
                <w:lang w:eastAsia="zh-CN"/>
              </w:rPr>
              <w:t>2024年池</w:t>
            </w:r>
            <w:r>
              <w:rPr>
                <w:rFonts w:hint="eastAsia" w:ascii="Times New Roman" w:hAnsi="Times New Roman" w:eastAsia="宋体" w:cs="Times New Roman"/>
                <w:caps w:val="0"/>
                <w:color w:val="auto"/>
                <w:spacing w:val="0"/>
                <w:w w:val="100"/>
                <w:position w:val="0"/>
                <w:sz w:val="24"/>
                <w:lang w:val="en-US" w:eastAsia="zh-CN"/>
              </w:rPr>
              <w:t>州市生态环境状况公报》，2024年全市长江</w:t>
            </w:r>
            <w:r>
              <w:rPr>
                <w:rFonts w:hint="eastAsia" w:cs="Times New Roman"/>
                <w:caps w:val="0"/>
                <w:color w:val="auto"/>
                <w:spacing w:val="0"/>
                <w:w w:val="100"/>
                <w:position w:val="0"/>
                <w:sz w:val="24"/>
                <w:lang w:val="en-US" w:eastAsia="zh-CN"/>
              </w:rPr>
              <w:t>（</w:t>
            </w:r>
            <w:r>
              <w:rPr>
                <w:rFonts w:hint="eastAsia" w:ascii="Times New Roman" w:hAnsi="Times New Roman" w:eastAsia="宋体" w:cs="Times New Roman"/>
                <w:caps w:val="0"/>
                <w:color w:val="auto"/>
                <w:spacing w:val="0"/>
                <w:w w:val="100"/>
                <w:position w:val="0"/>
                <w:sz w:val="24"/>
                <w:lang w:val="en-US" w:eastAsia="zh-CN"/>
              </w:rPr>
              <w:t>池州段）、秋浦河、青通河、尧渡河、黄湓河、九华河、龙泉河、陵阳河、白洋河、香隅河、丁香河、石台清溪河、王村河等河流和升金湖、平天湖、牛桥水库、古潭水库、石湖水库等湖库共计25个国省控考核监测断面</w:t>
            </w:r>
            <w:r>
              <w:rPr>
                <w:rFonts w:hint="eastAsia" w:cs="Times New Roman"/>
                <w:caps w:val="0"/>
                <w:color w:val="auto"/>
                <w:spacing w:val="0"/>
                <w:w w:val="100"/>
                <w:position w:val="0"/>
                <w:sz w:val="24"/>
                <w:lang w:val="en-US" w:eastAsia="zh-CN"/>
              </w:rPr>
              <w:t>（</w:t>
            </w:r>
            <w:r>
              <w:rPr>
                <w:rFonts w:hint="eastAsia" w:ascii="Times New Roman" w:hAnsi="Times New Roman" w:eastAsia="宋体" w:cs="Times New Roman"/>
                <w:caps w:val="0"/>
                <w:color w:val="auto"/>
                <w:spacing w:val="0"/>
                <w:w w:val="100"/>
                <w:position w:val="0"/>
                <w:sz w:val="24"/>
                <w:lang w:val="en-US" w:eastAsia="zh-CN"/>
              </w:rPr>
              <w:t>点位），其中达到Ⅰ类水的断面</w:t>
            </w:r>
            <w:r>
              <w:rPr>
                <w:rFonts w:hint="eastAsia" w:cs="Times New Roman"/>
                <w:caps w:val="0"/>
                <w:color w:val="auto"/>
                <w:spacing w:val="0"/>
                <w:w w:val="100"/>
                <w:position w:val="0"/>
                <w:sz w:val="24"/>
                <w:lang w:val="en-US" w:eastAsia="zh-CN"/>
              </w:rPr>
              <w:t>（</w:t>
            </w:r>
            <w:r>
              <w:rPr>
                <w:rFonts w:hint="eastAsia" w:ascii="Times New Roman" w:hAnsi="Times New Roman" w:eastAsia="宋体" w:cs="Times New Roman"/>
                <w:caps w:val="0"/>
                <w:color w:val="auto"/>
                <w:spacing w:val="0"/>
                <w:w w:val="100"/>
                <w:position w:val="0"/>
                <w:sz w:val="24"/>
                <w:lang w:val="en-US" w:eastAsia="zh-CN"/>
              </w:rPr>
              <w:t>点位）有3个，占12%</w:t>
            </w:r>
            <w:r>
              <w:rPr>
                <w:rFonts w:hint="eastAsia" w:cs="Times New Roman"/>
                <w:caps w:val="0"/>
                <w:color w:val="auto"/>
                <w:spacing w:val="0"/>
                <w:w w:val="100"/>
                <w:position w:val="0"/>
                <w:sz w:val="24"/>
                <w:lang w:val="en-US" w:eastAsia="zh-CN"/>
              </w:rPr>
              <w:t>；</w:t>
            </w:r>
            <w:r>
              <w:rPr>
                <w:rFonts w:hint="eastAsia" w:ascii="Times New Roman" w:hAnsi="Times New Roman" w:eastAsia="宋体" w:cs="Times New Roman"/>
                <w:caps w:val="0"/>
                <w:color w:val="auto"/>
                <w:spacing w:val="0"/>
                <w:w w:val="100"/>
                <w:position w:val="0"/>
                <w:sz w:val="24"/>
                <w:lang w:val="en-US" w:eastAsia="zh-CN"/>
              </w:rPr>
              <w:t>达到Ⅱ类水的断面</w:t>
            </w:r>
            <w:r>
              <w:rPr>
                <w:rFonts w:hint="eastAsia" w:cs="Times New Roman"/>
                <w:caps w:val="0"/>
                <w:color w:val="auto"/>
                <w:spacing w:val="0"/>
                <w:w w:val="100"/>
                <w:position w:val="0"/>
                <w:sz w:val="24"/>
                <w:lang w:val="en-US" w:eastAsia="zh-CN"/>
              </w:rPr>
              <w:t>（</w:t>
            </w:r>
            <w:r>
              <w:rPr>
                <w:rFonts w:hint="eastAsia" w:ascii="Times New Roman" w:hAnsi="Times New Roman" w:eastAsia="宋体" w:cs="Times New Roman"/>
                <w:caps w:val="0"/>
                <w:color w:val="auto"/>
                <w:spacing w:val="0"/>
                <w:w w:val="100"/>
                <w:position w:val="0"/>
                <w:sz w:val="24"/>
                <w:lang w:val="en-US" w:eastAsia="zh-CN"/>
              </w:rPr>
              <w:t>点位）有17个，占68%</w:t>
            </w:r>
            <w:r>
              <w:rPr>
                <w:rFonts w:hint="eastAsia" w:cs="Times New Roman"/>
                <w:caps w:val="0"/>
                <w:color w:val="auto"/>
                <w:spacing w:val="0"/>
                <w:w w:val="100"/>
                <w:position w:val="0"/>
                <w:sz w:val="24"/>
                <w:lang w:val="en-US" w:eastAsia="zh-CN"/>
              </w:rPr>
              <w:t>；</w:t>
            </w:r>
            <w:r>
              <w:rPr>
                <w:rFonts w:hint="eastAsia" w:ascii="Times New Roman" w:hAnsi="Times New Roman" w:eastAsia="宋体" w:cs="Times New Roman"/>
                <w:caps w:val="0"/>
                <w:color w:val="auto"/>
                <w:spacing w:val="0"/>
                <w:w w:val="100"/>
                <w:position w:val="0"/>
                <w:sz w:val="24"/>
                <w:lang w:val="en-US" w:eastAsia="zh-CN"/>
              </w:rPr>
              <w:t>达到Ⅲ类水的断面</w:t>
            </w:r>
            <w:r>
              <w:rPr>
                <w:rFonts w:hint="eastAsia" w:cs="Times New Roman"/>
                <w:caps w:val="0"/>
                <w:color w:val="auto"/>
                <w:spacing w:val="0"/>
                <w:w w:val="100"/>
                <w:position w:val="0"/>
                <w:sz w:val="24"/>
                <w:lang w:val="en-US" w:eastAsia="zh-CN"/>
              </w:rPr>
              <w:t>（</w:t>
            </w:r>
            <w:r>
              <w:rPr>
                <w:rFonts w:hint="eastAsia" w:ascii="Times New Roman" w:hAnsi="Times New Roman" w:eastAsia="宋体" w:cs="Times New Roman"/>
                <w:caps w:val="0"/>
                <w:color w:val="auto"/>
                <w:spacing w:val="0"/>
                <w:w w:val="100"/>
                <w:position w:val="0"/>
                <w:sz w:val="24"/>
                <w:lang w:val="en-US" w:eastAsia="zh-CN"/>
              </w:rPr>
              <w:t>点位）有5个，占20%。</w:t>
            </w:r>
          </w:p>
          <w:p w14:paraId="7E9E1095">
            <w:pPr>
              <w:keepNext w:val="0"/>
              <w:keepLines w:val="0"/>
              <w:pageBreakBefore w:val="0"/>
              <w:widowControl w:val="0"/>
              <w:kinsoku/>
              <w:wordWrap/>
              <w:overflowPunct/>
              <w:topLinePunct w:val="0"/>
              <w:autoSpaceDE/>
              <w:autoSpaceDN/>
              <w:bidi w:val="0"/>
              <w:adjustRightInd/>
              <w:snapToGrid/>
              <w:spacing w:line="480" w:lineRule="atLeast"/>
              <w:ind w:right="0" w:firstLine="480" w:firstLineChars="200"/>
              <w:textAlignment w:val="auto"/>
              <w:rPr>
                <w:rFonts w:hint="default" w:ascii="Times New Roman" w:hAnsi="Times New Roman" w:eastAsia="宋体" w:cs="Times New Roman"/>
                <w:color w:val="auto"/>
                <w:spacing w:val="0"/>
                <w:position w:val="0"/>
                <w:sz w:val="24"/>
                <w:lang w:val="en-US" w:eastAsia="zh-CN"/>
              </w:rPr>
            </w:pPr>
            <w:r>
              <w:rPr>
                <w:rFonts w:hint="eastAsia"/>
                <w:color w:val="auto"/>
                <w:spacing w:val="0"/>
                <w:position w:val="0"/>
                <w:sz w:val="24"/>
                <w:lang w:val="en-US" w:eastAsia="zh-CN"/>
              </w:rPr>
              <w:t>皖江江南新兴产业集中区</w:t>
            </w:r>
            <w:r>
              <w:rPr>
                <w:rFonts w:hint="eastAsia" w:ascii="Times New Roman" w:hAnsi="Times New Roman" w:eastAsia="宋体" w:cs="Times New Roman"/>
                <w:caps w:val="0"/>
                <w:color w:val="auto"/>
                <w:spacing w:val="0"/>
                <w:w w:val="100"/>
                <w:position w:val="0"/>
                <w:sz w:val="24"/>
                <w:lang w:val="en-US" w:eastAsia="zh-CN"/>
              </w:rPr>
              <w:t>第一污水处理厂纳污水体九华河、长江</w:t>
            </w:r>
            <w:r>
              <w:rPr>
                <w:rFonts w:hint="eastAsia" w:cs="Times New Roman"/>
                <w:caps w:val="0"/>
                <w:color w:val="auto"/>
                <w:spacing w:val="0"/>
                <w:w w:val="100"/>
                <w:position w:val="0"/>
                <w:sz w:val="24"/>
                <w:lang w:val="en-US" w:eastAsia="zh-CN"/>
              </w:rPr>
              <w:t>（</w:t>
            </w:r>
            <w:r>
              <w:rPr>
                <w:rFonts w:hint="eastAsia" w:ascii="Times New Roman" w:hAnsi="Times New Roman" w:eastAsia="宋体" w:cs="Times New Roman"/>
                <w:caps w:val="0"/>
                <w:color w:val="auto"/>
                <w:spacing w:val="0"/>
                <w:w w:val="100"/>
                <w:position w:val="0"/>
                <w:sz w:val="24"/>
                <w:lang w:val="en-US" w:eastAsia="zh-CN"/>
              </w:rPr>
              <w:t>池州段）水环境质量较好，可以达到相应地表水</w:t>
            </w:r>
            <w:r>
              <w:rPr>
                <w:rFonts w:hint="eastAsia" w:cs="Times New Roman"/>
                <w:caps w:val="0"/>
                <w:color w:val="auto"/>
                <w:spacing w:val="0"/>
                <w:w w:val="100"/>
                <w:position w:val="0"/>
                <w:sz w:val="24"/>
                <w:lang w:val="en-US" w:eastAsia="zh-CN"/>
              </w:rPr>
              <w:t>质</w:t>
            </w:r>
            <w:r>
              <w:rPr>
                <w:rFonts w:hint="eastAsia" w:ascii="Times New Roman" w:hAnsi="Times New Roman" w:eastAsia="宋体" w:cs="Times New Roman"/>
                <w:caps w:val="0"/>
                <w:color w:val="auto"/>
                <w:spacing w:val="0"/>
                <w:w w:val="100"/>
                <w:position w:val="0"/>
                <w:sz w:val="24"/>
                <w:lang w:val="en-US" w:eastAsia="zh-CN"/>
              </w:rPr>
              <w:t>量标准要求</w:t>
            </w:r>
            <w:r>
              <w:rPr>
                <w:rFonts w:hint="eastAsia" w:ascii="Times New Roman" w:hAnsi="Times New Roman" w:eastAsia="宋体" w:cs="Times New Roman"/>
                <w:color w:val="auto"/>
                <w:spacing w:val="0"/>
                <w:position w:val="0"/>
                <w:sz w:val="24"/>
                <w:lang w:val="en-US" w:eastAsia="zh-CN"/>
              </w:rPr>
              <w:t>。</w:t>
            </w:r>
          </w:p>
          <w:p w14:paraId="6B540878">
            <w:pPr>
              <w:pStyle w:val="2"/>
              <w:keepNext w:val="0"/>
              <w:keepLines w:val="0"/>
              <w:pageBreakBefore w:val="0"/>
              <w:kinsoku/>
              <w:wordWrap/>
              <w:overflowPunct/>
              <w:topLinePunct w:val="0"/>
              <w:autoSpaceDE/>
              <w:autoSpaceDN/>
              <w:bidi w:val="0"/>
              <w:snapToGrid/>
              <w:spacing w:before="0" w:after="0" w:line="480" w:lineRule="atLeast"/>
              <w:ind w:right="0"/>
              <w:textAlignment w:val="auto"/>
              <w:rPr>
                <w:rFonts w:hint="default" w:ascii="Times New Roman" w:hAnsi="Times New Roman" w:cs="Times New Roman"/>
                <w:b/>
                <w:caps w:val="0"/>
                <w:color w:val="auto"/>
                <w:spacing w:val="0"/>
                <w:w w:val="100"/>
                <w:position w:val="0"/>
                <w:sz w:val="24"/>
                <w:szCs w:val="24"/>
              </w:rPr>
            </w:pPr>
            <w:bookmarkStart w:id="9" w:name="_Toc24656"/>
            <w:bookmarkStart w:id="10" w:name="_Toc4239"/>
            <w:bookmarkStart w:id="11" w:name="_Toc7206"/>
            <w:r>
              <w:rPr>
                <w:rFonts w:hint="default" w:ascii="Times New Roman" w:hAnsi="Times New Roman" w:cs="Times New Roman"/>
                <w:b/>
                <w:caps w:val="0"/>
                <w:color w:val="auto"/>
                <w:spacing w:val="0"/>
                <w:w w:val="100"/>
                <w:position w:val="0"/>
                <w:sz w:val="24"/>
                <w:szCs w:val="24"/>
              </w:rPr>
              <w:t>3、声环境质量现状</w:t>
            </w:r>
          </w:p>
          <w:p w14:paraId="7BDBB538">
            <w:pPr>
              <w:keepNext w:val="0"/>
              <w:keepLines w:val="0"/>
              <w:pageBreakBefore w:val="0"/>
              <w:widowControl w:val="0"/>
              <w:kinsoku/>
              <w:wordWrap/>
              <w:overflowPunct/>
              <w:topLinePunct w:val="0"/>
              <w:autoSpaceDE/>
              <w:autoSpaceDN/>
              <w:bidi w:val="0"/>
              <w:adjustRightInd w:val="0"/>
              <w:snapToGrid/>
              <w:spacing w:line="480" w:lineRule="atLeast"/>
              <w:ind w:right="0" w:firstLine="480" w:firstLineChars="200"/>
              <w:textAlignment w:val="auto"/>
              <w:rPr>
                <w:rFonts w:hint="default" w:ascii="Times New Roman" w:hAnsi="Times New Roman" w:eastAsia="宋体" w:cs="Times New Roman"/>
                <w:caps w:val="0"/>
                <w:smallCaps w:val="0"/>
                <w:color w:val="auto"/>
                <w:spacing w:val="0"/>
                <w:w w:val="100"/>
                <w:kern w:val="0"/>
                <w:position w:val="0"/>
                <w:sz w:val="24"/>
                <w:szCs w:val="32"/>
                <w:highlight w:val="none"/>
              </w:rPr>
            </w:pPr>
            <w:r>
              <w:rPr>
                <w:rFonts w:hint="default" w:ascii="Times New Roman" w:hAnsi="Times New Roman" w:cs="Times New Roman"/>
                <w:caps w:val="0"/>
                <w:color w:val="auto"/>
                <w:spacing w:val="0"/>
                <w:w w:val="100"/>
                <w:position w:val="0"/>
                <w:sz w:val="24"/>
              </w:rPr>
              <w:t>项目选址厂界周边50米范围内不存在声环境保护目标，故无需进行声环境质量现状监测。</w:t>
            </w:r>
          </w:p>
          <w:bookmarkEnd w:id="9"/>
          <w:bookmarkEnd w:id="10"/>
          <w:bookmarkEnd w:id="11"/>
          <w:p w14:paraId="5BE95268">
            <w:pPr>
              <w:keepNext w:val="0"/>
              <w:keepLines w:val="0"/>
              <w:pageBreakBefore w:val="0"/>
              <w:widowControl w:val="0"/>
              <w:kinsoku/>
              <w:wordWrap/>
              <w:overflowPunct/>
              <w:topLinePunct w:val="0"/>
              <w:autoSpaceDE/>
              <w:autoSpaceDN/>
              <w:bidi w:val="0"/>
              <w:adjustRightInd w:val="0"/>
              <w:snapToGrid/>
              <w:spacing w:line="480" w:lineRule="atLeast"/>
              <w:ind w:right="0"/>
              <w:textAlignment w:val="auto"/>
              <w:rPr>
                <w:rFonts w:hint="default" w:ascii="Times New Roman" w:hAnsi="Times New Roman" w:eastAsia="宋体" w:cs="Times New Roman"/>
                <w:caps w:val="0"/>
                <w:color w:val="auto"/>
                <w:spacing w:val="0"/>
                <w:w w:val="100"/>
                <w:kern w:val="0"/>
                <w:position w:val="0"/>
                <w:sz w:val="24"/>
                <w:lang w:val="en-US" w:eastAsia="zh-CN"/>
              </w:rPr>
            </w:pPr>
            <w:r>
              <w:rPr>
                <w:rFonts w:hint="default" w:ascii="Times New Roman" w:hAnsi="Times New Roman" w:eastAsia="宋体" w:cs="Times New Roman"/>
                <w:b/>
                <w:bCs/>
                <w:caps w:val="0"/>
                <w:color w:val="auto"/>
                <w:spacing w:val="0"/>
                <w:w w:val="100"/>
                <w:kern w:val="0"/>
                <w:position w:val="0"/>
                <w:sz w:val="24"/>
                <w:lang w:val="en-US" w:eastAsia="zh-CN"/>
              </w:rPr>
              <w:t>4、生态环境质量现状</w:t>
            </w:r>
          </w:p>
          <w:p w14:paraId="542E91D0">
            <w:pPr>
              <w:keepNext w:val="0"/>
              <w:keepLines w:val="0"/>
              <w:pageBreakBefore w:val="0"/>
              <w:widowControl w:val="0"/>
              <w:kinsoku/>
              <w:wordWrap/>
              <w:overflowPunct/>
              <w:topLinePunct w:val="0"/>
              <w:autoSpaceDE/>
              <w:autoSpaceDN/>
              <w:bidi w:val="0"/>
              <w:adjustRightInd w:val="0"/>
              <w:snapToGrid/>
              <w:spacing w:line="480" w:lineRule="atLeast"/>
              <w:ind w:right="0" w:firstLine="480" w:firstLineChars="200"/>
              <w:textAlignment w:val="auto"/>
              <w:rPr>
                <w:rFonts w:hint="default" w:ascii="Times New Roman" w:hAnsi="Times New Roman" w:eastAsia="宋体" w:cs="Times New Roman"/>
                <w:caps w:val="0"/>
                <w:color w:val="auto"/>
                <w:spacing w:val="0"/>
                <w:w w:val="100"/>
                <w:kern w:val="0"/>
                <w:position w:val="0"/>
                <w:sz w:val="24"/>
                <w:lang w:val="en-US" w:eastAsia="zh-CN"/>
              </w:rPr>
            </w:pPr>
            <w:r>
              <w:rPr>
                <w:rFonts w:hint="default" w:ascii="Times New Roman" w:hAnsi="Times New Roman" w:eastAsia="宋体" w:cs="Times New Roman"/>
                <w:color w:val="auto"/>
                <w:spacing w:val="0"/>
                <w:position w:val="0"/>
                <w:sz w:val="24"/>
                <w:lang w:val="en-US" w:eastAsia="zh-CN"/>
              </w:rPr>
              <w:t>根据</w:t>
            </w:r>
            <w:r>
              <w:rPr>
                <w:rFonts w:hint="default" w:ascii="Times New Roman" w:hAnsi="Times New Roman" w:cs="Times New Roman"/>
                <w:caps w:val="0"/>
                <w:color w:val="auto"/>
                <w:spacing w:val="0"/>
                <w:w w:val="100"/>
                <w:position w:val="0"/>
                <w:sz w:val="24"/>
              </w:rPr>
              <w:t>《建设项目环境影响报告表编制技术指南</w:t>
            </w:r>
            <w:r>
              <w:rPr>
                <w:rFonts w:hint="eastAsia" w:cs="Times New Roman"/>
                <w:caps w:val="0"/>
                <w:color w:val="auto"/>
                <w:spacing w:val="0"/>
                <w:w w:val="100"/>
                <w:position w:val="0"/>
                <w:sz w:val="24"/>
                <w:lang w:eastAsia="zh-CN"/>
              </w:rPr>
              <w:t>（</w:t>
            </w:r>
            <w:r>
              <w:rPr>
                <w:rFonts w:hint="default" w:ascii="Times New Roman" w:hAnsi="Times New Roman" w:cs="Times New Roman"/>
                <w:caps w:val="0"/>
                <w:color w:val="auto"/>
                <w:spacing w:val="0"/>
                <w:w w:val="100"/>
                <w:position w:val="0"/>
                <w:sz w:val="24"/>
              </w:rPr>
              <w:t>污染影响类）》</w:t>
            </w:r>
            <w:r>
              <w:rPr>
                <w:rFonts w:hint="eastAsia" w:cs="Times New Roman"/>
                <w:caps w:val="0"/>
                <w:color w:val="auto"/>
                <w:spacing w:val="0"/>
                <w:w w:val="100"/>
                <w:position w:val="0"/>
                <w:sz w:val="24"/>
                <w:lang w:eastAsia="zh-CN"/>
              </w:rPr>
              <w:t>（</w:t>
            </w:r>
            <w:r>
              <w:rPr>
                <w:rFonts w:hint="default" w:ascii="Times New Roman" w:hAnsi="Times New Roman" w:cs="Times New Roman"/>
                <w:caps w:val="0"/>
                <w:color w:val="auto"/>
                <w:spacing w:val="0"/>
                <w:w w:val="100"/>
                <w:position w:val="0"/>
                <w:sz w:val="24"/>
              </w:rPr>
              <w:t>试行）</w:t>
            </w:r>
            <w:r>
              <w:rPr>
                <w:rFonts w:hint="default" w:ascii="Times New Roman" w:hAnsi="Times New Roman" w:eastAsia="宋体" w:cs="Times New Roman"/>
                <w:color w:val="auto"/>
                <w:spacing w:val="0"/>
                <w:position w:val="0"/>
                <w:sz w:val="24"/>
                <w:lang w:val="en-US" w:eastAsia="zh-CN"/>
              </w:rPr>
              <w:t>，</w:t>
            </w:r>
            <w:r>
              <w:rPr>
                <w:rFonts w:hint="default" w:ascii="Times New Roman" w:hAnsi="Times New Roman" w:eastAsia="宋体" w:cs="Times New Roman"/>
                <w:caps w:val="0"/>
                <w:color w:val="auto"/>
                <w:spacing w:val="0"/>
                <w:w w:val="100"/>
                <w:kern w:val="0"/>
                <w:position w:val="0"/>
                <w:sz w:val="24"/>
                <w:lang w:val="en-US" w:eastAsia="zh-CN"/>
              </w:rPr>
              <w:t>产业园区外建设项目新增用地且用地范围内含有生态环境保护目标时，应进行生态现状调查。本项目选址位于</w:t>
            </w:r>
            <w:r>
              <w:rPr>
                <w:rFonts w:hint="eastAsia"/>
                <w:color w:val="auto"/>
                <w:spacing w:val="0"/>
                <w:position w:val="0"/>
                <w:sz w:val="24"/>
                <w:lang w:val="en-US" w:eastAsia="zh-CN"/>
              </w:rPr>
              <w:t>皖江江南新兴产业集中区</w:t>
            </w:r>
            <w:r>
              <w:rPr>
                <w:rFonts w:hint="default" w:ascii="Times New Roman" w:hAnsi="Times New Roman" w:cs="Times New Roman"/>
                <w:color w:val="auto"/>
                <w:spacing w:val="0"/>
                <w:position w:val="0"/>
                <w:sz w:val="24"/>
                <w:lang w:val="en-US" w:eastAsia="zh-CN"/>
              </w:rPr>
              <w:t>，</w:t>
            </w:r>
            <w:r>
              <w:rPr>
                <w:rFonts w:hint="default" w:ascii="Times New Roman" w:hAnsi="Times New Roman" w:eastAsia="宋体" w:cs="Times New Roman"/>
                <w:caps w:val="0"/>
                <w:color w:val="auto"/>
                <w:spacing w:val="0"/>
                <w:w w:val="100"/>
                <w:kern w:val="0"/>
                <w:position w:val="0"/>
                <w:sz w:val="24"/>
                <w:lang w:val="en-US" w:eastAsia="zh-CN"/>
              </w:rPr>
              <w:t>用地范围内</w:t>
            </w:r>
            <w:r>
              <w:rPr>
                <w:rFonts w:hint="eastAsia" w:ascii="Times New Roman" w:hAnsi="Times New Roman" w:eastAsia="宋体" w:cs="Times New Roman"/>
                <w:caps w:val="0"/>
                <w:color w:val="auto"/>
                <w:spacing w:val="0"/>
                <w:w w:val="100"/>
                <w:kern w:val="0"/>
                <w:position w:val="0"/>
                <w:sz w:val="24"/>
                <w:lang w:val="en-US" w:eastAsia="zh-CN"/>
              </w:rPr>
              <w:t>不含</w:t>
            </w:r>
            <w:r>
              <w:rPr>
                <w:rFonts w:hint="default" w:ascii="Times New Roman" w:hAnsi="Times New Roman" w:eastAsia="宋体" w:cs="Times New Roman"/>
                <w:caps w:val="0"/>
                <w:color w:val="auto"/>
                <w:spacing w:val="0"/>
                <w:w w:val="100"/>
                <w:kern w:val="0"/>
                <w:position w:val="0"/>
                <w:sz w:val="24"/>
                <w:lang w:val="en-US" w:eastAsia="zh-CN"/>
              </w:rPr>
              <w:t>生态环境保护目标</w:t>
            </w:r>
            <w:r>
              <w:rPr>
                <w:rFonts w:hint="eastAsia" w:ascii="Times New Roman" w:hAnsi="Times New Roman" w:eastAsia="宋体" w:cs="Times New Roman"/>
                <w:caps w:val="0"/>
                <w:color w:val="auto"/>
                <w:spacing w:val="0"/>
                <w:w w:val="100"/>
                <w:kern w:val="0"/>
                <w:position w:val="0"/>
                <w:sz w:val="24"/>
                <w:lang w:val="en-US" w:eastAsia="zh-CN"/>
              </w:rPr>
              <w:t>，</w:t>
            </w:r>
            <w:r>
              <w:rPr>
                <w:rFonts w:hint="default" w:ascii="Times New Roman" w:hAnsi="Times New Roman" w:cs="Times New Roman"/>
                <w:color w:val="auto"/>
                <w:spacing w:val="0"/>
                <w:position w:val="0"/>
                <w:sz w:val="24"/>
                <w:lang w:val="en-US" w:eastAsia="zh-CN"/>
              </w:rPr>
              <w:t>因此不进行生态现状调查。</w:t>
            </w:r>
          </w:p>
          <w:p w14:paraId="5947310E">
            <w:pPr>
              <w:keepNext w:val="0"/>
              <w:keepLines w:val="0"/>
              <w:pageBreakBefore w:val="0"/>
              <w:widowControl w:val="0"/>
              <w:kinsoku/>
              <w:wordWrap/>
              <w:overflowPunct/>
              <w:topLinePunct w:val="0"/>
              <w:autoSpaceDE/>
              <w:autoSpaceDN/>
              <w:bidi w:val="0"/>
              <w:adjustRightInd w:val="0"/>
              <w:snapToGrid/>
              <w:spacing w:line="480" w:lineRule="atLeast"/>
              <w:ind w:right="0"/>
              <w:textAlignment w:val="auto"/>
              <w:rPr>
                <w:rFonts w:hint="default" w:ascii="Times New Roman" w:hAnsi="Times New Roman" w:eastAsia="宋体" w:cs="Times New Roman"/>
                <w:b/>
                <w:bCs/>
                <w:caps w:val="0"/>
                <w:color w:val="auto"/>
                <w:spacing w:val="0"/>
                <w:w w:val="100"/>
                <w:kern w:val="0"/>
                <w:position w:val="0"/>
                <w:sz w:val="24"/>
                <w:lang w:val="en-US" w:eastAsia="zh-CN"/>
              </w:rPr>
            </w:pPr>
            <w:r>
              <w:rPr>
                <w:rFonts w:hint="eastAsia" w:ascii="Times New Roman" w:hAnsi="Times New Roman" w:eastAsia="宋体" w:cs="Times New Roman"/>
                <w:b/>
                <w:bCs/>
                <w:caps w:val="0"/>
                <w:color w:val="auto"/>
                <w:spacing w:val="0"/>
                <w:w w:val="100"/>
                <w:kern w:val="0"/>
                <w:position w:val="0"/>
                <w:sz w:val="24"/>
                <w:lang w:val="en-US" w:eastAsia="zh-CN"/>
              </w:rPr>
              <w:t>5、电磁辐射</w:t>
            </w:r>
          </w:p>
          <w:p w14:paraId="2970C7A2">
            <w:pPr>
              <w:keepNext w:val="0"/>
              <w:keepLines w:val="0"/>
              <w:pageBreakBefore w:val="0"/>
              <w:widowControl w:val="0"/>
              <w:kinsoku/>
              <w:wordWrap/>
              <w:overflowPunct/>
              <w:topLinePunct w:val="0"/>
              <w:autoSpaceDE/>
              <w:autoSpaceDN/>
              <w:bidi w:val="0"/>
              <w:adjustRightInd w:val="0"/>
              <w:snapToGrid/>
              <w:spacing w:line="480" w:lineRule="atLeast"/>
              <w:ind w:right="0" w:firstLine="480" w:firstLineChars="200"/>
              <w:textAlignment w:val="auto"/>
              <w:rPr>
                <w:rFonts w:hint="default" w:ascii="Times New Roman" w:hAnsi="Times New Roman" w:eastAsia="宋体" w:cs="Times New Roman"/>
                <w:caps w:val="0"/>
                <w:color w:val="auto"/>
                <w:spacing w:val="0"/>
                <w:w w:val="100"/>
                <w:kern w:val="0"/>
                <w:position w:val="0"/>
                <w:sz w:val="24"/>
                <w:lang w:val="en-US" w:eastAsia="zh-CN"/>
              </w:rPr>
            </w:pPr>
            <w:r>
              <w:rPr>
                <w:rFonts w:hint="default" w:ascii="Times New Roman" w:hAnsi="Times New Roman" w:eastAsia="宋体" w:cs="Times New Roman"/>
                <w:caps w:val="0"/>
                <w:color w:val="auto"/>
                <w:spacing w:val="0"/>
                <w:w w:val="100"/>
                <w:kern w:val="0"/>
                <w:position w:val="0"/>
                <w:sz w:val="24"/>
                <w:lang w:val="en-US" w:eastAsia="zh-CN"/>
              </w:rPr>
              <w:t>项目不涉及电磁辐射，故不进行电磁辐射现状监测与评价。</w:t>
            </w:r>
          </w:p>
          <w:p w14:paraId="63CA7A52">
            <w:pPr>
              <w:adjustRightInd w:val="0"/>
              <w:spacing w:line="480" w:lineRule="exact"/>
              <w:rPr>
                <w:rFonts w:hint="default" w:ascii="Times New Roman" w:hAnsi="Times New Roman" w:eastAsia="宋体" w:cs="Times New Roman"/>
                <w:b/>
                <w:bCs/>
                <w:color w:val="auto"/>
                <w:spacing w:val="0"/>
                <w:position w:val="0"/>
                <w:sz w:val="24"/>
              </w:rPr>
            </w:pPr>
            <w:r>
              <w:rPr>
                <w:rFonts w:hint="eastAsia" w:cs="Times New Roman"/>
                <w:b/>
                <w:bCs/>
                <w:color w:val="auto"/>
                <w:spacing w:val="0"/>
                <w:position w:val="0"/>
                <w:sz w:val="24"/>
                <w:lang w:val="en-US" w:eastAsia="zh-CN"/>
              </w:rPr>
              <w:t>6</w:t>
            </w:r>
            <w:r>
              <w:rPr>
                <w:rFonts w:hint="default" w:ascii="Times New Roman" w:hAnsi="Times New Roman" w:eastAsia="宋体" w:cs="Times New Roman"/>
                <w:b/>
                <w:bCs/>
                <w:color w:val="auto"/>
                <w:spacing w:val="0"/>
                <w:position w:val="0"/>
                <w:sz w:val="24"/>
              </w:rPr>
              <w:t xml:space="preserve">、地下水、土壤 </w:t>
            </w:r>
          </w:p>
          <w:p w14:paraId="03BB6F2C">
            <w:pPr>
              <w:keepNext w:val="0"/>
              <w:keepLines w:val="0"/>
              <w:pageBreakBefore w:val="0"/>
              <w:widowControl w:val="0"/>
              <w:kinsoku/>
              <w:wordWrap/>
              <w:overflowPunct/>
              <w:topLinePunct w:val="0"/>
              <w:autoSpaceDE/>
              <w:autoSpaceDN/>
              <w:bidi w:val="0"/>
              <w:adjustRightInd w:val="0"/>
              <w:snapToGrid/>
              <w:spacing w:line="480" w:lineRule="atLeast"/>
              <w:ind w:right="0" w:firstLine="480" w:firstLineChars="200"/>
              <w:textAlignment w:val="auto"/>
              <w:rPr>
                <w:rFonts w:hint="eastAsia" w:ascii="Times New Roman" w:hAnsi="Times New Roman" w:eastAsia="宋体" w:cs="Times New Roman"/>
                <w:caps w:val="0"/>
                <w:color w:val="auto"/>
                <w:spacing w:val="0"/>
                <w:w w:val="100"/>
                <w:kern w:val="0"/>
                <w:position w:val="0"/>
                <w:sz w:val="24"/>
                <w:lang w:val="en-US" w:eastAsia="zh-CN"/>
              </w:rPr>
            </w:pPr>
            <w:r>
              <w:rPr>
                <w:rFonts w:hint="default" w:ascii="Times New Roman" w:hAnsi="Times New Roman" w:eastAsia="宋体" w:cs="Times New Roman"/>
                <w:color w:val="auto"/>
                <w:spacing w:val="0"/>
                <w:position w:val="0"/>
                <w:sz w:val="24"/>
                <w:lang w:val="en-US" w:eastAsia="zh-CN"/>
              </w:rPr>
              <w:t>根据</w:t>
            </w:r>
            <w:r>
              <w:rPr>
                <w:rFonts w:hint="default" w:ascii="Times New Roman" w:hAnsi="Times New Roman" w:cs="Times New Roman"/>
                <w:caps w:val="0"/>
                <w:color w:val="auto"/>
                <w:spacing w:val="0"/>
                <w:w w:val="100"/>
                <w:position w:val="0"/>
                <w:sz w:val="24"/>
              </w:rPr>
              <w:t>《建设项目环境影响报告表编制技术指南（污染影响类）》（试行）</w:t>
            </w:r>
            <w:r>
              <w:rPr>
                <w:rFonts w:hint="default" w:ascii="Times New Roman" w:hAnsi="Times New Roman" w:eastAsia="宋体" w:cs="Times New Roman"/>
                <w:color w:val="auto"/>
                <w:spacing w:val="0"/>
                <w:position w:val="0"/>
                <w:sz w:val="24"/>
                <w:lang w:val="en-US" w:eastAsia="zh-CN"/>
              </w:rPr>
              <w:t>，</w:t>
            </w:r>
            <w:r>
              <w:rPr>
                <w:rFonts w:hint="eastAsia" w:ascii="Times New Roman" w:hAnsi="Times New Roman" w:eastAsia="宋体" w:cs="Times New Roman"/>
                <w:caps w:val="0"/>
                <w:color w:val="auto"/>
                <w:spacing w:val="0"/>
                <w:w w:val="100"/>
                <w:kern w:val="0"/>
                <w:position w:val="0"/>
                <w:sz w:val="24"/>
                <w:lang w:val="en-US" w:eastAsia="zh-CN"/>
              </w:rPr>
              <w:t>地下水、土壤环境。原则上不开展环境质量现状调查。建设项目存在土壤、地下水环境污染途径的，应结合污染源、保护目标分布情况开展现状调查以留作背景值。</w:t>
            </w:r>
          </w:p>
          <w:p w14:paraId="4515779E">
            <w:pPr>
              <w:pStyle w:val="2"/>
              <w:keepNext w:val="0"/>
              <w:keepLines w:val="0"/>
              <w:pageBreakBefore w:val="0"/>
              <w:kinsoku/>
              <w:wordWrap/>
              <w:overflowPunct/>
              <w:topLinePunct w:val="0"/>
              <w:autoSpaceDE/>
              <w:autoSpaceDN/>
              <w:bidi w:val="0"/>
              <w:snapToGrid/>
              <w:spacing w:before="0" w:after="0" w:line="480" w:lineRule="exact"/>
              <w:ind w:right="0" w:firstLine="480" w:firstLineChars="200"/>
              <w:textAlignment w:val="auto"/>
              <w:rPr>
                <w:rFonts w:hint="default" w:ascii="Times New Roman" w:hAnsi="Times New Roman" w:eastAsia="宋体" w:cs="Times New Roman"/>
                <w:color w:val="auto"/>
                <w:spacing w:val="0"/>
                <w:kern w:val="2"/>
                <w:position w:val="0"/>
                <w:sz w:val="24"/>
                <w:szCs w:val="24"/>
                <w:lang w:val="en-US" w:eastAsia="zh-CN" w:bidi="ar-SA"/>
              </w:rPr>
            </w:pPr>
            <w:r>
              <w:rPr>
                <w:rFonts w:hint="eastAsia" w:ascii="Times New Roman" w:cs="Times New Roman"/>
                <w:color w:val="auto"/>
                <w:spacing w:val="0"/>
                <w:kern w:val="2"/>
                <w:position w:val="0"/>
                <w:sz w:val="24"/>
                <w:szCs w:val="24"/>
                <w:lang w:val="en-US" w:eastAsia="zh-CN" w:bidi="ar-SA"/>
              </w:rPr>
              <w:t>（1）地下水</w:t>
            </w:r>
          </w:p>
          <w:p w14:paraId="6CC1C44E">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eastAsia" w:ascii="Times New Roman" w:hAnsi="Times New Roman" w:eastAsia="宋体" w:cs="Times New Roman"/>
                <w:caps w:val="0"/>
                <w:color w:val="auto"/>
                <w:spacing w:val="0"/>
                <w:w w:val="100"/>
                <w:kern w:val="0"/>
                <w:position w:val="0"/>
                <w:sz w:val="24"/>
                <w:lang w:val="en-US" w:eastAsia="zh-CN"/>
              </w:rPr>
            </w:pPr>
            <w:r>
              <w:rPr>
                <w:rFonts w:hint="default" w:ascii="Times New Roman" w:hAnsi="Times New Roman" w:eastAsia="宋体" w:cs="Times New Roman"/>
                <w:caps w:val="0"/>
                <w:color w:val="auto"/>
                <w:spacing w:val="0"/>
                <w:w w:val="100"/>
                <w:kern w:val="2"/>
                <w:position w:val="0"/>
                <w:sz w:val="24"/>
                <w:szCs w:val="24"/>
                <w:lang w:val="en-US" w:eastAsia="zh-CN" w:bidi="ar-SA"/>
              </w:rPr>
              <w:t>①</w:t>
            </w:r>
            <w:r>
              <w:rPr>
                <w:rFonts w:hint="eastAsia" w:ascii="Times New Roman" w:hAnsi="Times New Roman" w:eastAsia="宋体" w:cs="Times New Roman"/>
                <w:caps w:val="0"/>
                <w:color w:val="auto"/>
                <w:spacing w:val="0"/>
                <w:w w:val="100"/>
                <w:kern w:val="2"/>
                <w:position w:val="0"/>
                <w:sz w:val="24"/>
                <w:szCs w:val="24"/>
                <w:lang w:val="en-US" w:eastAsia="zh-CN" w:bidi="ar-SA"/>
              </w:rPr>
              <w:t>监测内容</w:t>
            </w:r>
          </w:p>
          <w:p w14:paraId="0E84F63A">
            <w:pPr>
              <w:pStyle w:val="2"/>
              <w:keepNext w:val="0"/>
              <w:keepLines w:val="0"/>
              <w:pageBreakBefore w:val="0"/>
              <w:kinsoku/>
              <w:wordWrap/>
              <w:overflowPunct/>
              <w:topLinePunct w:val="0"/>
              <w:autoSpaceDE/>
              <w:autoSpaceDN/>
              <w:bidi w:val="0"/>
              <w:snapToGrid/>
              <w:spacing w:before="0" w:after="0" w:line="480" w:lineRule="exact"/>
              <w:ind w:right="0" w:firstLine="480" w:firstLineChars="200"/>
              <w:textAlignment w:val="auto"/>
              <w:rPr>
                <w:rFonts w:hint="default" w:ascii="Times New Roman" w:hAnsi="Times New Roman" w:eastAsia="宋体" w:cs="Times New Roman"/>
                <w:color w:val="auto"/>
                <w:spacing w:val="0"/>
                <w:kern w:val="2"/>
                <w:position w:val="0"/>
                <w:sz w:val="24"/>
                <w:szCs w:val="24"/>
                <w:lang w:val="en-US" w:eastAsia="zh-CN" w:bidi="ar-SA"/>
              </w:rPr>
            </w:pPr>
            <w:r>
              <w:rPr>
                <w:rFonts w:hint="eastAsia" w:ascii="Times New Roman" w:hAnsi="Times New Roman" w:eastAsia="宋体" w:cs="Times New Roman"/>
                <w:caps w:val="0"/>
                <w:color w:val="auto"/>
                <w:spacing w:val="0"/>
                <w:w w:val="100"/>
                <w:kern w:val="0"/>
                <w:position w:val="0"/>
                <w:sz w:val="24"/>
                <w:lang w:val="en-US" w:eastAsia="zh-CN"/>
              </w:rPr>
              <w:t>为了解区域地下水环境质量状况，本次评价对项目厂房北侧拟建</w:t>
            </w:r>
            <w:r>
              <w:rPr>
                <w:rFonts w:hint="eastAsia" w:ascii="Times New Roman" w:cs="Times New Roman"/>
                <w:caps w:val="0"/>
                <w:color w:val="auto"/>
                <w:spacing w:val="0"/>
                <w:w w:val="100"/>
                <w:kern w:val="0"/>
                <w:position w:val="0"/>
                <w:sz w:val="24"/>
                <w:lang w:val="en-US" w:eastAsia="zh-CN"/>
              </w:rPr>
              <w:t>污水处理池</w:t>
            </w:r>
            <w:r>
              <w:rPr>
                <w:rFonts w:hint="eastAsia" w:ascii="Times New Roman" w:hAnsi="Times New Roman" w:eastAsia="宋体" w:cs="Times New Roman"/>
                <w:caps w:val="0"/>
                <w:color w:val="auto"/>
                <w:spacing w:val="0"/>
                <w:w w:val="100"/>
                <w:kern w:val="0"/>
                <w:position w:val="0"/>
                <w:sz w:val="24"/>
                <w:lang w:val="en-US" w:eastAsia="zh-CN"/>
              </w:rPr>
              <w:t>区域设置一个地下水监测点位。</w:t>
            </w:r>
          </w:p>
          <w:p w14:paraId="4D084FE8">
            <w:pPr>
              <w:keepNext w:val="0"/>
              <w:keepLines w:val="0"/>
              <w:pageBreakBefore w:val="0"/>
              <w:widowControl w:val="0"/>
              <w:numPr>
                <w:ilvl w:val="0"/>
                <w:numId w:val="0"/>
              </w:numPr>
              <w:kinsoku/>
              <w:wordWrap/>
              <w:overflowPunct/>
              <w:topLinePunct w:val="0"/>
              <w:autoSpaceDE/>
              <w:autoSpaceDN/>
              <w:bidi w:val="0"/>
              <w:adjustRightInd/>
              <w:snapToGrid/>
              <w:spacing w:line="480" w:lineRule="atLeast"/>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表</w:t>
            </w:r>
            <w:r>
              <w:rPr>
                <w:rFonts w:hint="eastAsia" w:cs="Times New Roman"/>
                <w:b/>
                <w:bCs/>
                <w:sz w:val="21"/>
                <w:szCs w:val="21"/>
                <w:lang w:val="en-US" w:eastAsia="zh-CN"/>
              </w:rPr>
              <w:t>3-5</w:t>
            </w:r>
            <w:r>
              <w:rPr>
                <w:rFonts w:hint="eastAsia" w:ascii="Times New Roman" w:hAnsi="Times New Roman" w:eastAsia="宋体" w:cs="Times New Roman"/>
                <w:b/>
                <w:bCs/>
                <w:sz w:val="21"/>
                <w:szCs w:val="21"/>
                <w:lang w:val="en-US" w:eastAsia="zh-CN"/>
              </w:rPr>
              <w:t xml:space="preserve">  地下水环境质量现状监测内容一览表</w:t>
            </w:r>
          </w:p>
          <w:tbl>
            <w:tblPr>
              <w:tblStyle w:val="2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3"/>
              <w:gridCol w:w="1083"/>
              <w:gridCol w:w="2526"/>
              <w:gridCol w:w="920"/>
              <w:gridCol w:w="4097"/>
            </w:tblGrid>
            <w:tr w14:paraId="2D6DB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blHeader/>
                <w:jc w:val="center"/>
              </w:trPr>
              <w:tc>
                <w:tcPr>
                  <w:tcW w:w="388" w:type="pct"/>
                  <w:tcBorders>
                    <w:tl2br w:val="nil"/>
                    <w:tr2bl w:val="nil"/>
                  </w:tcBorders>
                  <w:vAlign w:val="center"/>
                </w:tcPr>
                <w:p w14:paraId="5646771B">
                  <w:pPr>
                    <w:keepNext w:val="0"/>
                    <w:keepLines w:val="0"/>
                    <w:pageBreakBefore w:val="0"/>
                    <w:widowControl/>
                    <w:kinsoku/>
                    <w:wordWrap/>
                    <w:overflowPunct/>
                    <w:topLinePunct w:val="0"/>
                    <w:autoSpaceDE/>
                    <w:autoSpaceDN/>
                    <w:bidi w:val="0"/>
                    <w:spacing w:line="240" w:lineRule="auto"/>
                    <w:ind w:firstLine="0" w:firstLineChars="0"/>
                    <w:jc w:val="center"/>
                    <w:textAlignment w:val="auto"/>
                    <w:rPr>
                      <w:b/>
                      <w:bCs/>
                      <w:color w:val="auto"/>
                      <w:sz w:val="21"/>
                      <w:szCs w:val="21"/>
                    </w:rPr>
                  </w:pPr>
                  <w:r>
                    <w:rPr>
                      <w:rFonts w:hint="eastAsia"/>
                      <w:b/>
                      <w:bCs/>
                      <w:color w:val="auto"/>
                      <w:sz w:val="21"/>
                      <w:szCs w:val="21"/>
                      <w:lang w:val="en-US" w:eastAsia="zh-CN"/>
                    </w:rPr>
                    <w:t>点位</w:t>
                  </w:r>
                </w:p>
              </w:tc>
              <w:tc>
                <w:tcPr>
                  <w:tcW w:w="744" w:type="pct"/>
                  <w:tcBorders>
                    <w:tl2br w:val="nil"/>
                    <w:tr2bl w:val="nil"/>
                  </w:tcBorders>
                  <w:vAlign w:val="center"/>
                </w:tcPr>
                <w:p w14:paraId="27DC9595">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eastAsia="宋体"/>
                      <w:b/>
                      <w:bCs/>
                      <w:color w:val="auto"/>
                      <w:sz w:val="21"/>
                      <w:szCs w:val="21"/>
                      <w:lang w:val="en-US" w:eastAsia="zh-CN"/>
                    </w:rPr>
                  </w:pPr>
                  <w:r>
                    <w:rPr>
                      <w:rFonts w:hint="eastAsia"/>
                      <w:b/>
                      <w:bCs/>
                      <w:color w:val="auto"/>
                      <w:sz w:val="21"/>
                      <w:szCs w:val="21"/>
                    </w:rPr>
                    <w:t>监测点</w:t>
                  </w:r>
                  <w:r>
                    <w:rPr>
                      <w:rFonts w:hint="eastAsia"/>
                      <w:b/>
                      <w:bCs/>
                      <w:color w:val="auto"/>
                      <w:sz w:val="21"/>
                      <w:szCs w:val="21"/>
                      <w:lang w:val="en-US" w:eastAsia="zh-CN"/>
                    </w:rPr>
                    <w:t>名称</w:t>
                  </w:r>
                </w:p>
              </w:tc>
              <w:tc>
                <w:tcPr>
                  <w:tcW w:w="833" w:type="pct"/>
                  <w:tcBorders>
                    <w:tl2br w:val="nil"/>
                    <w:tr2bl w:val="nil"/>
                  </w:tcBorders>
                  <w:vAlign w:val="center"/>
                </w:tcPr>
                <w:p w14:paraId="630E3366">
                  <w:pPr>
                    <w:keepNext w:val="0"/>
                    <w:keepLines w:val="0"/>
                    <w:pageBreakBefore w:val="0"/>
                    <w:widowControl/>
                    <w:kinsoku/>
                    <w:wordWrap/>
                    <w:overflowPunct/>
                    <w:topLinePunct w:val="0"/>
                    <w:autoSpaceDE/>
                    <w:autoSpaceDN/>
                    <w:bidi w:val="0"/>
                    <w:spacing w:line="240" w:lineRule="auto"/>
                    <w:ind w:firstLine="0" w:firstLineChars="0"/>
                    <w:jc w:val="center"/>
                    <w:textAlignment w:val="auto"/>
                    <w:rPr>
                      <w:b/>
                      <w:bCs/>
                      <w:color w:val="auto"/>
                      <w:sz w:val="21"/>
                      <w:szCs w:val="21"/>
                    </w:rPr>
                  </w:pPr>
                  <w:r>
                    <w:rPr>
                      <w:rFonts w:hint="eastAsia"/>
                      <w:b/>
                      <w:bCs/>
                      <w:color w:val="auto"/>
                      <w:sz w:val="21"/>
                      <w:szCs w:val="21"/>
                      <w:lang w:val="en-US" w:eastAsia="zh-CN"/>
                    </w:rPr>
                    <w:t>经纬</w:t>
                  </w:r>
                  <w:r>
                    <w:rPr>
                      <w:rFonts w:hint="eastAsia"/>
                      <w:b/>
                      <w:bCs/>
                      <w:color w:val="auto"/>
                      <w:sz w:val="21"/>
                      <w:szCs w:val="21"/>
                    </w:rPr>
                    <w:t>度</w:t>
                  </w:r>
                </w:p>
              </w:tc>
              <w:tc>
                <w:tcPr>
                  <w:tcW w:w="644" w:type="pct"/>
                  <w:tcBorders>
                    <w:tl2br w:val="nil"/>
                    <w:tr2bl w:val="nil"/>
                  </w:tcBorders>
                  <w:vAlign w:val="center"/>
                </w:tcPr>
                <w:p w14:paraId="592D5263">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eastAsia="宋体"/>
                      <w:b/>
                      <w:bCs/>
                      <w:color w:val="auto"/>
                      <w:sz w:val="21"/>
                      <w:szCs w:val="21"/>
                      <w:lang w:val="en-US" w:eastAsia="zh-CN"/>
                    </w:rPr>
                  </w:pPr>
                  <w:r>
                    <w:rPr>
                      <w:rFonts w:hint="eastAsia"/>
                      <w:b/>
                      <w:bCs/>
                      <w:color w:val="auto"/>
                      <w:sz w:val="21"/>
                      <w:szCs w:val="21"/>
                      <w:lang w:val="en-US" w:eastAsia="zh-CN"/>
                    </w:rPr>
                    <w:t>监测内容</w:t>
                  </w:r>
                </w:p>
              </w:tc>
              <w:tc>
                <w:tcPr>
                  <w:tcW w:w="2389" w:type="pct"/>
                  <w:tcBorders>
                    <w:tl2br w:val="nil"/>
                    <w:tr2bl w:val="nil"/>
                  </w:tcBorders>
                  <w:vAlign w:val="center"/>
                </w:tcPr>
                <w:p w14:paraId="2A42C1F9">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b/>
                      <w:bCs/>
                      <w:color w:val="auto"/>
                      <w:sz w:val="21"/>
                      <w:szCs w:val="21"/>
                      <w:lang w:val="en-US" w:eastAsia="zh-CN"/>
                    </w:rPr>
                  </w:pPr>
                  <w:r>
                    <w:rPr>
                      <w:rFonts w:hint="eastAsia"/>
                      <w:b/>
                      <w:bCs/>
                      <w:color w:val="auto"/>
                      <w:sz w:val="21"/>
                      <w:szCs w:val="21"/>
                      <w:lang w:val="en-US" w:eastAsia="zh-CN"/>
                    </w:rPr>
                    <w:t>监测因子</w:t>
                  </w:r>
                </w:p>
              </w:tc>
            </w:tr>
            <w:tr w14:paraId="21321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5" w:hRule="atLeast"/>
                <w:jc w:val="center"/>
              </w:trPr>
              <w:tc>
                <w:tcPr>
                  <w:tcW w:w="388" w:type="pct"/>
                  <w:tcBorders>
                    <w:tl2br w:val="nil"/>
                    <w:tr2bl w:val="nil"/>
                  </w:tcBorders>
                  <w:vAlign w:val="center"/>
                </w:tcPr>
                <w:p w14:paraId="714F6175">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D1</w:t>
                  </w:r>
                </w:p>
              </w:tc>
              <w:tc>
                <w:tcPr>
                  <w:tcW w:w="744" w:type="pct"/>
                  <w:tcBorders>
                    <w:tl2br w:val="nil"/>
                    <w:tr2bl w:val="nil"/>
                  </w:tcBorders>
                  <w:vAlign w:val="center"/>
                </w:tcPr>
                <w:p w14:paraId="7CF5EB53">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厂房外北侧（拟建污水处理池处）</w:t>
                  </w:r>
                </w:p>
              </w:tc>
              <w:tc>
                <w:tcPr>
                  <w:tcW w:w="833" w:type="pct"/>
                  <w:tcBorders>
                    <w:tl2br w:val="nil"/>
                    <w:tr2bl w:val="nil"/>
                  </w:tcBorders>
                  <w:vAlign w:val="center"/>
                </w:tcPr>
                <w:p w14:paraId="35696779">
                  <w:pPr>
                    <w:pStyle w:val="23"/>
                    <w:keepNext w:val="0"/>
                    <w:keepLines w:val="0"/>
                    <w:pageBreakBefore w:val="0"/>
                    <w:widowControl/>
                    <w:suppressLineNumbers w:val="0"/>
                    <w:kinsoku/>
                    <w:wordWrap/>
                    <w:overflowPunct/>
                    <w:topLinePunct w:val="0"/>
                    <w:autoSpaceDE/>
                    <w:autoSpaceDN/>
                    <w:bidi w:val="0"/>
                    <w:spacing w:before="0" w:beforeAutospacing="0" w:after="0" w:afterAutospacing="0"/>
                    <w:ind w:left="0" w:right="0" w:firstLine="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117.638890°30.740699°</w:t>
                  </w:r>
                </w:p>
              </w:tc>
              <w:tc>
                <w:tcPr>
                  <w:tcW w:w="644" w:type="pct"/>
                  <w:tcBorders>
                    <w:tl2br w:val="nil"/>
                    <w:tr2bl w:val="nil"/>
                  </w:tcBorders>
                  <w:vAlign w:val="center"/>
                </w:tcPr>
                <w:p w14:paraId="676E5CAD">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水质</w:t>
                  </w:r>
                </w:p>
              </w:tc>
              <w:tc>
                <w:tcPr>
                  <w:tcW w:w="2389" w:type="pct"/>
                  <w:tcBorders>
                    <w:tl2br w:val="nil"/>
                    <w:tr2bl w:val="nil"/>
                  </w:tcBorders>
                  <w:vAlign w:val="center"/>
                </w:tcPr>
                <w:p w14:paraId="29FEC9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color w:val="auto"/>
                      <w:spacing w:val="4"/>
                      <w:sz w:val="21"/>
                      <w:szCs w:val="21"/>
                    </w:rPr>
                  </w:pPr>
                  <w:r>
                    <w:rPr>
                      <w:rFonts w:hint="eastAsia" w:cs="宋体"/>
                      <w:b w:val="0"/>
                      <w:bCs w:val="0"/>
                      <w:color w:val="auto"/>
                      <w:spacing w:val="4"/>
                      <w:sz w:val="21"/>
                      <w:szCs w:val="21"/>
                    </w:rPr>
                    <w:t>①</w:t>
                  </w:r>
                  <w:r>
                    <w:rPr>
                      <w:b w:val="0"/>
                      <w:bCs w:val="0"/>
                      <w:color w:val="auto"/>
                      <w:spacing w:val="4"/>
                      <w:sz w:val="21"/>
                      <w:szCs w:val="21"/>
                    </w:rPr>
                    <w:t>pH、氨氮、硝酸盐、亚硝酸盐、挥发酚类、氰化物、砷、汞、六价铬、铅、氟、镉、铁、锰、高锰酸盐指数、硫酸盐、氯化物、</w:t>
                  </w:r>
                  <w:r>
                    <w:rPr>
                      <w:rFonts w:hint="eastAsia"/>
                      <w:b w:val="0"/>
                      <w:bCs w:val="0"/>
                      <w:color w:val="auto"/>
                      <w:spacing w:val="4"/>
                      <w:sz w:val="21"/>
                      <w:szCs w:val="21"/>
                    </w:rPr>
                    <w:t>总硬度、</w:t>
                  </w:r>
                  <w:r>
                    <w:rPr>
                      <w:b w:val="0"/>
                      <w:bCs w:val="0"/>
                      <w:color w:val="auto"/>
                      <w:spacing w:val="4"/>
                      <w:sz w:val="21"/>
                      <w:szCs w:val="21"/>
                    </w:rPr>
                    <w:t>溶解性总固体等；</w:t>
                  </w:r>
                </w:p>
                <w:p w14:paraId="6B292F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color w:val="auto"/>
                      <w:spacing w:val="4"/>
                      <w:sz w:val="21"/>
                      <w:szCs w:val="21"/>
                    </w:rPr>
                  </w:pPr>
                  <w:r>
                    <w:rPr>
                      <w:rFonts w:hint="eastAsia" w:cs="宋体"/>
                      <w:b w:val="0"/>
                      <w:bCs w:val="0"/>
                      <w:color w:val="auto"/>
                      <w:spacing w:val="4"/>
                      <w:sz w:val="21"/>
                      <w:szCs w:val="21"/>
                    </w:rPr>
                    <w:t>②</w:t>
                  </w:r>
                  <w:r>
                    <w:rPr>
                      <w:b w:val="0"/>
                      <w:bCs w:val="0"/>
                      <w:color w:val="auto"/>
                      <w:spacing w:val="4"/>
                      <w:sz w:val="21"/>
                      <w:szCs w:val="21"/>
                    </w:rPr>
                    <w:t>K</w:t>
                  </w:r>
                  <w:r>
                    <w:rPr>
                      <w:b w:val="0"/>
                      <w:bCs w:val="0"/>
                      <w:color w:val="auto"/>
                      <w:spacing w:val="4"/>
                      <w:sz w:val="21"/>
                      <w:szCs w:val="21"/>
                      <w:vertAlign w:val="superscript"/>
                    </w:rPr>
                    <w:t>+</w:t>
                  </w:r>
                  <w:r>
                    <w:rPr>
                      <w:b w:val="0"/>
                      <w:bCs w:val="0"/>
                      <w:color w:val="auto"/>
                      <w:spacing w:val="4"/>
                      <w:sz w:val="21"/>
                      <w:szCs w:val="21"/>
                    </w:rPr>
                    <w:t>、Na</w:t>
                  </w:r>
                  <w:r>
                    <w:rPr>
                      <w:b w:val="0"/>
                      <w:bCs w:val="0"/>
                      <w:color w:val="auto"/>
                      <w:spacing w:val="4"/>
                      <w:sz w:val="21"/>
                      <w:szCs w:val="21"/>
                      <w:vertAlign w:val="superscript"/>
                    </w:rPr>
                    <w:t>+</w:t>
                  </w:r>
                  <w:r>
                    <w:rPr>
                      <w:b w:val="0"/>
                      <w:bCs w:val="0"/>
                      <w:color w:val="auto"/>
                      <w:spacing w:val="4"/>
                      <w:sz w:val="21"/>
                      <w:szCs w:val="21"/>
                    </w:rPr>
                    <w:t>、Ca</w:t>
                  </w:r>
                  <w:r>
                    <w:rPr>
                      <w:b w:val="0"/>
                      <w:bCs w:val="0"/>
                      <w:color w:val="auto"/>
                      <w:spacing w:val="4"/>
                      <w:sz w:val="21"/>
                      <w:szCs w:val="21"/>
                      <w:vertAlign w:val="superscript"/>
                    </w:rPr>
                    <w:t>2+</w:t>
                  </w:r>
                  <w:r>
                    <w:rPr>
                      <w:b w:val="0"/>
                      <w:bCs w:val="0"/>
                      <w:color w:val="auto"/>
                      <w:spacing w:val="4"/>
                      <w:sz w:val="21"/>
                      <w:szCs w:val="21"/>
                    </w:rPr>
                    <w:t>、Mg</w:t>
                  </w:r>
                  <w:r>
                    <w:rPr>
                      <w:b w:val="0"/>
                      <w:bCs w:val="0"/>
                      <w:color w:val="auto"/>
                      <w:spacing w:val="4"/>
                      <w:sz w:val="21"/>
                      <w:szCs w:val="21"/>
                      <w:vertAlign w:val="superscript"/>
                    </w:rPr>
                    <w:t>2+</w:t>
                  </w:r>
                  <w:r>
                    <w:rPr>
                      <w:b w:val="0"/>
                      <w:bCs w:val="0"/>
                      <w:color w:val="auto"/>
                      <w:spacing w:val="4"/>
                      <w:sz w:val="21"/>
                      <w:szCs w:val="21"/>
                    </w:rPr>
                    <w:t>、CO</w:t>
                  </w:r>
                  <w:r>
                    <w:rPr>
                      <w:b w:val="0"/>
                      <w:bCs w:val="0"/>
                      <w:color w:val="auto"/>
                      <w:spacing w:val="4"/>
                      <w:sz w:val="21"/>
                      <w:szCs w:val="21"/>
                      <w:vertAlign w:val="subscript"/>
                    </w:rPr>
                    <w:t>3</w:t>
                  </w:r>
                  <w:r>
                    <w:rPr>
                      <w:b w:val="0"/>
                      <w:bCs w:val="0"/>
                      <w:color w:val="auto"/>
                      <w:spacing w:val="4"/>
                      <w:sz w:val="21"/>
                      <w:szCs w:val="21"/>
                      <w:vertAlign w:val="superscript"/>
                    </w:rPr>
                    <w:t>2-</w:t>
                  </w:r>
                  <w:r>
                    <w:rPr>
                      <w:b w:val="0"/>
                      <w:bCs w:val="0"/>
                      <w:color w:val="auto"/>
                      <w:spacing w:val="4"/>
                      <w:sz w:val="21"/>
                      <w:szCs w:val="21"/>
                    </w:rPr>
                    <w:t>、HCO</w:t>
                  </w:r>
                  <w:r>
                    <w:rPr>
                      <w:b w:val="0"/>
                      <w:bCs w:val="0"/>
                      <w:color w:val="auto"/>
                      <w:spacing w:val="4"/>
                      <w:sz w:val="21"/>
                      <w:szCs w:val="21"/>
                      <w:vertAlign w:val="subscript"/>
                    </w:rPr>
                    <w:t>3</w:t>
                  </w:r>
                  <w:r>
                    <w:rPr>
                      <w:b w:val="0"/>
                      <w:bCs w:val="0"/>
                      <w:color w:val="auto"/>
                      <w:spacing w:val="4"/>
                      <w:sz w:val="21"/>
                      <w:szCs w:val="21"/>
                      <w:vertAlign w:val="superscript"/>
                    </w:rPr>
                    <w:t>-</w:t>
                  </w:r>
                  <w:r>
                    <w:rPr>
                      <w:b w:val="0"/>
                      <w:bCs w:val="0"/>
                      <w:color w:val="auto"/>
                      <w:spacing w:val="4"/>
                      <w:sz w:val="21"/>
                      <w:szCs w:val="21"/>
                    </w:rPr>
                    <w:t>、Cl</w:t>
                  </w:r>
                  <w:r>
                    <w:rPr>
                      <w:b w:val="0"/>
                      <w:bCs w:val="0"/>
                      <w:color w:val="auto"/>
                      <w:spacing w:val="4"/>
                      <w:sz w:val="21"/>
                      <w:szCs w:val="21"/>
                      <w:vertAlign w:val="superscript"/>
                    </w:rPr>
                    <w:t>-</w:t>
                  </w:r>
                  <w:r>
                    <w:rPr>
                      <w:b w:val="0"/>
                      <w:bCs w:val="0"/>
                      <w:color w:val="auto"/>
                      <w:spacing w:val="4"/>
                      <w:sz w:val="21"/>
                      <w:szCs w:val="21"/>
                    </w:rPr>
                    <w:t>、SO</w:t>
                  </w:r>
                  <w:r>
                    <w:rPr>
                      <w:b w:val="0"/>
                      <w:bCs w:val="0"/>
                      <w:color w:val="auto"/>
                      <w:spacing w:val="4"/>
                      <w:sz w:val="21"/>
                      <w:szCs w:val="21"/>
                      <w:vertAlign w:val="subscript"/>
                    </w:rPr>
                    <w:t>4</w:t>
                  </w:r>
                  <w:r>
                    <w:rPr>
                      <w:b w:val="0"/>
                      <w:bCs w:val="0"/>
                      <w:color w:val="auto"/>
                      <w:spacing w:val="4"/>
                      <w:sz w:val="21"/>
                      <w:szCs w:val="21"/>
                      <w:vertAlign w:val="superscript"/>
                    </w:rPr>
                    <w:t>2-</w:t>
                  </w:r>
                  <w:r>
                    <w:rPr>
                      <w:b w:val="0"/>
                      <w:bCs w:val="0"/>
                      <w:color w:val="auto"/>
                      <w:spacing w:val="4"/>
                      <w:sz w:val="21"/>
                      <w:szCs w:val="21"/>
                    </w:rPr>
                    <w:t>；</w:t>
                  </w:r>
                </w:p>
                <w:p w14:paraId="35802905">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eastAsia="宋体"/>
                      <w:b w:val="0"/>
                      <w:bCs w:val="0"/>
                      <w:color w:val="auto"/>
                      <w:sz w:val="21"/>
                      <w:szCs w:val="21"/>
                      <w:lang w:val="en-US" w:eastAsia="zh-CN"/>
                    </w:rPr>
                  </w:pPr>
                  <w:r>
                    <w:rPr>
                      <w:rFonts w:hint="eastAsia" w:cs="宋体"/>
                      <w:b w:val="0"/>
                      <w:bCs w:val="0"/>
                      <w:color w:val="auto"/>
                      <w:spacing w:val="4"/>
                      <w:sz w:val="21"/>
                      <w:szCs w:val="21"/>
                    </w:rPr>
                    <w:t>③</w:t>
                  </w:r>
                  <w:r>
                    <w:rPr>
                      <w:b w:val="0"/>
                      <w:bCs w:val="0"/>
                      <w:color w:val="auto"/>
                      <w:spacing w:val="4"/>
                      <w:sz w:val="21"/>
                      <w:szCs w:val="21"/>
                    </w:rPr>
                    <w:t>同时测量并</w:t>
                  </w:r>
                  <w:r>
                    <w:rPr>
                      <w:rFonts w:hint="eastAsia"/>
                      <w:b w:val="0"/>
                      <w:bCs w:val="0"/>
                      <w:color w:val="auto"/>
                      <w:spacing w:val="4"/>
                      <w:sz w:val="21"/>
                      <w:szCs w:val="21"/>
                    </w:rPr>
                    <w:t>记录监测井</w:t>
                  </w:r>
                  <w:r>
                    <w:rPr>
                      <w:b w:val="0"/>
                      <w:bCs w:val="0"/>
                      <w:color w:val="auto"/>
                      <w:spacing w:val="4"/>
                      <w:sz w:val="21"/>
                      <w:szCs w:val="21"/>
                    </w:rPr>
                    <w:t>位置</w:t>
                  </w:r>
                  <w:r>
                    <w:rPr>
                      <w:rFonts w:hint="eastAsia"/>
                      <w:b w:val="0"/>
                      <w:bCs w:val="0"/>
                      <w:color w:val="auto"/>
                      <w:spacing w:val="4"/>
                      <w:sz w:val="21"/>
                      <w:szCs w:val="21"/>
                    </w:rPr>
                    <w:t>、</w:t>
                  </w:r>
                  <w:r>
                    <w:rPr>
                      <w:b w:val="0"/>
                      <w:bCs w:val="0"/>
                      <w:color w:val="auto"/>
                      <w:spacing w:val="4"/>
                      <w:sz w:val="21"/>
                      <w:szCs w:val="21"/>
                    </w:rPr>
                    <w:t>井深、水位埋深</w:t>
                  </w:r>
                  <w:r>
                    <w:rPr>
                      <w:rFonts w:hint="eastAsia"/>
                      <w:b w:val="0"/>
                      <w:bCs w:val="0"/>
                      <w:color w:val="auto"/>
                      <w:spacing w:val="4"/>
                      <w:sz w:val="21"/>
                      <w:szCs w:val="21"/>
                    </w:rPr>
                    <w:t>、</w:t>
                  </w:r>
                  <w:r>
                    <w:rPr>
                      <w:b w:val="0"/>
                      <w:bCs w:val="0"/>
                      <w:color w:val="auto"/>
                      <w:spacing w:val="4"/>
                      <w:sz w:val="21"/>
                      <w:szCs w:val="21"/>
                    </w:rPr>
                    <w:t>监测层位等。</w:t>
                  </w:r>
                </w:p>
              </w:tc>
            </w:tr>
          </w:tbl>
          <w:p w14:paraId="39887903">
            <w:pPr>
              <w:pStyle w:val="2"/>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pPr>
            <w:r>
              <w:rPr>
                <w:rFonts w:hint="default" w:ascii="Times New Roman" w:hAnsi="Times New Roman" w:cs="Times New Roman"/>
                <w:caps w:val="0"/>
                <w:color w:val="auto"/>
                <w:spacing w:val="0"/>
                <w:sz w:val="21"/>
                <w:szCs w:val="21"/>
              </w:rPr>
              <w:drawing>
                <wp:anchor distT="0" distB="0" distL="114300" distR="114300" simplePos="0" relativeHeight="251667456" behindDoc="0" locked="0" layoutInCell="1" allowOverlap="1">
                  <wp:simplePos x="0" y="0"/>
                  <wp:positionH relativeFrom="column">
                    <wp:posOffset>4947920</wp:posOffset>
                  </wp:positionH>
                  <wp:positionV relativeFrom="paragraph">
                    <wp:posOffset>182880</wp:posOffset>
                  </wp:positionV>
                  <wp:extent cx="793115" cy="878840"/>
                  <wp:effectExtent l="0" t="0" r="14605" b="5080"/>
                  <wp:wrapNone/>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7"/>
                          <a:stretch>
                            <a:fillRect/>
                          </a:stretch>
                        </pic:blipFill>
                        <pic:spPr>
                          <a:xfrm>
                            <a:off x="0" y="0"/>
                            <a:ext cx="793115" cy="878840"/>
                          </a:xfrm>
                          <a:prstGeom prst="rect">
                            <a:avLst/>
                          </a:prstGeom>
                          <a:noFill/>
                          <a:ln>
                            <a:noFill/>
                          </a:ln>
                        </pic:spPr>
                      </pic:pic>
                    </a:graphicData>
                  </a:graphic>
                </wp:anchor>
              </w:drawing>
            </w:r>
          </w:p>
          <w:p w14:paraId="20D9A803">
            <w:pPr>
              <w:pStyle w:val="2"/>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default" w:ascii="Times New Roman" w:hAnsi="Times New Roman" w:eastAsia="宋体" w:cs="Times New Roman"/>
                <w:color w:val="auto"/>
                <w:spacing w:val="0"/>
                <w:kern w:val="2"/>
                <w:position w:val="0"/>
                <w:sz w:val="24"/>
                <w:szCs w:val="24"/>
                <w:lang w:val="en-US" w:eastAsia="zh-CN" w:bidi="ar-SA"/>
              </w:rPr>
            </w:pPr>
            <w:r>
              <w:drawing>
                <wp:inline distT="0" distB="0" distL="114300" distR="114300">
                  <wp:extent cx="5704205" cy="4496435"/>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24"/>
                          <a:srcRect b="4337"/>
                          <a:stretch>
                            <a:fillRect/>
                          </a:stretch>
                        </pic:blipFill>
                        <pic:spPr>
                          <a:xfrm>
                            <a:off x="0" y="0"/>
                            <a:ext cx="5704205" cy="4496435"/>
                          </a:xfrm>
                          <a:prstGeom prst="rect">
                            <a:avLst/>
                          </a:prstGeom>
                          <a:noFill/>
                          <a:ln>
                            <a:noFill/>
                          </a:ln>
                        </pic:spPr>
                      </pic:pic>
                    </a:graphicData>
                  </a:graphic>
                </wp:inline>
              </w:drawing>
            </w:r>
          </w:p>
          <w:p w14:paraId="68171405">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宋体" w:cs="Times New Roman"/>
                <w:b/>
                <w:bCs/>
                <w:caps w:val="0"/>
                <w:color w:val="auto"/>
                <w:spacing w:val="0"/>
                <w:w w:val="100"/>
                <w:position w:val="0"/>
                <w:sz w:val="21"/>
                <w:szCs w:val="21"/>
                <w:lang w:val="en-US" w:eastAsia="zh-CN"/>
              </w:rPr>
            </w:pPr>
            <w:r>
              <w:rPr>
                <w:rFonts w:hint="eastAsia" w:cs="Times New Roman"/>
                <w:b/>
                <w:bCs/>
                <w:caps w:val="0"/>
                <w:color w:val="auto"/>
                <w:spacing w:val="0"/>
                <w:w w:val="100"/>
                <w:position w:val="0"/>
                <w:sz w:val="21"/>
                <w:szCs w:val="21"/>
                <w:lang w:val="en-US" w:eastAsia="zh-CN"/>
              </w:rPr>
              <w:t>图3-2  地下水环境现状监测点位图</w:t>
            </w:r>
          </w:p>
          <w:p w14:paraId="4E79345F">
            <w:pPr>
              <w:keepNext w:val="0"/>
              <w:keepLines w:val="0"/>
              <w:pageBreakBefore w:val="0"/>
              <w:widowControl w:val="0"/>
              <w:kinsoku/>
              <w:wordWrap/>
              <w:overflowPunct/>
              <w:topLinePunct w:val="0"/>
              <w:autoSpaceDE/>
              <w:autoSpaceDN/>
              <w:bidi w:val="0"/>
              <w:adjustRightInd w:val="0"/>
              <w:snapToGrid/>
              <w:spacing w:line="480" w:lineRule="atLeast"/>
              <w:ind w:right="0" w:firstLine="480" w:firstLineChars="200"/>
              <w:textAlignment w:val="auto"/>
              <w:rPr>
                <w:rFonts w:hint="default" w:ascii="Times New Roman" w:hAnsi="Times New Roman" w:eastAsia="宋体" w:cs="Times New Roman"/>
                <w:caps w:val="0"/>
                <w:color w:val="auto"/>
                <w:spacing w:val="0"/>
                <w:w w:val="100"/>
                <w:kern w:val="0"/>
                <w:position w:val="0"/>
                <w:sz w:val="24"/>
                <w:lang w:val="en-US" w:eastAsia="zh-CN"/>
              </w:rPr>
            </w:pPr>
            <w:r>
              <w:rPr>
                <w:rFonts w:hint="default" w:ascii="Times New Roman" w:hAnsi="Times New Roman" w:eastAsia="宋体" w:cs="Times New Roman"/>
                <w:caps w:val="0"/>
                <w:color w:val="auto"/>
                <w:spacing w:val="0"/>
                <w:w w:val="100"/>
                <w:kern w:val="0"/>
                <w:position w:val="0"/>
                <w:sz w:val="24"/>
                <w:lang w:val="en-US" w:eastAsia="zh-CN"/>
              </w:rPr>
              <w:t>②监测结果</w:t>
            </w:r>
          </w:p>
          <w:p w14:paraId="4A6DF8DF">
            <w:pPr>
              <w:keepNext w:val="0"/>
              <w:keepLines w:val="0"/>
              <w:pageBreakBefore w:val="0"/>
              <w:widowControl w:val="0"/>
              <w:kinsoku/>
              <w:wordWrap/>
              <w:overflowPunct/>
              <w:topLinePunct w:val="0"/>
              <w:autoSpaceDE/>
              <w:autoSpaceDN/>
              <w:bidi w:val="0"/>
              <w:adjustRightInd w:val="0"/>
              <w:snapToGrid/>
              <w:spacing w:line="480" w:lineRule="atLeast"/>
              <w:ind w:right="0" w:firstLine="422" w:firstLineChars="200"/>
              <w:jc w:val="center"/>
              <w:textAlignment w:val="auto"/>
              <w:rPr>
                <w:rFonts w:hint="default" w:ascii="Times New Roman" w:hAnsi="Times New Roman" w:eastAsia="宋体" w:cs="Times New Roman"/>
                <w:b/>
                <w:bCs/>
                <w:caps w:val="0"/>
                <w:color w:val="auto"/>
                <w:spacing w:val="0"/>
                <w:w w:val="100"/>
                <w:kern w:val="0"/>
                <w:position w:val="0"/>
                <w:sz w:val="21"/>
                <w:szCs w:val="21"/>
                <w:lang w:val="en-US" w:eastAsia="zh-CN"/>
              </w:rPr>
            </w:pPr>
            <w:r>
              <w:rPr>
                <w:rFonts w:hint="eastAsia" w:ascii="Times New Roman" w:hAnsi="Times New Roman" w:eastAsia="宋体" w:cs="Times New Roman"/>
                <w:b/>
                <w:bCs/>
                <w:caps w:val="0"/>
                <w:color w:val="auto"/>
                <w:spacing w:val="0"/>
                <w:w w:val="100"/>
                <w:kern w:val="0"/>
                <w:position w:val="0"/>
                <w:sz w:val="21"/>
                <w:szCs w:val="21"/>
                <w:lang w:val="en-US" w:eastAsia="zh-CN"/>
              </w:rPr>
              <w:t xml:space="preserve">表3-6  </w:t>
            </w:r>
            <w:r>
              <w:rPr>
                <w:rFonts w:hint="default" w:ascii="Times New Roman" w:hAnsi="Times New Roman" w:eastAsia="宋体" w:cs="Times New Roman"/>
                <w:b/>
                <w:bCs/>
                <w:caps w:val="0"/>
                <w:color w:val="auto"/>
                <w:spacing w:val="0"/>
                <w:sz w:val="21"/>
                <w:szCs w:val="21"/>
              </w:rPr>
              <w:t>地下水环境质量现状评价结果一览表</w:t>
            </w:r>
          </w:p>
          <w:tbl>
            <w:tblPr>
              <w:tblStyle w:val="6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65"/>
              <w:gridCol w:w="1910"/>
              <w:gridCol w:w="1837"/>
              <w:gridCol w:w="1908"/>
              <w:gridCol w:w="868"/>
              <w:gridCol w:w="956"/>
              <w:gridCol w:w="754"/>
            </w:tblGrid>
            <w:tr w14:paraId="1C318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atLeast"/>
                <w:jc w:val="center"/>
              </w:trPr>
              <w:tc>
                <w:tcPr>
                  <w:tcW w:w="475" w:type="pct"/>
                  <w:tcBorders>
                    <w:tl2br w:val="nil"/>
                    <w:tr2bl w:val="nil"/>
                  </w:tcBorders>
                  <w:noWrap w:val="0"/>
                  <w:vAlign w:val="center"/>
                </w:tcPr>
                <w:p w14:paraId="2D34DBC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pacing w:val="5"/>
                      <w:kern w:val="2"/>
                      <w:sz w:val="21"/>
                      <w:szCs w:val="21"/>
                      <w:lang w:val="en-US" w:eastAsia="zh-CN" w:bidi="ar-SA"/>
                    </w:rPr>
                    <w:t>监测点位</w:t>
                  </w:r>
                </w:p>
              </w:tc>
              <w:tc>
                <w:tcPr>
                  <w:tcW w:w="1049" w:type="pct"/>
                  <w:tcBorders>
                    <w:tl2br w:val="nil"/>
                    <w:tr2bl w:val="nil"/>
                  </w:tcBorders>
                  <w:noWrap w:val="0"/>
                  <w:vAlign w:val="center"/>
                </w:tcPr>
                <w:p w14:paraId="77227E0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7"/>
                      <w:kern w:val="2"/>
                      <w:sz w:val="21"/>
                      <w:szCs w:val="21"/>
                      <w:lang w:val="en-US" w:eastAsia="en-US" w:bidi="ar-SA"/>
                    </w:rPr>
                    <w:t>检测项目</w:t>
                  </w:r>
                </w:p>
              </w:tc>
              <w:tc>
                <w:tcPr>
                  <w:tcW w:w="1009" w:type="pct"/>
                  <w:tcBorders>
                    <w:tl2br w:val="nil"/>
                    <w:tr2bl w:val="nil"/>
                  </w:tcBorders>
                  <w:noWrap w:val="0"/>
                  <w:vAlign w:val="center"/>
                </w:tcPr>
                <w:p w14:paraId="07EFC2F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单位</w:t>
                  </w:r>
                </w:p>
              </w:tc>
              <w:tc>
                <w:tcPr>
                  <w:tcW w:w="1048" w:type="pct"/>
                  <w:tcBorders>
                    <w:tl2br w:val="nil"/>
                    <w:tr2bl w:val="nil"/>
                  </w:tcBorders>
                  <w:noWrap w:val="0"/>
                  <w:vAlign w:val="center"/>
                </w:tcPr>
                <w:p w14:paraId="061F30B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检测结果</w:t>
                  </w:r>
                </w:p>
              </w:tc>
              <w:tc>
                <w:tcPr>
                  <w:tcW w:w="477" w:type="pct"/>
                  <w:tcBorders>
                    <w:tl2br w:val="nil"/>
                    <w:tr2bl w:val="nil"/>
                  </w:tcBorders>
                  <w:shd w:val="clear" w:color="auto" w:fill="auto"/>
                  <w:noWrap w:val="0"/>
                  <w:vAlign w:val="center"/>
                </w:tcPr>
                <w:p w14:paraId="491B918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6"/>
                      <w:kern w:val="2"/>
                      <w:sz w:val="21"/>
                      <w:szCs w:val="21"/>
                      <w:lang w:val="en-US" w:eastAsia="en-US" w:bidi="ar-SA"/>
                    </w:rPr>
                    <w:t>标准值</w:t>
                  </w:r>
                </w:p>
              </w:tc>
              <w:tc>
                <w:tcPr>
                  <w:tcW w:w="525" w:type="pct"/>
                  <w:tcBorders>
                    <w:tl2br w:val="nil"/>
                    <w:tr2bl w:val="nil"/>
                  </w:tcBorders>
                  <w:shd w:val="clear" w:color="auto" w:fill="auto"/>
                  <w:noWrap w:val="0"/>
                  <w:vAlign w:val="center"/>
                </w:tcPr>
                <w:p w14:paraId="26CF7B0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7"/>
                      <w:kern w:val="2"/>
                      <w:sz w:val="21"/>
                      <w:szCs w:val="21"/>
                      <w:lang w:val="en-US" w:eastAsia="en-US" w:bidi="ar-SA"/>
                    </w:rPr>
                    <w:t>标准指数</w:t>
                  </w:r>
                </w:p>
              </w:tc>
              <w:tc>
                <w:tcPr>
                  <w:tcW w:w="414" w:type="pct"/>
                  <w:tcBorders>
                    <w:tl2br w:val="nil"/>
                    <w:tr2bl w:val="nil"/>
                  </w:tcBorders>
                  <w:noWrap w:val="0"/>
                  <w:vAlign w:val="center"/>
                </w:tcPr>
                <w:p w14:paraId="5191896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r>
                    <w:rPr>
                      <w:rFonts w:hint="default" w:ascii="Times New Roman" w:hAnsi="Times New Roman" w:eastAsia="宋体" w:cs="Times New Roman"/>
                      <w:b w:val="0"/>
                      <w:bCs w:val="0"/>
                      <w:color w:val="auto"/>
                      <w:kern w:val="2"/>
                      <w:sz w:val="21"/>
                      <w:szCs w:val="21"/>
                      <w:lang w:val="en-US" w:eastAsia="en-US" w:bidi="ar-SA"/>
                    </w:rPr>
                    <w:t xml:space="preserve"> </w:t>
                  </w:r>
                  <w:r>
                    <w:rPr>
                      <w:rFonts w:hint="default" w:ascii="Times New Roman" w:hAnsi="Times New Roman" w:eastAsia="宋体" w:cs="Times New Roman"/>
                      <w:b w:val="0"/>
                      <w:bCs w:val="0"/>
                      <w:color w:val="auto"/>
                      <w:spacing w:val="3"/>
                      <w:kern w:val="2"/>
                      <w:sz w:val="21"/>
                      <w:szCs w:val="21"/>
                      <w:lang w:val="en-US" w:eastAsia="en-US" w:bidi="ar-SA"/>
                    </w:rPr>
                    <w:t>分析</w:t>
                  </w:r>
                </w:p>
              </w:tc>
            </w:tr>
            <w:tr w14:paraId="0256E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restart"/>
                  <w:tcBorders>
                    <w:tl2br w:val="nil"/>
                    <w:tr2bl w:val="nil"/>
                  </w:tcBorders>
                  <w:noWrap w:val="0"/>
                  <w:vAlign w:val="center"/>
                </w:tcPr>
                <w:p w14:paraId="12EA8AD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65B30E3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2B9E58E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1E54EC1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409F4C6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471050B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5F9D829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00B5768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3D63D1A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597D87F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702361C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p w14:paraId="0B7167B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D1</w:t>
                  </w:r>
                </w:p>
              </w:tc>
              <w:tc>
                <w:tcPr>
                  <w:tcW w:w="1049" w:type="pct"/>
                  <w:tcBorders>
                    <w:tl2br w:val="nil"/>
                    <w:tr2bl w:val="nil"/>
                  </w:tcBorders>
                  <w:shd w:val="clear" w:color="auto" w:fill="auto"/>
                  <w:noWrap w:val="0"/>
                  <w:vAlign w:val="center"/>
                </w:tcPr>
                <w:p w14:paraId="17616CD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54"/>
                      <w:rFonts w:hint="default" w:ascii="Times New Roman" w:hAnsi="Times New Roman" w:eastAsia="宋体" w:cs="Times New Roman"/>
                      <w:b w:val="0"/>
                      <w:bCs w:val="0"/>
                      <w:color w:val="auto"/>
                      <w:sz w:val="21"/>
                      <w:szCs w:val="21"/>
                      <w:lang w:val="en-US" w:eastAsia="zh-CN" w:bidi="ar"/>
                    </w:rPr>
                    <w:t>pH</w:t>
                  </w:r>
                  <w:r>
                    <w:rPr>
                      <w:rStyle w:val="83"/>
                      <w:rFonts w:hint="default" w:ascii="Times New Roman" w:hAnsi="Times New Roman" w:eastAsia="宋体" w:cs="Times New Roman"/>
                      <w:b w:val="0"/>
                      <w:bCs w:val="0"/>
                      <w:color w:val="auto"/>
                      <w:sz w:val="21"/>
                      <w:szCs w:val="21"/>
                      <w:lang w:val="en-US" w:eastAsia="zh-CN" w:bidi="ar"/>
                    </w:rPr>
                    <w:t>值</w:t>
                  </w:r>
                </w:p>
              </w:tc>
              <w:tc>
                <w:tcPr>
                  <w:tcW w:w="1009" w:type="pct"/>
                  <w:tcBorders>
                    <w:tl2br w:val="nil"/>
                    <w:tr2bl w:val="nil"/>
                  </w:tcBorders>
                  <w:shd w:val="clear" w:color="auto" w:fill="auto"/>
                  <w:noWrap w:val="0"/>
                  <w:vAlign w:val="center"/>
                </w:tcPr>
                <w:p w14:paraId="00A6180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Style w:val="83"/>
                      <w:rFonts w:hint="default" w:ascii="Times New Roman" w:hAnsi="Times New Roman" w:eastAsia="宋体" w:cs="Times New Roman"/>
                      <w:b w:val="0"/>
                      <w:bCs w:val="0"/>
                      <w:color w:val="auto"/>
                      <w:sz w:val="21"/>
                      <w:szCs w:val="21"/>
                      <w:lang w:val="en-US" w:eastAsia="zh-CN" w:bidi="ar"/>
                    </w:rPr>
                    <w:t>无量纲</w:t>
                  </w:r>
                </w:p>
              </w:tc>
              <w:tc>
                <w:tcPr>
                  <w:tcW w:w="1048" w:type="pct"/>
                  <w:tcBorders>
                    <w:tl2br w:val="nil"/>
                    <w:tr2bl w:val="nil"/>
                  </w:tcBorders>
                  <w:shd w:val="clear" w:color="auto" w:fill="auto"/>
                  <w:noWrap w:val="0"/>
                  <w:vAlign w:val="center"/>
                </w:tcPr>
                <w:p w14:paraId="5DC7C3C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7.6</w:t>
                  </w:r>
                </w:p>
              </w:tc>
              <w:tc>
                <w:tcPr>
                  <w:tcW w:w="477" w:type="pct"/>
                  <w:tcBorders>
                    <w:tl2br w:val="nil"/>
                    <w:tr2bl w:val="nil"/>
                  </w:tcBorders>
                  <w:shd w:val="clear" w:color="auto" w:fill="auto"/>
                  <w:noWrap w:val="0"/>
                  <w:vAlign w:val="center"/>
                </w:tcPr>
                <w:p w14:paraId="6DE74D6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6～9</w:t>
                  </w:r>
                </w:p>
              </w:tc>
              <w:tc>
                <w:tcPr>
                  <w:tcW w:w="525" w:type="pct"/>
                  <w:tcBorders>
                    <w:tl2br w:val="nil"/>
                    <w:tr2bl w:val="nil"/>
                  </w:tcBorders>
                  <w:shd w:val="clear" w:color="auto" w:fill="auto"/>
                  <w:noWrap w:val="0"/>
                  <w:vAlign w:val="center"/>
                </w:tcPr>
                <w:p w14:paraId="717C9D4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0.3</w:t>
                  </w:r>
                </w:p>
              </w:tc>
              <w:tc>
                <w:tcPr>
                  <w:tcW w:w="414" w:type="pct"/>
                  <w:tcBorders>
                    <w:tl2br w:val="nil"/>
                    <w:tr2bl w:val="nil"/>
                  </w:tcBorders>
                  <w:noWrap w:val="0"/>
                  <w:vAlign w:val="center"/>
                </w:tcPr>
                <w:p w14:paraId="61A7196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771EA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71BDCEA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1506407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氨氮</w:t>
                  </w:r>
                </w:p>
              </w:tc>
              <w:tc>
                <w:tcPr>
                  <w:tcW w:w="1009" w:type="pct"/>
                  <w:tcBorders>
                    <w:tl2br w:val="nil"/>
                    <w:tr2bl w:val="nil"/>
                  </w:tcBorders>
                  <w:shd w:val="clear" w:color="auto" w:fill="auto"/>
                  <w:noWrap w:val="0"/>
                  <w:vAlign w:val="center"/>
                </w:tcPr>
                <w:p w14:paraId="2E31621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0EA748A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0.1</w:t>
                  </w:r>
                </w:p>
              </w:tc>
              <w:tc>
                <w:tcPr>
                  <w:tcW w:w="477" w:type="pct"/>
                  <w:tcBorders>
                    <w:tl2br w:val="nil"/>
                    <w:tr2bl w:val="nil"/>
                  </w:tcBorders>
                  <w:shd w:val="clear" w:color="auto" w:fill="auto"/>
                  <w:noWrap w:val="0"/>
                  <w:vAlign w:val="center"/>
                </w:tcPr>
                <w:p w14:paraId="668947D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0.5</w:t>
                  </w:r>
                </w:p>
              </w:tc>
              <w:tc>
                <w:tcPr>
                  <w:tcW w:w="525" w:type="pct"/>
                  <w:tcBorders>
                    <w:tl2br w:val="nil"/>
                    <w:tr2bl w:val="nil"/>
                  </w:tcBorders>
                  <w:shd w:val="clear" w:color="auto" w:fill="auto"/>
                  <w:noWrap w:val="0"/>
                  <w:vAlign w:val="center"/>
                </w:tcPr>
                <w:p w14:paraId="791428D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0.2</w:t>
                  </w:r>
                </w:p>
              </w:tc>
              <w:tc>
                <w:tcPr>
                  <w:tcW w:w="414" w:type="pct"/>
                  <w:tcBorders>
                    <w:tl2br w:val="nil"/>
                    <w:tr2bl w:val="nil"/>
                  </w:tcBorders>
                  <w:noWrap w:val="0"/>
                  <w:vAlign w:val="center"/>
                </w:tcPr>
                <w:p w14:paraId="0874645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51754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18B3BEA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6D6392F6">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亚硝酸盐</w:t>
                  </w:r>
                </w:p>
              </w:tc>
              <w:tc>
                <w:tcPr>
                  <w:tcW w:w="1009" w:type="pct"/>
                  <w:tcBorders>
                    <w:tl2br w:val="nil"/>
                    <w:tr2bl w:val="nil"/>
                  </w:tcBorders>
                  <w:shd w:val="clear" w:color="auto" w:fill="auto"/>
                  <w:noWrap w:val="0"/>
                  <w:vAlign w:val="center"/>
                </w:tcPr>
                <w:p w14:paraId="50A63BD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0364EB8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0.001</w:t>
                  </w:r>
                </w:p>
              </w:tc>
              <w:tc>
                <w:tcPr>
                  <w:tcW w:w="477" w:type="pct"/>
                  <w:tcBorders>
                    <w:tl2br w:val="nil"/>
                    <w:tr2bl w:val="nil"/>
                  </w:tcBorders>
                  <w:shd w:val="clear" w:color="auto" w:fill="auto"/>
                  <w:noWrap w:val="0"/>
                  <w:vAlign w:val="center"/>
                </w:tcPr>
                <w:p w14:paraId="301D09B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1</w:t>
                  </w:r>
                </w:p>
              </w:tc>
              <w:tc>
                <w:tcPr>
                  <w:tcW w:w="525" w:type="pct"/>
                  <w:tcBorders>
                    <w:tl2br w:val="nil"/>
                    <w:tr2bl w:val="nil"/>
                  </w:tcBorders>
                  <w:shd w:val="clear" w:color="auto" w:fill="auto"/>
                  <w:noWrap w:val="0"/>
                  <w:vAlign w:val="center"/>
                </w:tcPr>
                <w:p w14:paraId="74EABF16">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0.001</w:t>
                  </w:r>
                </w:p>
              </w:tc>
              <w:tc>
                <w:tcPr>
                  <w:tcW w:w="414" w:type="pct"/>
                  <w:tcBorders>
                    <w:tl2br w:val="nil"/>
                    <w:tr2bl w:val="nil"/>
                  </w:tcBorders>
                  <w:noWrap w:val="0"/>
                  <w:vAlign w:val="center"/>
                </w:tcPr>
                <w:p w14:paraId="486EECD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7BD06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0F269B2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1C3A456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硝酸盐</w:t>
                  </w:r>
                </w:p>
              </w:tc>
              <w:tc>
                <w:tcPr>
                  <w:tcW w:w="1009" w:type="pct"/>
                  <w:tcBorders>
                    <w:tl2br w:val="nil"/>
                    <w:tr2bl w:val="nil"/>
                  </w:tcBorders>
                  <w:shd w:val="clear" w:color="auto" w:fill="auto"/>
                  <w:noWrap w:val="0"/>
                  <w:vAlign w:val="center"/>
                </w:tcPr>
                <w:p w14:paraId="4819CA4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0B11C15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0.57</w:t>
                  </w:r>
                </w:p>
              </w:tc>
              <w:tc>
                <w:tcPr>
                  <w:tcW w:w="477" w:type="pct"/>
                  <w:tcBorders>
                    <w:tl2br w:val="nil"/>
                    <w:tr2bl w:val="nil"/>
                  </w:tcBorders>
                  <w:shd w:val="clear" w:color="auto" w:fill="auto"/>
                  <w:noWrap w:val="0"/>
                  <w:vAlign w:val="center"/>
                </w:tcPr>
                <w:p w14:paraId="5DD8C24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20</w:t>
                  </w:r>
                </w:p>
              </w:tc>
              <w:tc>
                <w:tcPr>
                  <w:tcW w:w="525" w:type="pct"/>
                  <w:tcBorders>
                    <w:tl2br w:val="nil"/>
                    <w:tr2bl w:val="nil"/>
                  </w:tcBorders>
                  <w:shd w:val="clear" w:color="auto" w:fill="auto"/>
                  <w:noWrap w:val="0"/>
                  <w:vAlign w:val="center"/>
                </w:tcPr>
                <w:p w14:paraId="3F03F8A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0.0285</w:t>
                  </w:r>
                </w:p>
              </w:tc>
              <w:tc>
                <w:tcPr>
                  <w:tcW w:w="414" w:type="pct"/>
                  <w:tcBorders>
                    <w:tl2br w:val="nil"/>
                    <w:tr2bl w:val="nil"/>
                  </w:tcBorders>
                  <w:noWrap w:val="0"/>
                  <w:vAlign w:val="center"/>
                </w:tcPr>
                <w:p w14:paraId="7338C0F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3A349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29BF1B2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371E273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挥发性酚类</w:t>
                  </w:r>
                </w:p>
              </w:tc>
              <w:tc>
                <w:tcPr>
                  <w:tcW w:w="1009" w:type="pct"/>
                  <w:tcBorders>
                    <w:tl2br w:val="nil"/>
                    <w:tr2bl w:val="nil"/>
                  </w:tcBorders>
                  <w:shd w:val="clear" w:color="auto" w:fill="auto"/>
                  <w:noWrap w:val="0"/>
                  <w:vAlign w:val="center"/>
                </w:tcPr>
                <w:p w14:paraId="235BC37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3E430AE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0.0003</w:t>
                  </w:r>
                </w:p>
              </w:tc>
              <w:tc>
                <w:tcPr>
                  <w:tcW w:w="477" w:type="pct"/>
                  <w:tcBorders>
                    <w:tl2br w:val="nil"/>
                    <w:tr2bl w:val="nil"/>
                  </w:tcBorders>
                  <w:shd w:val="clear" w:color="auto" w:fill="auto"/>
                  <w:noWrap w:val="0"/>
                  <w:vAlign w:val="center"/>
                </w:tcPr>
                <w:p w14:paraId="2962225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0.002</w:t>
                  </w:r>
                </w:p>
              </w:tc>
              <w:tc>
                <w:tcPr>
                  <w:tcW w:w="525" w:type="pct"/>
                  <w:tcBorders>
                    <w:tl2br w:val="nil"/>
                    <w:tr2bl w:val="nil"/>
                  </w:tcBorders>
                  <w:shd w:val="clear" w:color="auto" w:fill="auto"/>
                  <w:noWrap w:val="0"/>
                  <w:vAlign w:val="center"/>
                </w:tcPr>
                <w:p w14:paraId="6E1F8B5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0.15</w:t>
                  </w:r>
                </w:p>
              </w:tc>
              <w:tc>
                <w:tcPr>
                  <w:tcW w:w="414" w:type="pct"/>
                  <w:tcBorders>
                    <w:tl2br w:val="nil"/>
                    <w:tr2bl w:val="nil"/>
                  </w:tcBorders>
                  <w:noWrap w:val="0"/>
                  <w:vAlign w:val="center"/>
                </w:tcPr>
                <w:p w14:paraId="5F4BD63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7A4C9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1EE3489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33DDB7D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氰化物</w:t>
                  </w:r>
                </w:p>
              </w:tc>
              <w:tc>
                <w:tcPr>
                  <w:tcW w:w="1009" w:type="pct"/>
                  <w:tcBorders>
                    <w:tl2br w:val="nil"/>
                    <w:tr2bl w:val="nil"/>
                  </w:tcBorders>
                  <w:shd w:val="clear" w:color="auto" w:fill="auto"/>
                  <w:noWrap w:val="0"/>
                  <w:vAlign w:val="center"/>
                </w:tcPr>
                <w:p w14:paraId="6F6E309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2BE8D75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0.002</w:t>
                  </w:r>
                </w:p>
              </w:tc>
              <w:tc>
                <w:tcPr>
                  <w:tcW w:w="477" w:type="pct"/>
                  <w:tcBorders>
                    <w:tl2br w:val="nil"/>
                    <w:tr2bl w:val="nil"/>
                  </w:tcBorders>
                  <w:shd w:val="clear" w:color="auto" w:fill="auto"/>
                  <w:noWrap w:val="0"/>
                  <w:vAlign w:val="center"/>
                </w:tcPr>
                <w:p w14:paraId="677BB9E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0.05</w:t>
                  </w:r>
                </w:p>
              </w:tc>
              <w:tc>
                <w:tcPr>
                  <w:tcW w:w="525" w:type="pct"/>
                  <w:tcBorders>
                    <w:tl2br w:val="nil"/>
                    <w:tr2bl w:val="nil"/>
                  </w:tcBorders>
                  <w:shd w:val="clear" w:color="auto" w:fill="auto"/>
                  <w:noWrap w:val="0"/>
                  <w:vAlign w:val="center"/>
                </w:tcPr>
                <w:p w14:paraId="5B751E0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0.04</w:t>
                  </w:r>
                </w:p>
              </w:tc>
              <w:tc>
                <w:tcPr>
                  <w:tcW w:w="414" w:type="pct"/>
                  <w:tcBorders>
                    <w:tl2br w:val="nil"/>
                    <w:tr2bl w:val="nil"/>
                  </w:tcBorders>
                  <w:noWrap w:val="0"/>
                  <w:vAlign w:val="center"/>
                </w:tcPr>
                <w:p w14:paraId="56543D3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2110E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24B815A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560DB78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砷</w:t>
                  </w:r>
                </w:p>
              </w:tc>
              <w:tc>
                <w:tcPr>
                  <w:tcW w:w="1009" w:type="pct"/>
                  <w:tcBorders>
                    <w:tl2br w:val="nil"/>
                    <w:tr2bl w:val="nil"/>
                  </w:tcBorders>
                  <w:shd w:val="clear" w:color="auto" w:fill="auto"/>
                  <w:noWrap w:val="0"/>
                  <w:vAlign w:val="center"/>
                </w:tcPr>
                <w:p w14:paraId="392076B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μg/L</w:t>
                  </w:r>
                </w:p>
              </w:tc>
              <w:tc>
                <w:tcPr>
                  <w:tcW w:w="1048" w:type="pct"/>
                  <w:tcBorders>
                    <w:tl2br w:val="nil"/>
                    <w:tr2bl w:val="nil"/>
                  </w:tcBorders>
                  <w:shd w:val="clear" w:color="auto" w:fill="auto"/>
                  <w:noWrap w:val="0"/>
                  <w:vAlign w:val="center"/>
                </w:tcPr>
                <w:p w14:paraId="65F03FB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0.3</w:t>
                  </w:r>
                </w:p>
              </w:tc>
              <w:tc>
                <w:tcPr>
                  <w:tcW w:w="477" w:type="pct"/>
                  <w:tcBorders>
                    <w:tl2br w:val="nil"/>
                    <w:tr2bl w:val="nil"/>
                  </w:tcBorders>
                  <w:shd w:val="clear" w:color="auto" w:fill="auto"/>
                  <w:noWrap w:val="0"/>
                  <w:vAlign w:val="center"/>
                </w:tcPr>
                <w:p w14:paraId="1BCC740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0.01</w:t>
                  </w:r>
                </w:p>
              </w:tc>
              <w:tc>
                <w:tcPr>
                  <w:tcW w:w="525" w:type="pct"/>
                  <w:tcBorders>
                    <w:tl2br w:val="nil"/>
                    <w:tr2bl w:val="nil"/>
                  </w:tcBorders>
                  <w:shd w:val="clear" w:color="auto" w:fill="auto"/>
                  <w:noWrap w:val="0"/>
                  <w:vAlign w:val="center"/>
                </w:tcPr>
                <w:p w14:paraId="275751F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30</w:t>
                  </w:r>
                </w:p>
              </w:tc>
              <w:tc>
                <w:tcPr>
                  <w:tcW w:w="414" w:type="pct"/>
                  <w:tcBorders>
                    <w:tl2br w:val="nil"/>
                    <w:tr2bl w:val="nil"/>
                  </w:tcBorders>
                  <w:noWrap w:val="0"/>
                  <w:vAlign w:val="center"/>
                </w:tcPr>
                <w:p w14:paraId="28B517B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337DB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6FAF4C1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6AFDC82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汞</w:t>
                  </w:r>
                </w:p>
              </w:tc>
              <w:tc>
                <w:tcPr>
                  <w:tcW w:w="1009" w:type="pct"/>
                  <w:tcBorders>
                    <w:tl2br w:val="nil"/>
                    <w:tr2bl w:val="nil"/>
                  </w:tcBorders>
                  <w:shd w:val="clear" w:color="auto" w:fill="auto"/>
                  <w:noWrap w:val="0"/>
                  <w:vAlign w:val="center"/>
                </w:tcPr>
                <w:p w14:paraId="7725774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μg/L</w:t>
                  </w:r>
                </w:p>
              </w:tc>
              <w:tc>
                <w:tcPr>
                  <w:tcW w:w="1048" w:type="pct"/>
                  <w:tcBorders>
                    <w:tl2br w:val="nil"/>
                    <w:tr2bl w:val="nil"/>
                  </w:tcBorders>
                  <w:shd w:val="clear" w:color="auto" w:fill="auto"/>
                  <w:noWrap w:val="0"/>
                  <w:vAlign w:val="center"/>
                </w:tcPr>
                <w:p w14:paraId="3001088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0.04</w:t>
                  </w:r>
                </w:p>
              </w:tc>
              <w:tc>
                <w:tcPr>
                  <w:tcW w:w="477" w:type="pct"/>
                  <w:tcBorders>
                    <w:tl2br w:val="nil"/>
                    <w:tr2bl w:val="nil"/>
                  </w:tcBorders>
                  <w:shd w:val="clear" w:color="auto" w:fill="auto"/>
                  <w:noWrap w:val="0"/>
                  <w:vAlign w:val="center"/>
                </w:tcPr>
                <w:p w14:paraId="63EF3F7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0.001</w:t>
                  </w:r>
                </w:p>
              </w:tc>
              <w:tc>
                <w:tcPr>
                  <w:tcW w:w="525" w:type="pct"/>
                  <w:tcBorders>
                    <w:tl2br w:val="nil"/>
                    <w:tr2bl w:val="nil"/>
                  </w:tcBorders>
                  <w:shd w:val="clear" w:color="auto" w:fill="auto"/>
                  <w:noWrap w:val="0"/>
                  <w:vAlign w:val="center"/>
                </w:tcPr>
                <w:p w14:paraId="735479C6">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40</w:t>
                  </w:r>
                </w:p>
              </w:tc>
              <w:tc>
                <w:tcPr>
                  <w:tcW w:w="414" w:type="pct"/>
                  <w:tcBorders>
                    <w:tl2br w:val="nil"/>
                    <w:tr2bl w:val="nil"/>
                  </w:tcBorders>
                  <w:noWrap w:val="0"/>
                  <w:vAlign w:val="center"/>
                </w:tcPr>
                <w:p w14:paraId="5DD71DB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0FD3E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55995D0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654DEB8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铬（六价）</w:t>
                  </w:r>
                </w:p>
              </w:tc>
              <w:tc>
                <w:tcPr>
                  <w:tcW w:w="1009" w:type="pct"/>
                  <w:tcBorders>
                    <w:tl2br w:val="nil"/>
                    <w:tr2bl w:val="nil"/>
                  </w:tcBorders>
                  <w:shd w:val="clear" w:color="auto" w:fill="auto"/>
                  <w:noWrap w:val="0"/>
                  <w:vAlign w:val="center"/>
                </w:tcPr>
                <w:p w14:paraId="3BBD8D3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0CE85DB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0.004</w:t>
                  </w:r>
                </w:p>
              </w:tc>
              <w:tc>
                <w:tcPr>
                  <w:tcW w:w="477" w:type="pct"/>
                  <w:tcBorders>
                    <w:tl2br w:val="nil"/>
                    <w:tr2bl w:val="nil"/>
                  </w:tcBorders>
                  <w:shd w:val="clear" w:color="auto" w:fill="auto"/>
                  <w:noWrap w:val="0"/>
                  <w:vAlign w:val="center"/>
                </w:tcPr>
                <w:p w14:paraId="38387DE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0.05</w:t>
                  </w:r>
                </w:p>
              </w:tc>
              <w:tc>
                <w:tcPr>
                  <w:tcW w:w="525" w:type="pct"/>
                  <w:tcBorders>
                    <w:tl2br w:val="nil"/>
                    <w:tr2bl w:val="nil"/>
                  </w:tcBorders>
                  <w:shd w:val="clear" w:color="auto" w:fill="auto"/>
                  <w:noWrap w:val="0"/>
                  <w:vAlign w:val="center"/>
                </w:tcPr>
                <w:p w14:paraId="484B6BD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0.08</w:t>
                  </w:r>
                </w:p>
              </w:tc>
              <w:tc>
                <w:tcPr>
                  <w:tcW w:w="414" w:type="pct"/>
                  <w:tcBorders>
                    <w:tl2br w:val="nil"/>
                    <w:tr2bl w:val="nil"/>
                  </w:tcBorders>
                  <w:noWrap w:val="0"/>
                  <w:vAlign w:val="center"/>
                </w:tcPr>
                <w:p w14:paraId="48AF986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422ED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097EFCC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0BAEAF4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高锰酸盐指数（耗氧量）</w:t>
                  </w:r>
                </w:p>
              </w:tc>
              <w:tc>
                <w:tcPr>
                  <w:tcW w:w="1009" w:type="pct"/>
                  <w:tcBorders>
                    <w:tl2br w:val="nil"/>
                    <w:tr2bl w:val="nil"/>
                  </w:tcBorders>
                  <w:shd w:val="clear" w:color="auto" w:fill="auto"/>
                  <w:noWrap w:val="0"/>
                  <w:vAlign w:val="center"/>
                </w:tcPr>
                <w:p w14:paraId="684BE436">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5B7D7E8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1.29</w:t>
                  </w:r>
                </w:p>
              </w:tc>
              <w:tc>
                <w:tcPr>
                  <w:tcW w:w="477" w:type="pct"/>
                  <w:tcBorders>
                    <w:tl2br w:val="nil"/>
                    <w:tr2bl w:val="nil"/>
                  </w:tcBorders>
                  <w:shd w:val="clear" w:color="auto" w:fill="auto"/>
                  <w:noWrap w:val="0"/>
                  <w:vAlign w:val="center"/>
                </w:tcPr>
                <w:p w14:paraId="5C9AC9F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3</w:t>
                  </w:r>
                </w:p>
              </w:tc>
              <w:tc>
                <w:tcPr>
                  <w:tcW w:w="525" w:type="pct"/>
                  <w:tcBorders>
                    <w:tl2br w:val="nil"/>
                    <w:tr2bl w:val="nil"/>
                  </w:tcBorders>
                  <w:shd w:val="clear" w:color="auto" w:fill="auto"/>
                  <w:noWrap w:val="0"/>
                  <w:vAlign w:val="center"/>
                </w:tcPr>
                <w:p w14:paraId="542D6E3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0.43</w:t>
                  </w:r>
                </w:p>
              </w:tc>
              <w:tc>
                <w:tcPr>
                  <w:tcW w:w="414" w:type="pct"/>
                  <w:tcBorders>
                    <w:tl2br w:val="nil"/>
                    <w:tr2bl w:val="nil"/>
                  </w:tcBorders>
                  <w:noWrap w:val="0"/>
                  <w:vAlign w:val="center"/>
                </w:tcPr>
                <w:p w14:paraId="22EDC39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401CD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48FD79F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166BF4B1">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总硬度</w:t>
                  </w:r>
                </w:p>
              </w:tc>
              <w:tc>
                <w:tcPr>
                  <w:tcW w:w="1009" w:type="pct"/>
                  <w:tcBorders>
                    <w:tl2br w:val="nil"/>
                    <w:tr2bl w:val="nil"/>
                  </w:tcBorders>
                  <w:shd w:val="clear" w:color="auto" w:fill="auto"/>
                  <w:noWrap w:val="0"/>
                  <w:vAlign w:val="center"/>
                </w:tcPr>
                <w:p w14:paraId="2C04A106">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0B726D3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271</w:t>
                  </w:r>
                </w:p>
              </w:tc>
              <w:tc>
                <w:tcPr>
                  <w:tcW w:w="477" w:type="pct"/>
                  <w:tcBorders>
                    <w:tl2br w:val="nil"/>
                    <w:tr2bl w:val="nil"/>
                  </w:tcBorders>
                  <w:shd w:val="clear" w:color="auto" w:fill="auto"/>
                  <w:noWrap w:val="0"/>
                  <w:vAlign w:val="center"/>
                </w:tcPr>
                <w:p w14:paraId="14C54D2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450</w:t>
                  </w:r>
                </w:p>
              </w:tc>
              <w:tc>
                <w:tcPr>
                  <w:tcW w:w="525" w:type="pct"/>
                  <w:tcBorders>
                    <w:tl2br w:val="nil"/>
                    <w:tr2bl w:val="nil"/>
                  </w:tcBorders>
                  <w:shd w:val="clear" w:color="auto" w:fill="auto"/>
                  <w:noWrap w:val="0"/>
                  <w:vAlign w:val="center"/>
                </w:tcPr>
                <w:p w14:paraId="21E94D2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 xml:space="preserve">0.602 </w:t>
                  </w:r>
                </w:p>
              </w:tc>
              <w:tc>
                <w:tcPr>
                  <w:tcW w:w="414" w:type="pct"/>
                  <w:tcBorders>
                    <w:tl2br w:val="nil"/>
                    <w:tr2bl w:val="nil"/>
                  </w:tcBorders>
                  <w:noWrap w:val="0"/>
                  <w:vAlign w:val="center"/>
                </w:tcPr>
                <w:p w14:paraId="333F59C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1369B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773C2F6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5B0C19B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溶解性总固体</w:t>
                  </w:r>
                </w:p>
              </w:tc>
              <w:tc>
                <w:tcPr>
                  <w:tcW w:w="1009" w:type="pct"/>
                  <w:tcBorders>
                    <w:tl2br w:val="nil"/>
                    <w:tr2bl w:val="nil"/>
                  </w:tcBorders>
                  <w:shd w:val="clear" w:color="auto" w:fill="auto"/>
                  <w:noWrap w:val="0"/>
                  <w:vAlign w:val="center"/>
                </w:tcPr>
                <w:p w14:paraId="1858C3F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2FE27CA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754</w:t>
                  </w:r>
                </w:p>
              </w:tc>
              <w:tc>
                <w:tcPr>
                  <w:tcW w:w="477" w:type="pct"/>
                  <w:tcBorders>
                    <w:tl2br w:val="nil"/>
                    <w:tr2bl w:val="nil"/>
                  </w:tcBorders>
                  <w:shd w:val="clear" w:color="auto" w:fill="auto"/>
                  <w:noWrap w:val="0"/>
                  <w:vAlign w:val="center"/>
                </w:tcPr>
                <w:p w14:paraId="394D890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1000</w:t>
                  </w:r>
                </w:p>
              </w:tc>
              <w:tc>
                <w:tcPr>
                  <w:tcW w:w="525" w:type="pct"/>
                  <w:tcBorders>
                    <w:tl2br w:val="nil"/>
                    <w:tr2bl w:val="nil"/>
                  </w:tcBorders>
                  <w:shd w:val="clear" w:color="auto" w:fill="auto"/>
                  <w:noWrap w:val="0"/>
                  <w:vAlign w:val="center"/>
                </w:tcPr>
                <w:p w14:paraId="0F8A7E4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0.754</w:t>
                  </w:r>
                </w:p>
              </w:tc>
              <w:tc>
                <w:tcPr>
                  <w:tcW w:w="414" w:type="pct"/>
                  <w:tcBorders>
                    <w:tl2br w:val="nil"/>
                    <w:tr2bl w:val="nil"/>
                  </w:tcBorders>
                  <w:noWrap w:val="0"/>
                  <w:vAlign w:val="center"/>
                </w:tcPr>
                <w:p w14:paraId="6831E14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27816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52E515C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3D31A3C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硫酸盐</w:t>
                  </w:r>
                </w:p>
              </w:tc>
              <w:tc>
                <w:tcPr>
                  <w:tcW w:w="1009" w:type="pct"/>
                  <w:tcBorders>
                    <w:tl2br w:val="nil"/>
                    <w:tr2bl w:val="nil"/>
                  </w:tcBorders>
                  <w:shd w:val="clear" w:color="auto" w:fill="auto"/>
                  <w:noWrap w:val="0"/>
                  <w:vAlign w:val="center"/>
                </w:tcPr>
                <w:p w14:paraId="3B68377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79A35841">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172</w:t>
                  </w:r>
                </w:p>
              </w:tc>
              <w:tc>
                <w:tcPr>
                  <w:tcW w:w="477" w:type="pct"/>
                  <w:tcBorders>
                    <w:tl2br w:val="nil"/>
                    <w:tr2bl w:val="nil"/>
                  </w:tcBorders>
                  <w:shd w:val="clear" w:color="auto" w:fill="auto"/>
                  <w:noWrap w:val="0"/>
                  <w:vAlign w:val="center"/>
                </w:tcPr>
                <w:p w14:paraId="74E6CBE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250</w:t>
                  </w:r>
                </w:p>
              </w:tc>
              <w:tc>
                <w:tcPr>
                  <w:tcW w:w="525" w:type="pct"/>
                  <w:tcBorders>
                    <w:tl2br w:val="nil"/>
                    <w:tr2bl w:val="nil"/>
                  </w:tcBorders>
                  <w:shd w:val="clear" w:color="auto" w:fill="auto"/>
                  <w:noWrap w:val="0"/>
                  <w:vAlign w:val="center"/>
                </w:tcPr>
                <w:p w14:paraId="40D99E4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0.688</w:t>
                  </w:r>
                </w:p>
              </w:tc>
              <w:tc>
                <w:tcPr>
                  <w:tcW w:w="414" w:type="pct"/>
                  <w:tcBorders>
                    <w:tl2br w:val="nil"/>
                    <w:tr2bl w:val="nil"/>
                  </w:tcBorders>
                  <w:noWrap w:val="0"/>
                  <w:vAlign w:val="center"/>
                </w:tcPr>
                <w:p w14:paraId="225939F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607E7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25A01B8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5F5F180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氯化物</w:t>
                  </w:r>
                </w:p>
              </w:tc>
              <w:tc>
                <w:tcPr>
                  <w:tcW w:w="1009" w:type="pct"/>
                  <w:tcBorders>
                    <w:tl2br w:val="nil"/>
                    <w:tr2bl w:val="nil"/>
                  </w:tcBorders>
                  <w:shd w:val="clear" w:color="auto" w:fill="auto"/>
                  <w:noWrap w:val="0"/>
                  <w:vAlign w:val="center"/>
                </w:tcPr>
                <w:p w14:paraId="0E7FD4D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04FDD46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188</w:t>
                  </w:r>
                </w:p>
              </w:tc>
              <w:tc>
                <w:tcPr>
                  <w:tcW w:w="477" w:type="pct"/>
                  <w:tcBorders>
                    <w:tl2br w:val="nil"/>
                    <w:tr2bl w:val="nil"/>
                  </w:tcBorders>
                  <w:shd w:val="clear" w:color="auto" w:fill="auto"/>
                  <w:noWrap w:val="0"/>
                  <w:vAlign w:val="center"/>
                </w:tcPr>
                <w:p w14:paraId="59F0BB5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250</w:t>
                  </w:r>
                </w:p>
              </w:tc>
              <w:tc>
                <w:tcPr>
                  <w:tcW w:w="525" w:type="pct"/>
                  <w:tcBorders>
                    <w:tl2br w:val="nil"/>
                    <w:tr2bl w:val="nil"/>
                  </w:tcBorders>
                  <w:shd w:val="clear" w:color="auto" w:fill="auto"/>
                  <w:noWrap w:val="0"/>
                  <w:vAlign w:val="center"/>
                </w:tcPr>
                <w:p w14:paraId="2B32E1B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0.752</w:t>
                  </w:r>
                </w:p>
              </w:tc>
              <w:tc>
                <w:tcPr>
                  <w:tcW w:w="414" w:type="pct"/>
                  <w:tcBorders>
                    <w:tl2br w:val="nil"/>
                    <w:tr2bl w:val="nil"/>
                  </w:tcBorders>
                  <w:noWrap w:val="0"/>
                  <w:vAlign w:val="center"/>
                </w:tcPr>
                <w:p w14:paraId="0B5BA90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262EC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406C2D5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0056DC9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铅</w:t>
                  </w:r>
                </w:p>
              </w:tc>
              <w:tc>
                <w:tcPr>
                  <w:tcW w:w="1009" w:type="pct"/>
                  <w:tcBorders>
                    <w:tl2br w:val="nil"/>
                    <w:tr2bl w:val="nil"/>
                  </w:tcBorders>
                  <w:shd w:val="clear" w:color="auto" w:fill="auto"/>
                  <w:noWrap w:val="0"/>
                  <w:vAlign w:val="center"/>
                </w:tcPr>
                <w:p w14:paraId="27590F8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μg/L</w:t>
                  </w:r>
                </w:p>
              </w:tc>
              <w:tc>
                <w:tcPr>
                  <w:tcW w:w="1048" w:type="pct"/>
                  <w:tcBorders>
                    <w:tl2br w:val="nil"/>
                    <w:tr2bl w:val="nil"/>
                  </w:tcBorders>
                  <w:shd w:val="clear" w:color="auto" w:fill="auto"/>
                  <w:noWrap w:val="0"/>
                  <w:vAlign w:val="center"/>
                </w:tcPr>
                <w:p w14:paraId="5E7FE17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2.5</w:t>
                  </w:r>
                </w:p>
              </w:tc>
              <w:tc>
                <w:tcPr>
                  <w:tcW w:w="477" w:type="pct"/>
                  <w:tcBorders>
                    <w:tl2br w:val="nil"/>
                    <w:tr2bl w:val="nil"/>
                  </w:tcBorders>
                  <w:shd w:val="clear" w:color="auto" w:fill="auto"/>
                  <w:noWrap w:val="0"/>
                  <w:vAlign w:val="center"/>
                </w:tcPr>
                <w:p w14:paraId="52C737C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10</w:t>
                  </w:r>
                </w:p>
              </w:tc>
              <w:tc>
                <w:tcPr>
                  <w:tcW w:w="525" w:type="pct"/>
                  <w:tcBorders>
                    <w:tl2br w:val="nil"/>
                    <w:tr2bl w:val="nil"/>
                  </w:tcBorders>
                  <w:shd w:val="clear" w:color="auto" w:fill="auto"/>
                  <w:noWrap w:val="0"/>
                  <w:vAlign w:val="center"/>
                </w:tcPr>
                <w:p w14:paraId="2EE1CBE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0.25</w:t>
                  </w:r>
                </w:p>
              </w:tc>
              <w:tc>
                <w:tcPr>
                  <w:tcW w:w="414" w:type="pct"/>
                  <w:tcBorders>
                    <w:tl2br w:val="nil"/>
                    <w:tr2bl w:val="nil"/>
                  </w:tcBorders>
                  <w:noWrap w:val="0"/>
                  <w:vAlign w:val="center"/>
                </w:tcPr>
                <w:p w14:paraId="006D407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380C7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0CADB0B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3A27539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氟化物</w:t>
                  </w:r>
                </w:p>
              </w:tc>
              <w:tc>
                <w:tcPr>
                  <w:tcW w:w="1009" w:type="pct"/>
                  <w:tcBorders>
                    <w:tl2br w:val="nil"/>
                    <w:tr2bl w:val="nil"/>
                  </w:tcBorders>
                  <w:shd w:val="clear" w:color="auto" w:fill="auto"/>
                  <w:noWrap w:val="0"/>
                  <w:vAlign w:val="center"/>
                </w:tcPr>
                <w:p w14:paraId="3C1A045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02055E2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0.15</w:t>
                  </w:r>
                </w:p>
              </w:tc>
              <w:tc>
                <w:tcPr>
                  <w:tcW w:w="477" w:type="pct"/>
                  <w:tcBorders>
                    <w:tl2br w:val="nil"/>
                    <w:tr2bl w:val="nil"/>
                  </w:tcBorders>
                  <w:shd w:val="clear" w:color="auto" w:fill="auto"/>
                  <w:noWrap w:val="0"/>
                  <w:vAlign w:val="center"/>
                </w:tcPr>
                <w:p w14:paraId="5B83857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1</w:t>
                  </w:r>
                </w:p>
              </w:tc>
              <w:tc>
                <w:tcPr>
                  <w:tcW w:w="525" w:type="pct"/>
                  <w:tcBorders>
                    <w:tl2br w:val="nil"/>
                    <w:tr2bl w:val="nil"/>
                  </w:tcBorders>
                  <w:shd w:val="clear" w:color="auto" w:fill="auto"/>
                  <w:noWrap w:val="0"/>
                  <w:vAlign w:val="center"/>
                </w:tcPr>
                <w:p w14:paraId="7CCF25E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0.15</w:t>
                  </w:r>
                </w:p>
              </w:tc>
              <w:tc>
                <w:tcPr>
                  <w:tcW w:w="414" w:type="pct"/>
                  <w:tcBorders>
                    <w:tl2br w:val="nil"/>
                    <w:tr2bl w:val="nil"/>
                  </w:tcBorders>
                  <w:noWrap w:val="0"/>
                  <w:vAlign w:val="center"/>
                </w:tcPr>
                <w:p w14:paraId="57D9095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7A10B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49583E3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0E5923D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镉</w:t>
                  </w:r>
                </w:p>
              </w:tc>
              <w:tc>
                <w:tcPr>
                  <w:tcW w:w="1009" w:type="pct"/>
                  <w:tcBorders>
                    <w:tl2br w:val="nil"/>
                    <w:tr2bl w:val="nil"/>
                  </w:tcBorders>
                  <w:shd w:val="clear" w:color="auto" w:fill="auto"/>
                  <w:noWrap w:val="0"/>
                  <w:vAlign w:val="center"/>
                </w:tcPr>
                <w:p w14:paraId="109C8EF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μg/L</w:t>
                  </w:r>
                </w:p>
              </w:tc>
              <w:tc>
                <w:tcPr>
                  <w:tcW w:w="1048" w:type="pct"/>
                  <w:tcBorders>
                    <w:tl2br w:val="nil"/>
                    <w:tr2bl w:val="nil"/>
                  </w:tcBorders>
                  <w:shd w:val="clear" w:color="auto" w:fill="auto"/>
                  <w:noWrap w:val="0"/>
                  <w:vAlign w:val="center"/>
                </w:tcPr>
                <w:p w14:paraId="19CC674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0.25L</w:t>
                  </w:r>
                </w:p>
              </w:tc>
              <w:tc>
                <w:tcPr>
                  <w:tcW w:w="477" w:type="pct"/>
                  <w:tcBorders>
                    <w:tl2br w:val="nil"/>
                    <w:tr2bl w:val="nil"/>
                  </w:tcBorders>
                  <w:shd w:val="clear" w:color="auto" w:fill="auto"/>
                  <w:noWrap w:val="0"/>
                  <w:vAlign w:val="center"/>
                </w:tcPr>
                <w:p w14:paraId="5A162D8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0.005</w:t>
                  </w:r>
                </w:p>
              </w:tc>
              <w:tc>
                <w:tcPr>
                  <w:tcW w:w="525" w:type="pct"/>
                  <w:tcBorders>
                    <w:tl2br w:val="nil"/>
                    <w:tr2bl w:val="nil"/>
                  </w:tcBorders>
                  <w:shd w:val="clear" w:color="auto" w:fill="auto"/>
                  <w:noWrap w:val="0"/>
                  <w:vAlign w:val="center"/>
                </w:tcPr>
                <w:p w14:paraId="43B4079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414" w:type="pct"/>
                  <w:tcBorders>
                    <w:tl2br w:val="nil"/>
                    <w:tr2bl w:val="nil"/>
                  </w:tcBorders>
                  <w:noWrap w:val="0"/>
                  <w:vAlign w:val="center"/>
                </w:tcPr>
                <w:p w14:paraId="7B30165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51C7D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2B0F639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6E5013E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铁</w:t>
                  </w:r>
                </w:p>
              </w:tc>
              <w:tc>
                <w:tcPr>
                  <w:tcW w:w="1009" w:type="pct"/>
                  <w:tcBorders>
                    <w:tl2br w:val="nil"/>
                    <w:tr2bl w:val="nil"/>
                  </w:tcBorders>
                  <w:shd w:val="clear" w:color="auto" w:fill="auto"/>
                  <w:noWrap w:val="0"/>
                  <w:vAlign w:val="center"/>
                </w:tcPr>
                <w:p w14:paraId="4F83289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349F3261">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0.03</w:t>
                  </w:r>
                </w:p>
              </w:tc>
              <w:tc>
                <w:tcPr>
                  <w:tcW w:w="477" w:type="pct"/>
                  <w:tcBorders>
                    <w:tl2br w:val="nil"/>
                    <w:tr2bl w:val="nil"/>
                  </w:tcBorders>
                  <w:shd w:val="clear" w:color="auto" w:fill="auto"/>
                  <w:noWrap w:val="0"/>
                  <w:vAlign w:val="center"/>
                </w:tcPr>
                <w:p w14:paraId="59BCC1E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0.3</w:t>
                  </w:r>
                </w:p>
              </w:tc>
              <w:tc>
                <w:tcPr>
                  <w:tcW w:w="525" w:type="pct"/>
                  <w:tcBorders>
                    <w:tl2br w:val="nil"/>
                    <w:tr2bl w:val="nil"/>
                  </w:tcBorders>
                  <w:shd w:val="clear" w:color="auto" w:fill="auto"/>
                  <w:noWrap w:val="0"/>
                  <w:vAlign w:val="center"/>
                </w:tcPr>
                <w:p w14:paraId="7B023D1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0.1</w:t>
                  </w:r>
                </w:p>
              </w:tc>
              <w:tc>
                <w:tcPr>
                  <w:tcW w:w="414" w:type="pct"/>
                  <w:tcBorders>
                    <w:tl2br w:val="nil"/>
                    <w:tr2bl w:val="nil"/>
                  </w:tcBorders>
                  <w:noWrap w:val="0"/>
                  <w:vAlign w:val="center"/>
                </w:tcPr>
                <w:p w14:paraId="6B24819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734E0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345BBFB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0134389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锰</w:t>
                  </w:r>
                </w:p>
              </w:tc>
              <w:tc>
                <w:tcPr>
                  <w:tcW w:w="1009" w:type="pct"/>
                  <w:tcBorders>
                    <w:tl2br w:val="nil"/>
                    <w:tr2bl w:val="nil"/>
                  </w:tcBorders>
                  <w:shd w:val="clear" w:color="auto" w:fill="auto"/>
                  <w:noWrap w:val="0"/>
                  <w:vAlign w:val="center"/>
                </w:tcPr>
                <w:p w14:paraId="5C11903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2B25D22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0.01</w:t>
                  </w:r>
                </w:p>
              </w:tc>
              <w:tc>
                <w:tcPr>
                  <w:tcW w:w="477" w:type="pct"/>
                  <w:tcBorders>
                    <w:tl2br w:val="nil"/>
                    <w:tr2bl w:val="nil"/>
                  </w:tcBorders>
                  <w:shd w:val="clear" w:color="auto" w:fill="auto"/>
                  <w:noWrap w:val="0"/>
                  <w:vAlign w:val="center"/>
                </w:tcPr>
                <w:p w14:paraId="2B72AD3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0.1</w:t>
                  </w:r>
                </w:p>
              </w:tc>
              <w:tc>
                <w:tcPr>
                  <w:tcW w:w="525" w:type="pct"/>
                  <w:tcBorders>
                    <w:tl2br w:val="nil"/>
                    <w:tr2bl w:val="nil"/>
                  </w:tcBorders>
                  <w:shd w:val="clear" w:color="auto" w:fill="auto"/>
                  <w:noWrap w:val="0"/>
                  <w:vAlign w:val="center"/>
                </w:tcPr>
                <w:p w14:paraId="0005A456">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0.1</w:t>
                  </w:r>
                </w:p>
              </w:tc>
              <w:tc>
                <w:tcPr>
                  <w:tcW w:w="414" w:type="pct"/>
                  <w:tcBorders>
                    <w:tl2br w:val="nil"/>
                    <w:tr2bl w:val="nil"/>
                  </w:tcBorders>
                  <w:noWrap w:val="0"/>
                  <w:vAlign w:val="center"/>
                </w:tcPr>
                <w:p w14:paraId="5A328C1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646EE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518388C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01B38461">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83"/>
                      <w:rFonts w:hint="default" w:ascii="Times New Roman" w:hAnsi="Times New Roman" w:eastAsia="宋体" w:cs="Times New Roman"/>
                      <w:b w:val="0"/>
                      <w:bCs w:val="0"/>
                      <w:color w:val="auto"/>
                      <w:sz w:val="21"/>
                      <w:szCs w:val="21"/>
                      <w:lang w:val="en-US" w:eastAsia="zh-CN" w:bidi="ar"/>
                    </w:rPr>
                    <w:t>石油类</w:t>
                  </w:r>
                </w:p>
              </w:tc>
              <w:tc>
                <w:tcPr>
                  <w:tcW w:w="1009" w:type="pct"/>
                  <w:tcBorders>
                    <w:tl2br w:val="nil"/>
                    <w:tr2bl w:val="nil"/>
                  </w:tcBorders>
                  <w:shd w:val="clear" w:color="auto" w:fill="auto"/>
                  <w:noWrap w:val="0"/>
                  <w:vAlign w:val="center"/>
                </w:tcPr>
                <w:p w14:paraId="036D90F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5B2CB37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0.01</w:t>
                  </w:r>
                </w:p>
              </w:tc>
              <w:tc>
                <w:tcPr>
                  <w:tcW w:w="477" w:type="pct"/>
                  <w:tcBorders>
                    <w:tl2br w:val="nil"/>
                    <w:tr2bl w:val="nil"/>
                  </w:tcBorders>
                  <w:shd w:val="clear" w:color="auto" w:fill="auto"/>
                  <w:noWrap w:val="0"/>
                  <w:vAlign w:val="center"/>
                </w:tcPr>
                <w:p w14:paraId="56FAD0E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525" w:type="pct"/>
                  <w:tcBorders>
                    <w:tl2br w:val="nil"/>
                    <w:tr2bl w:val="nil"/>
                  </w:tcBorders>
                  <w:shd w:val="clear" w:color="auto" w:fill="auto"/>
                  <w:noWrap w:val="0"/>
                  <w:vAlign w:val="center"/>
                </w:tcPr>
                <w:p w14:paraId="07F8574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414" w:type="pct"/>
                  <w:tcBorders>
                    <w:tl2br w:val="nil"/>
                    <w:tr2bl w:val="nil"/>
                  </w:tcBorders>
                  <w:noWrap w:val="0"/>
                  <w:vAlign w:val="center"/>
                </w:tcPr>
                <w:p w14:paraId="5F2280A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4EB8C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475" w:type="pct"/>
                  <w:vMerge w:val="continue"/>
                  <w:tcBorders>
                    <w:tl2br w:val="nil"/>
                    <w:tr2bl w:val="nil"/>
                  </w:tcBorders>
                  <w:noWrap w:val="0"/>
                  <w:vAlign w:val="center"/>
                </w:tcPr>
                <w:p w14:paraId="31A0E30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3BE4E68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73"/>
                      <w:rFonts w:hint="default" w:ascii="Times New Roman" w:hAnsi="Times New Roman" w:eastAsia="宋体" w:cs="Times New Roman"/>
                      <w:b w:val="0"/>
                      <w:bCs w:val="0"/>
                      <w:color w:val="auto"/>
                      <w:sz w:val="21"/>
                      <w:szCs w:val="21"/>
                      <w:lang w:val="en-US" w:eastAsia="zh-CN" w:bidi="ar"/>
                    </w:rPr>
                    <w:t>K</w:t>
                  </w:r>
                  <w:r>
                    <w:rPr>
                      <w:rStyle w:val="67"/>
                      <w:rFonts w:hint="default" w:ascii="Times New Roman" w:hAnsi="Times New Roman" w:eastAsia="宋体" w:cs="Times New Roman"/>
                      <w:b w:val="0"/>
                      <w:bCs w:val="0"/>
                      <w:color w:val="auto"/>
                      <w:sz w:val="21"/>
                      <w:szCs w:val="21"/>
                      <w:lang w:val="en-US" w:eastAsia="zh-CN" w:bidi="ar"/>
                    </w:rPr>
                    <w:t>+*</w:t>
                  </w:r>
                </w:p>
              </w:tc>
              <w:tc>
                <w:tcPr>
                  <w:tcW w:w="1009" w:type="pct"/>
                  <w:tcBorders>
                    <w:tl2br w:val="nil"/>
                    <w:tr2bl w:val="nil"/>
                  </w:tcBorders>
                  <w:shd w:val="clear" w:color="auto" w:fill="auto"/>
                  <w:noWrap w:val="0"/>
                  <w:vAlign w:val="center"/>
                </w:tcPr>
                <w:p w14:paraId="5F2EF0B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7A1C36B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1.74</w:t>
                  </w:r>
                </w:p>
              </w:tc>
              <w:tc>
                <w:tcPr>
                  <w:tcW w:w="477" w:type="pct"/>
                  <w:tcBorders>
                    <w:tl2br w:val="nil"/>
                    <w:tr2bl w:val="nil"/>
                  </w:tcBorders>
                  <w:shd w:val="clear" w:color="auto" w:fill="auto"/>
                  <w:noWrap w:val="0"/>
                  <w:vAlign w:val="center"/>
                </w:tcPr>
                <w:p w14:paraId="2D2C3EA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525" w:type="pct"/>
                  <w:tcBorders>
                    <w:tl2br w:val="nil"/>
                    <w:tr2bl w:val="nil"/>
                  </w:tcBorders>
                  <w:shd w:val="clear" w:color="auto" w:fill="auto"/>
                  <w:noWrap w:val="0"/>
                  <w:vAlign w:val="center"/>
                </w:tcPr>
                <w:p w14:paraId="34A560E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414" w:type="pct"/>
                  <w:tcBorders>
                    <w:tl2br w:val="nil"/>
                    <w:tr2bl w:val="nil"/>
                  </w:tcBorders>
                  <w:noWrap w:val="0"/>
                  <w:vAlign w:val="center"/>
                </w:tcPr>
                <w:p w14:paraId="20F4793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28D9A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475" w:type="pct"/>
                  <w:vMerge w:val="continue"/>
                  <w:tcBorders>
                    <w:tl2br w:val="nil"/>
                    <w:tr2bl w:val="nil"/>
                  </w:tcBorders>
                  <w:noWrap w:val="0"/>
                  <w:vAlign w:val="center"/>
                </w:tcPr>
                <w:p w14:paraId="3A5B485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tcBorders>
                    <w:tl2br w:val="nil"/>
                    <w:tr2bl w:val="nil"/>
                  </w:tcBorders>
                  <w:shd w:val="clear" w:color="auto" w:fill="auto"/>
                  <w:noWrap w:val="0"/>
                  <w:vAlign w:val="center"/>
                </w:tcPr>
                <w:p w14:paraId="54DC9BE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73"/>
                      <w:rFonts w:hint="default" w:ascii="Times New Roman" w:hAnsi="Times New Roman" w:eastAsia="宋体" w:cs="Times New Roman"/>
                      <w:b w:val="0"/>
                      <w:bCs w:val="0"/>
                      <w:color w:val="auto"/>
                      <w:sz w:val="21"/>
                      <w:szCs w:val="21"/>
                      <w:lang w:val="en-US" w:eastAsia="zh-CN" w:bidi="ar"/>
                    </w:rPr>
                    <w:t>Na</w:t>
                  </w:r>
                  <w:r>
                    <w:rPr>
                      <w:rStyle w:val="67"/>
                      <w:rFonts w:hint="default" w:ascii="Times New Roman" w:hAnsi="Times New Roman" w:eastAsia="宋体" w:cs="Times New Roman"/>
                      <w:b w:val="0"/>
                      <w:bCs w:val="0"/>
                      <w:color w:val="auto"/>
                      <w:sz w:val="21"/>
                      <w:szCs w:val="21"/>
                      <w:lang w:val="en-US" w:eastAsia="zh-CN" w:bidi="ar"/>
                    </w:rPr>
                    <w:t>+*</w:t>
                  </w:r>
                </w:p>
              </w:tc>
              <w:tc>
                <w:tcPr>
                  <w:tcW w:w="1009" w:type="pct"/>
                  <w:tcBorders>
                    <w:tl2br w:val="nil"/>
                    <w:tr2bl w:val="nil"/>
                  </w:tcBorders>
                  <w:shd w:val="clear" w:color="auto" w:fill="auto"/>
                  <w:noWrap w:val="0"/>
                  <w:vAlign w:val="center"/>
                </w:tcPr>
                <w:p w14:paraId="389D239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tcBorders>
                    <w:tl2br w:val="nil"/>
                    <w:tr2bl w:val="nil"/>
                  </w:tcBorders>
                  <w:shd w:val="clear" w:color="auto" w:fill="auto"/>
                  <w:noWrap w:val="0"/>
                  <w:vAlign w:val="center"/>
                </w:tcPr>
                <w:p w14:paraId="6D34FCE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177</w:t>
                  </w:r>
                </w:p>
              </w:tc>
              <w:tc>
                <w:tcPr>
                  <w:tcW w:w="477" w:type="pct"/>
                  <w:tcBorders>
                    <w:tl2br w:val="nil"/>
                    <w:tr2bl w:val="nil"/>
                  </w:tcBorders>
                  <w:shd w:val="clear" w:color="auto" w:fill="auto"/>
                  <w:noWrap w:val="0"/>
                  <w:vAlign w:val="center"/>
                </w:tcPr>
                <w:p w14:paraId="3E9C9376">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200</w:t>
                  </w:r>
                </w:p>
              </w:tc>
              <w:tc>
                <w:tcPr>
                  <w:tcW w:w="525" w:type="pct"/>
                  <w:tcBorders>
                    <w:tl2br w:val="nil"/>
                    <w:tr2bl w:val="nil"/>
                  </w:tcBorders>
                  <w:shd w:val="clear" w:color="auto" w:fill="auto"/>
                  <w:noWrap w:val="0"/>
                  <w:vAlign w:val="center"/>
                </w:tcPr>
                <w:p w14:paraId="221B75A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0.885</w:t>
                  </w:r>
                </w:p>
              </w:tc>
              <w:tc>
                <w:tcPr>
                  <w:tcW w:w="414" w:type="pct"/>
                  <w:tcBorders>
                    <w:tl2br w:val="nil"/>
                    <w:tr2bl w:val="nil"/>
                  </w:tcBorders>
                  <w:noWrap w:val="0"/>
                  <w:vAlign w:val="center"/>
                </w:tcPr>
                <w:p w14:paraId="01B4F8C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35246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475" w:type="pct"/>
                  <w:vMerge w:val="continue"/>
                </w:tcPr>
                <w:p w14:paraId="1FEA327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shd w:val="clear" w:color="auto" w:fill="auto"/>
                  <w:vAlign w:val="center"/>
                </w:tcPr>
                <w:p w14:paraId="26246D3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73"/>
                      <w:rFonts w:hint="default" w:ascii="Times New Roman" w:hAnsi="Times New Roman" w:eastAsia="宋体" w:cs="Times New Roman"/>
                      <w:b w:val="0"/>
                      <w:bCs w:val="0"/>
                      <w:color w:val="auto"/>
                      <w:sz w:val="21"/>
                      <w:szCs w:val="21"/>
                      <w:lang w:val="en-US" w:eastAsia="zh-CN" w:bidi="ar"/>
                    </w:rPr>
                    <w:t>Ca</w:t>
                  </w:r>
                  <w:r>
                    <w:rPr>
                      <w:rStyle w:val="67"/>
                      <w:rFonts w:hint="default" w:ascii="Times New Roman" w:hAnsi="Times New Roman" w:eastAsia="宋体" w:cs="Times New Roman"/>
                      <w:b w:val="0"/>
                      <w:bCs w:val="0"/>
                      <w:color w:val="auto"/>
                      <w:sz w:val="21"/>
                      <w:szCs w:val="21"/>
                      <w:lang w:val="en-US" w:eastAsia="zh-CN" w:bidi="ar"/>
                    </w:rPr>
                    <w:t>2+*</w:t>
                  </w:r>
                </w:p>
              </w:tc>
              <w:tc>
                <w:tcPr>
                  <w:tcW w:w="1009" w:type="pct"/>
                  <w:shd w:val="clear" w:color="auto" w:fill="auto"/>
                  <w:vAlign w:val="center"/>
                </w:tcPr>
                <w:p w14:paraId="19FBB67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shd w:val="clear" w:color="auto" w:fill="auto"/>
                  <w:vAlign w:val="center"/>
                </w:tcPr>
                <w:p w14:paraId="78AE7D16">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77</w:t>
                  </w:r>
                </w:p>
              </w:tc>
              <w:tc>
                <w:tcPr>
                  <w:tcW w:w="477" w:type="pct"/>
                  <w:shd w:val="clear" w:color="auto" w:fill="auto"/>
                  <w:vAlign w:val="center"/>
                </w:tcPr>
                <w:p w14:paraId="285EAA4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525" w:type="pct"/>
                  <w:shd w:val="clear" w:color="auto" w:fill="auto"/>
                  <w:vAlign w:val="center"/>
                </w:tcPr>
                <w:p w14:paraId="17169B6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414" w:type="pct"/>
                </w:tcPr>
                <w:p w14:paraId="7959497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1A7BC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475" w:type="pct"/>
                  <w:vMerge w:val="continue"/>
                </w:tcPr>
                <w:p w14:paraId="73E06BC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shd w:val="clear" w:color="auto" w:fill="auto"/>
                  <w:vAlign w:val="center"/>
                </w:tcPr>
                <w:p w14:paraId="67CF2F9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73"/>
                      <w:rFonts w:hint="default" w:ascii="Times New Roman" w:hAnsi="Times New Roman" w:eastAsia="宋体" w:cs="Times New Roman"/>
                      <w:b w:val="0"/>
                      <w:bCs w:val="0"/>
                      <w:color w:val="auto"/>
                      <w:sz w:val="21"/>
                      <w:szCs w:val="21"/>
                      <w:lang w:val="en-US" w:eastAsia="zh-CN" w:bidi="ar"/>
                    </w:rPr>
                    <w:t>Mg</w:t>
                  </w:r>
                  <w:r>
                    <w:rPr>
                      <w:rStyle w:val="67"/>
                      <w:rFonts w:hint="default" w:ascii="Times New Roman" w:hAnsi="Times New Roman" w:eastAsia="宋体" w:cs="Times New Roman"/>
                      <w:b w:val="0"/>
                      <w:bCs w:val="0"/>
                      <w:color w:val="auto"/>
                      <w:sz w:val="21"/>
                      <w:szCs w:val="21"/>
                      <w:lang w:val="en-US" w:eastAsia="zh-CN" w:bidi="ar"/>
                    </w:rPr>
                    <w:t>2+*</w:t>
                  </w:r>
                </w:p>
              </w:tc>
              <w:tc>
                <w:tcPr>
                  <w:tcW w:w="1009" w:type="pct"/>
                  <w:shd w:val="clear" w:color="auto" w:fill="auto"/>
                  <w:vAlign w:val="center"/>
                </w:tcPr>
                <w:p w14:paraId="6758389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shd w:val="clear" w:color="auto" w:fill="auto"/>
                  <w:vAlign w:val="center"/>
                </w:tcPr>
                <w:p w14:paraId="1A8897D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11.8</w:t>
                  </w:r>
                </w:p>
              </w:tc>
              <w:tc>
                <w:tcPr>
                  <w:tcW w:w="477" w:type="pct"/>
                  <w:shd w:val="clear" w:color="auto" w:fill="auto"/>
                  <w:vAlign w:val="center"/>
                </w:tcPr>
                <w:p w14:paraId="6CC96B6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525" w:type="pct"/>
                  <w:shd w:val="clear" w:color="auto" w:fill="auto"/>
                  <w:vAlign w:val="center"/>
                </w:tcPr>
                <w:p w14:paraId="64EE1ED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414" w:type="pct"/>
                </w:tcPr>
                <w:p w14:paraId="740F84B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505DB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475" w:type="pct"/>
                  <w:vMerge w:val="continue"/>
                </w:tcPr>
                <w:p w14:paraId="1BD371E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shd w:val="clear" w:color="auto" w:fill="auto"/>
                  <w:vAlign w:val="center"/>
                </w:tcPr>
                <w:p w14:paraId="0591055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73"/>
                      <w:rFonts w:hint="default" w:ascii="Times New Roman" w:hAnsi="Times New Roman" w:eastAsia="宋体" w:cs="Times New Roman"/>
                      <w:b w:val="0"/>
                      <w:bCs w:val="0"/>
                      <w:color w:val="auto"/>
                      <w:sz w:val="21"/>
                      <w:szCs w:val="21"/>
                      <w:lang w:val="en-US" w:eastAsia="zh-CN" w:bidi="ar"/>
                    </w:rPr>
                    <w:t>CO</w:t>
                  </w:r>
                  <w:r>
                    <w:rPr>
                      <w:rStyle w:val="74"/>
                      <w:rFonts w:hint="default" w:ascii="Times New Roman" w:hAnsi="Times New Roman" w:eastAsia="宋体" w:cs="Times New Roman"/>
                      <w:b w:val="0"/>
                      <w:bCs w:val="0"/>
                      <w:color w:val="auto"/>
                      <w:sz w:val="21"/>
                      <w:szCs w:val="21"/>
                      <w:lang w:val="en-US" w:eastAsia="zh-CN" w:bidi="ar"/>
                    </w:rPr>
                    <w:t>3</w:t>
                  </w:r>
                  <w:r>
                    <w:rPr>
                      <w:rStyle w:val="67"/>
                      <w:rFonts w:hint="default" w:ascii="Times New Roman" w:hAnsi="Times New Roman" w:eastAsia="宋体" w:cs="Times New Roman"/>
                      <w:b w:val="0"/>
                      <w:bCs w:val="0"/>
                      <w:color w:val="auto"/>
                      <w:sz w:val="21"/>
                      <w:szCs w:val="21"/>
                      <w:lang w:val="en-US" w:eastAsia="zh-CN" w:bidi="ar"/>
                    </w:rPr>
                    <w:t>2-*</w:t>
                  </w:r>
                </w:p>
              </w:tc>
              <w:tc>
                <w:tcPr>
                  <w:tcW w:w="1009" w:type="pct"/>
                  <w:shd w:val="clear" w:color="auto" w:fill="auto"/>
                  <w:vAlign w:val="center"/>
                </w:tcPr>
                <w:p w14:paraId="03EE0CE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shd w:val="clear" w:color="auto" w:fill="auto"/>
                  <w:vAlign w:val="center"/>
                </w:tcPr>
                <w:p w14:paraId="521359C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5</w:t>
                  </w:r>
                </w:p>
              </w:tc>
              <w:tc>
                <w:tcPr>
                  <w:tcW w:w="477" w:type="pct"/>
                  <w:shd w:val="clear" w:color="auto" w:fill="auto"/>
                  <w:vAlign w:val="center"/>
                </w:tcPr>
                <w:p w14:paraId="08AB4EE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525" w:type="pct"/>
                  <w:shd w:val="clear" w:color="auto" w:fill="auto"/>
                  <w:vAlign w:val="center"/>
                </w:tcPr>
                <w:p w14:paraId="637B8F4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414" w:type="pct"/>
                </w:tcPr>
                <w:p w14:paraId="522D6DC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0FEF4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475" w:type="pct"/>
                  <w:vMerge w:val="continue"/>
                </w:tcPr>
                <w:p w14:paraId="1EE45B4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shd w:val="clear" w:color="auto" w:fill="auto"/>
                  <w:vAlign w:val="center"/>
                </w:tcPr>
                <w:p w14:paraId="09CFC2A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73"/>
                      <w:rFonts w:hint="default" w:ascii="Times New Roman" w:hAnsi="Times New Roman" w:eastAsia="宋体" w:cs="Times New Roman"/>
                      <w:b w:val="0"/>
                      <w:bCs w:val="0"/>
                      <w:color w:val="auto"/>
                      <w:sz w:val="21"/>
                      <w:szCs w:val="21"/>
                      <w:lang w:val="en-US" w:eastAsia="zh-CN" w:bidi="ar"/>
                    </w:rPr>
                    <w:t>HCO</w:t>
                  </w:r>
                  <w:r>
                    <w:rPr>
                      <w:rStyle w:val="74"/>
                      <w:rFonts w:hint="default" w:ascii="Times New Roman" w:hAnsi="Times New Roman" w:eastAsia="宋体" w:cs="Times New Roman"/>
                      <w:b w:val="0"/>
                      <w:bCs w:val="0"/>
                      <w:color w:val="auto"/>
                      <w:sz w:val="21"/>
                      <w:szCs w:val="21"/>
                      <w:lang w:val="en-US" w:eastAsia="zh-CN" w:bidi="ar"/>
                    </w:rPr>
                    <w:t>3</w:t>
                  </w:r>
                  <w:r>
                    <w:rPr>
                      <w:rStyle w:val="67"/>
                      <w:rFonts w:hint="default" w:ascii="Times New Roman" w:hAnsi="Times New Roman" w:eastAsia="宋体" w:cs="Times New Roman"/>
                      <w:b w:val="0"/>
                      <w:bCs w:val="0"/>
                      <w:color w:val="auto"/>
                      <w:sz w:val="21"/>
                      <w:szCs w:val="21"/>
                      <w:lang w:val="en-US" w:eastAsia="zh-CN" w:bidi="ar"/>
                    </w:rPr>
                    <w:t>-*</w:t>
                  </w:r>
                </w:p>
              </w:tc>
              <w:tc>
                <w:tcPr>
                  <w:tcW w:w="1009" w:type="pct"/>
                  <w:shd w:val="clear" w:color="auto" w:fill="auto"/>
                  <w:vAlign w:val="center"/>
                </w:tcPr>
                <w:p w14:paraId="22D42D3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shd w:val="clear" w:color="auto" w:fill="auto"/>
                  <w:vAlign w:val="center"/>
                </w:tcPr>
                <w:p w14:paraId="50D5EFB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162</w:t>
                  </w:r>
                </w:p>
              </w:tc>
              <w:tc>
                <w:tcPr>
                  <w:tcW w:w="477" w:type="pct"/>
                  <w:shd w:val="clear" w:color="auto" w:fill="auto"/>
                  <w:vAlign w:val="center"/>
                </w:tcPr>
                <w:p w14:paraId="57033D4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525" w:type="pct"/>
                  <w:shd w:val="clear" w:color="auto" w:fill="auto"/>
                  <w:vAlign w:val="center"/>
                </w:tcPr>
                <w:p w14:paraId="5E3AF17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414" w:type="pct"/>
                </w:tcPr>
                <w:p w14:paraId="57D8977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750BF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475" w:type="pct"/>
                  <w:vMerge w:val="continue"/>
                </w:tcPr>
                <w:p w14:paraId="115E1ED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shd w:val="clear" w:color="auto" w:fill="auto"/>
                  <w:vAlign w:val="center"/>
                </w:tcPr>
                <w:p w14:paraId="54B2579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73"/>
                      <w:rFonts w:hint="default" w:ascii="Times New Roman" w:hAnsi="Times New Roman" w:eastAsia="宋体" w:cs="Times New Roman"/>
                      <w:b w:val="0"/>
                      <w:bCs w:val="0"/>
                      <w:color w:val="auto"/>
                      <w:sz w:val="21"/>
                      <w:szCs w:val="21"/>
                      <w:lang w:val="en-US" w:eastAsia="zh-CN" w:bidi="ar"/>
                    </w:rPr>
                    <w:t>Cl</w:t>
                  </w:r>
                  <w:r>
                    <w:rPr>
                      <w:rStyle w:val="67"/>
                      <w:rFonts w:hint="default" w:ascii="Times New Roman" w:hAnsi="Times New Roman" w:eastAsia="宋体" w:cs="Times New Roman"/>
                      <w:b w:val="0"/>
                      <w:bCs w:val="0"/>
                      <w:color w:val="auto"/>
                      <w:sz w:val="21"/>
                      <w:szCs w:val="21"/>
                      <w:lang w:val="en-US" w:eastAsia="zh-CN" w:bidi="ar"/>
                    </w:rPr>
                    <w:t>-*</w:t>
                  </w:r>
                </w:p>
              </w:tc>
              <w:tc>
                <w:tcPr>
                  <w:tcW w:w="1009" w:type="pct"/>
                  <w:shd w:val="clear" w:color="auto" w:fill="auto"/>
                  <w:vAlign w:val="center"/>
                </w:tcPr>
                <w:p w14:paraId="7B1D0F91">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shd w:val="clear" w:color="auto" w:fill="auto"/>
                  <w:vAlign w:val="center"/>
                </w:tcPr>
                <w:p w14:paraId="5E5D416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176</w:t>
                  </w:r>
                </w:p>
              </w:tc>
              <w:tc>
                <w:tcPr>
                  <w:tcW w:w="477" w:type="pct"/>
                  <w:shd w:val="clear" w:color="auto" w:fill="auto"/>
                  <w:vAlign w:val="center"/>
                </w:tcPr>
                <w:p w14:paraId="3FC8DF9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250</w:t>
                  </w:r>
                </w:p>
              </w:tc>
              <w:tc>
                <w:tcPr>
                  <w:tcW w:w="525" w:type="pct"/>
                  <w:shd w:val="clear" w:color="auto" w:fill="auto"/>
                  <w:vAlign w:val="center"/>
                </w:tcPr>
                <w:p w14:paraId="3682D0B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0.704</w:t>
                  </w:r>
                </w:p>
              </w:tc>
              <w:tc>
                <w:tcPr>
                  <w:tcW w:w="414" w:type="pct"/>
                </w:tcPr>
                <w:p w14:paraId="5B57806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r w14:paraId="502E1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475" w:type="pct"/>
                  <w:vMerge w:val="continue"/>
                </w:tcPr>
                <w:p w14:paraId="3066F3C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sz w:val="21"/>
                      <w:szCs w:val="21"/>
                    </w:rPr>
                  </w:pPr>
                </w:p>
              </w:tc>
              <w:tc>
                <w:tcPr>
                  <w:tcW w:w="1049" w:type="pct"/>
                  <w:shd w:val="clear" w:color="auto" w:fill="auto"/>
                  <w:vAlign w:val="center"/>
                </w:tcPr>
                <w:p w14:paraId="778778B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Style w:val="73"/>
                      <w:rFonts w:hint="default" w:ascii="Times New Roman" w:hAnsi="Times New Roman" w:eastAsia="宋体" w:cs="Times New Roman"/>
                      <w:b w:val="0"/>
                      <w:bCs w:val="0"/>
                      <w:color w:val="auto"/>
                      <w:sz w:val="21"/>
                      <w:szCs w:val="21"/>
                      <w:lang w:val="en-US" w:eastAsia="zh-CN" w:bidi="ar"/>
                    </w:rPr>
                    <w:t>SO</w:t>
                  </w:r>
                  <w:r>
                    <w:rPr>
                      <w:rStyle w:val="74"/>
                      <w:rFonts w:hint="default" w:ascii="Times New Roman" w:hAnsi="Times New Roman" w:eastAsia="宋体" w:cs="Times New Roman"/>
                      <w:b w:val="0"/>
                      <w:bCs w:val="0"/>
                      <w:color w:val="auto"/>
                      <w:sz w:val="21"/>
                      <w:szCs w:val="21"/>
                      <w:lang w:val="en-US" w:eastAsia="zh-CN" w:bidi="ar"/>
                    </w:rPr>
                    <w:t>4</w:t>
                  </w:r>
                  <w:r>
                    <w:rPr>
                      <w:rStyle w:val="67"/>
                      <w:rFonts w:hint="default" w:ascii="Times New Roman" w:hAnsi="Times New Roman" w:eastAsia="宋体" w:cs="Times New Roman"/>
                      <w:b w:val="0"/>
                      <w:bCs w:val="0"/>
                      <w:color w:val="auto"/>
                      <w:sz w:val="21"/>
                      <w:szCs w:val="21"/>
                      <w:lang w:val="en-US" w:eastAsia="zh-CN" w:bidi="ar"/>
                    </w:rPr>
                    <w:t>2-*</w:t>
                  </w:r>
                </w:p>
              </w:tc>
              <w:tc>
                <w:tcPr>
                  <w:tcW w:w="1009" w:type="pct"/>
                  <w:shd w:val="clear" w:color="auto" w:fill="auto"/>
                  <w:vAlign w:val="center"/>
                </w:tcPr>
                <w:p w14:paraId="69F12AE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mg/L</w:t>
                  </w:r>
                </w:p>
              </w:tc>
              <w:tc>
                <w:tcPr>
                  <w:tcW w:w="1048" w:type="pct"/>
                  <w:shd w:val="clear" w:color="auto" w:fill="auto"/>
                  <w:vAlign w:val="center"/>
                </w:tcPr>
                <w:p w14:paraId="5184C26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en-US" w:bidi="ar-SA"/>
                    </w:rPr>
                  </w:pPr>
                  <w:r>
                    <w:rPr>
                      <w:rFonts w:hint="default" w:ascii="Times New Roman" w:hAnsi="Times New Roman" w:eastAsia="宋体" w:cs="Times New Roman"/>
                      <w:b w:val="0"/>
                      <w:bCs w:val="0"/>
                      <w:i w:val="0"/>
                      <w:iCs w:val="0"/>
                      <w:color w:val="auto"/>
                      <w:kern w:val="0"/>
                      <w:sz w:val="21"/>
                      <w:szCs w:val="21"/>
                      <w:u w:val="none"/>
                      <w:lang w:val="en-US" w:eastAsia="zh-CN" w:bidi="ar"/>
                    </w:rPr>
                    <w:t>206</w:t>
                  </w:r>
                </w:p>
              </w:tc>
              <w:tc>
                <w:tcPr>
                  <w:tcW w:w="477" w:type="pct"/>
                  <w:shd w:val="clear" w:color="auto" w:fill="auto"/>
                  <w:vAlign w:val="center"/>
                </w:tcPr>
                <w:p w14:paraId="4475C43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250</w:t>
                  </w:r>
                </w:p>
              </w:tc>
              <w:tc>
                <w:tcPr>
                  <w:tcW w:w="525" w:type="pct"/>
                  <w:shd w:val="clear" w:color="auto" w:fill="auto"/>
                  <w:vAlign w:val="center"/>
                </w:tcPr>
                <w:p w14:paraId="2C01871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0.824</w:t>
                  </w:r>
                </w:p>
              </w:tc>
              <w:tc>
                <w:tcPr>
                  <w:tcW w:w="414" w:type="pct"/>
                </w:tcPr>
                <w:p w14:paraId="1B9F072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color w:val="auto"/>
                      <w:kern w:val="2"/>
                      <w:sz w:val="21"/>
                      <w:szCs w:val="21"/>
                      <w:lang w:val="en-US" w:eastAsia="en-US" w:bidi="ar-SA"/>
                    </w:rPr>
                  </w:pPr>
                  <w:r>
                    <w:rPr>
                      <w:rFonts w:hint="default" w:ascii="Times New Roman" w:hAnsi="Times New Roman" w:eastAsia="宋体" w:cs="Times New Roman"/>
                      <w:b w:val="0"/>
                      <w:bCs w:val="0"/>
                      <w:color w:val="auto"/>
                      <w:spacing w:val="5"/>
                      <w:kern w:val="2"/>
                      <w:sz w:val="21"/>
                      <w:szCs w:val="21"/>
                      <w:lang w:val="en-US" w:eastAsia="en-US" w:bidi="ar-SA"/>
                    </w:rPr>
                    <w:t>达标</w:t>
                  </w:r>
                </w:p>
              </w:tc>
            </w:tr>
          </w:tbl>
          <w:p w14:paraId="29A46FFC">
            <w:pPr>
              <w:pStyle w:val="2"/>
              <w:keepNext w:val="0"/>
              <w:keepLines w:val="0"/>
              <w:pageBreakBefore w:val="0"/>
              <w:kinsoku/>
              <w:wordWrap/>
              <w:overflowPunct/>
              <w:topLinePunct w:val="0"/>
              <w:autoSpaceDE/>
              <w:autoSpaceDN/>
              <w:bidi w:val="0"/>
              <w:snapToGrid/>
              <w:spacing w:before="0" w:after="0" w:line="480" w:lineRule="exact"/>
              <w:ind w:right="0" w:firstLine="480" w:firstLineChars="200"/>
              <w:textAlignment w:val="auto"/>
              <w:rPr>
                <w:rFonts w:hint="default" w:ascii="Times New Roman" w:hAnsi="Times New Roman" w:eastAsia="宋体" w:cs="Times New Roman"/>
                <w:color w:val="auto"/>
                <w:spacing w:val="0"/>
                <w:kern w:val="2"/>
                <w:position w:val="0"/>
                <w:sz w:val="24"/>
                <w:szCs w:val="24"/>
                <w:lang w:val="en-US" w:eastAsia="zh-CN" w:bidi="ar-SA"/>
              </w:rPr>
            </w:pPr>
            <w:r>
              <w:rPr>
                <w:rFonts w:hint="default" w:ascii="Times New Roman" w:hAnsi="Times New Roman" w:eastAsia="宋体" w:cs="Times New Roman"/>
                <w:caps w:val="0"/>
                <w:smallCaps w:val="0"/>
                <w:color w:val="auto"/>
                <w:spacing w:val="0"/>
                <w:w w:val="100"/>
                <w:kern w:val="0"/>
                <w:position w:val="0"/>
                <w:sz w:val="24"/>
                <w:szCs w:val="24"/>
                <w:highlight w:val="none"/>
                <w:lang w:val="en-US" w:eastAsia="zh-CN"/>
              </w:rPr>
              <w:t>评价</w:t>
            </w:r>
            <w:r>
              <w:rPr>
                <w:rFonts w:hint="default" w:ascii="Times New Roman" w:hAnsi="Times New Roman" w:eastAsia="宋体" w:cs="Times New Roman"/>
                <w:caps w:val="0"/>
                <w:smallCaps w:val="0"/>
                <w:color w:val="auto"/>
                <w:spacing w:val="0"/>
                <w:w w:val="100"/>
                <w:kern w:val="0"/>
                <w:position w:val="0"/>
                <w:sz w:val="24"/>
                <w:szCs w:val="24"/>
                <w:highlight w:val="none"/>
              </w:rPr>
              <w:t>结果表明，</w:t>
            </w:r>
            <w:r>
              <w:rPr>
                <w:rFonts w:hint="default" w:ascii="Times New Roman" w:hAnsi="Times New Roman" w:eastAsia="宋体" w:cs="Times New Roman"/>
                <w:caps w:val="0"/>
                <w:smallCaps w:val="0"/>
                <w:color w:val="auto"/>
                <w:spacing w:val="0"/>
                <w:w w:val="100"/>
                <w:kern w:val="0"/>
                <w:position w:val="0"/>
                <w:sz w:val="24"/>
                <w:szCs w:val="24"/>
                <w:highlight w:val="none"/>
                <w:lang w:val="en-US" w:eastAsia="zh-CN"/>
              </w:rPr>
              <w:t>区域地下水水质指标均满足</w:t>
            </w:r>
            <w:r>
              <w:rPr>
                <w:rFonts w:hint="default" w:ascii="Times New Roman" w:hAnsi="Times New Roman" w:eastAsia="宋体" w:cs="Times New Roman"/>
                <w:caps w:val="0"/>
                <w:smallCaps w:val="0"/>
                <w:color w:val="auto"/>
                <w:spacing w:val="0"/>
                <w:w w:val="100"/>
                <w:kern w:val="0"/>
                <w:position w:val="0"/>
                <w:sz w:val="24"/>
                <w:szCs w:val="24"/>
                <w:highlight w:val="none"/>
              </w:rPr>
              <w:t>《地下水质量标准》（GB/T14848-2017）中的Ⅲ类标准要求</w:t>
            </w:r>
            <w:r>
              <w:rPr>
                <w:rFonts w:hint="default" w:ascii="Times New Roman" w:hAnsi="Times New Roman" w:eastAsia="宋体" w:cs="Times New Roman"/>
                <w:caps w:val="0"/>
                <w:smallCaps w:val="0"/>
                <w:color w:val="auto"/>
                <w:spacing w:val="0"/>
                <w:w w:val="100"/>
                <w:kern w:val="0"/>
                <w:position w:val="0"/>
                <w:sz w:val="24"/>
                <w:szCs w:val="24"/>
                <w:highlight w:val="none"/>
                <w:lang w:eastAsia="zh-CN"/>
              </w:rPr>
              <w:t>。</w:t>
            </w:r>
          </w:p>
          <w:p w14:paraId="52371837">
            <w:pPr>
              <w:pStyle w:val="2"/>
              <w:keepNext w:val="0"/>
              <w:keepLines w:val="0"/>
              <w:pageBreakBefore w:val="0"/>
              <w:kinsoku/>
              <w:wordWrap/>
              <w:overflowPunct/>
              <w:topLinePunct w:val="0"/>
              <w:autoSpaceDE/>
              <w:autoSpaceDN/>
              <w:bidi w:val="0"/>
              <w:snapToGrid/>
              <w:spacing w:before="0" w:after="0" w:line="480" w:lineRule="exact"/>
              <w:ind w:right="0" w:firstLine="480" w:firstLineChars="200"/>
              <w:textAlignment w:val="auto"/>
              <w:rPr>
                <w:rFonts w:hint="default" w:ascii="Times New Roman" w:hAnsi="Times New Roman" w:eastAsia="宋体" w:cs="Times New Roman"/>
                <w:color w:val="auto"/>
                <w:spacing w:val="0"/>
                <w:kern w:val="2"/>
                <w:position w:val="0"/>
                <w:sz w:val="24"/>
                <w:szCs w:val="24"/>
                <w:lang w:val="en-US" w:eastAsia="zh-CN" w:bidi="ar-SA"/>
              </w:rPr>
            </w:pPr>
            <w:r>
              <w:rPr>
                <w:rFonts w:hint="eastAsia" w:ascii="Times New Roman" w:cs="Times New Roman"/>
                <w:color w:val="auto"/>
                <w:spacing w:val="0"/>
                <w:kern w:val="2"/>
                <w:position w:val="0"/>
                <w:sz w:val="24"/>
                <w:szCs w:val="24"/>
                <w:lang w:val="en-US" w:eastAsia="zh-CN" w:bidi="ar-SA"/>
              </w:rPr>
              <w:t>（2）土壤</w:t>
            </w:r>
          </w:p>
          <w:p w14:paraId="2DE823F0">
            <w:pPr>
              <w:keepNext w:val="0"/>
              <w:keepLines w:val="0"/>
              <w:pageBreakBefore w:val="0"/>
              <w:widowControl w:val="0"/>
              <w:kinsoku/>
              <w:wordWrap/>
              <w:overflowPunct/>
              <w:topLinePunct w:val="0"/>
              <w:autoSpaceDE/>
              <w:autoSpaceDN/>
              <w:bidi w:val="0"/>
              <w:adjustRightInd w:val="0"/>
              <w:snapToGrid/>
              <w:spacing w:line="480" w:lineRule="atLeast"/>
              <w:ind w:right="0" w:firstLine="480" w:firstLineChars="200"/>
              <w:textAlignment w:val="auto"/>
              <w:rPr>
                <w:rFonts w:hint="default" w:ascii="Times New Roman" w:hAnsi="Times New Roman" w:eastAsia="宋体" w:cs="Times New Roman"/>
                <w:caps w:val="0"/>
                <w:color w:val="auto"/>
                <w:spacing w:val="0"/>
                <w:w w:val="100"/>
                <w:kern w:val="0"/>
                <w:position w:val="0"/>
                <w:sz w:val="24"/>
                <w:lang w:val="en-US" w:eastAsia="zh-CN"/>
              </w:rPr>
            </w:pPr>
            <w:r>
              <w:rPr>
                <w:rFonts w:hint="eastAsia" w:ascii="Times New Roman" w:hAnsi="Times New Roman" w:eastAsia="宋体" w:cs="Times New Roman"/>
                <w:caps w:val="0"/>
                <w:color w:val="auto"/>
                <w:spacing w:val="0"/>
                <w:w w:val="100"/>
                <w:kern w:val="0"/>
                <w:position w:val="0"/>
                <w:sz w:val="24"/>
                <w:lang w:val="en-US" w:eastAsia="zh-CN"/>
              </w:rPr>
              <w:t>为了解区域土壤环境质量状况，本次评价对</w:t>
            </w:r>
            <w:r>
              <w:rPr>
                <w:rFonts w:hint="eastAsia" w:ascii="Times New Roman" w:hAnsi="Times New Roman" w:eastAsia="宋体" w:cs="Times New Roman"/>
                <w:color w:val="auto"/>
                <w:spacing w:val="0"/>
                <w:sz w:val="24"/>
                <w:szCs w:val="24"/>
                <w:lang w:val="en-US" w:eastAsia="zh-CN"/>
              </w:rPr>
              <w:t>项目地设置一个土壤环境质量现状监测点位</w:t>
            </w:r>
            <w:r>
              <w:rPr>
                <w:rFonts w:hint="eastAsia" w:ascii="Times New Roman" w:hAnsi="Times New Roman" w:eastAsia="宋体" w:cs="Times New Roman"/>
                <w:caps w:val="0"/>
                <w:color w:val="auto"/>
                <w:spacing w:val="0"/>
                <w:w w:val="100"/>
                <w:kern w:val="0"/>
                <w:position w:val="0"/>
                <w:sz w:val="24"/>
                <w:lang w:val="en-US" w:eastAsia="zh-CN"/>
              </w:rPr>
              <w:t>。</w:t>
            </w:r>
          </w:p>
          <w:p w14:paraId="1193D064">
            <w:pPr>
              <w:keepNext w:val="0"/>
              <w:keepLines w:val="0"/>
              <w:pageBreakBefore w:val="0"/>
              <w:widowControl w:val="0"/>
              <w:kinsoku/>
              <w:wordWrap/>
              <w:overflowPunct/>
              <w:topLinePunct w:val="0"/>
              <w:autoSpaceDE/>
              <w:autoSpaceDN/>
              <w:bidi w:val="0"/>
              <w:adjustRightInd w:val="0"/>
              <w:snapToGrid/>
              <w:spacing w:line="480" w:lineRule="atLeast"/>
              <w:ind w:right="0" w:firstLine="480" w:firstLineChars="200"/>
              <w:textAlignment w:val="auto"/>
              <w:rPr>
                <w:rFonts w:hint="default" w:ascii="Times New Roman" w:hAnsi="Times New Roman" w:eastAsia="宋体" w:cs="Times New Roman"/>
                <w:caps w:val="0"/>
                <w:color w:val="auto"/>
                <w:spacing w:val="0"/>
                <w:w w:val="100"/>
                <w:kern w:val="0"/>
                <w:position w:val="0"/>
                <w:sz w:val="24"/>
                <w:lang w:val="en-US" w:eastAsia="zh-CN"/>
              </w:rPr>
            </w:pPr>
            <w:r>
              <w:rPr>
                <w:rFonts w:hint="default" w:ascii="Times New Roman" w:hAnsi="Times New Roman" w:eastAsia="宋体" w:cs="Times New Roman"/>
                <w:caps w:val="0"/>
                <w:color w:val="auto"/>
                <w:spacing w:val="0"/>
                <w:w w:val="100"/>
                <w:kern w:val="0"/>
                <w:position w:val="0"/>
                <w:sz w:val="24"/>
                <w:lang w:val="en-US" w:eastAsia="zh-CN"/>
              </w:rPr>
              <w:t>①监测内容</w:t>
            </w:r>
          </w:p>
          <w:p w14:paraId="42353DA0">
            <w:pPr>
              <w:pageBreakBefore w:val="0"/>
              <w:kinsoku/>
              <w:wordWrap/>
              <w:overflowPunct/>
              <w:topLinePunct w:val="0"/>
              <w:autoSpaceDE/>
              <w:autoSpaceDN/>
              <w:bidi w:val="0"/>
              <w:adjustRightInd w:val="0"/>
              <w:snapToGrid w:val="0"/>
              <w:spacing w:line="480" w:lineRule="atLeast"/>
              <w:ind w:right="0" w:rightChars="0"/>
              <w:jc w:val="center"/>
              <w:textAlignment w:val="auto"/>
              <w:rPr>
                <w:rFonts w:hint="eastAsia" w:ascii="Times New Roman" w:hAnsi="Times New Roman" w:eastAsia="宋体"/>
                <w:b/>
                <w:bCs/>
                <w:caps w:val="0"/>
                <w:smallCaps w:val="0"/>
                <w:color w:val="auto"/>
                <w:spacing w:val="0"/>
                <w:w w:val="100"/>
                <w:kern w:val="0"/>
                <w:position w:val="0"/>
                <w:sz w:val="21"/>
                <w:szCs w:val="21"/>
                <w:highlight w:val="none"/>
                <w:lang w:eastAsia="zh-CN"/>
              </w:rPr>
            </w:pPr>
            <w:r>
              <w:rPr>
                <w:rFonts w:ascii="Times New Roman" w:hAnsi="Times New Roman"/>
                <w:b/>
                <w:bCs/>
                <w:caps w:val="0"/>
                <w:smallCaps w:val="0"/>
                <w:color w:val="auto"/>
                <w:spacing w:val="0"/>
                <w:w w:val="100"/>
                <w:kern w:val="0"/>
                <w:position w:val="0"/>
                <w:sz w:val="21"/>
                <w:szCs w:val="21"/>
                <w:highlight w:val="none"/>
              </w:rPr>
              <w:t>表</w:t>
            </w:r>
            <w:r>
              <w:rPr>
                <w:rFonts w:hint="eastAsia" w:ascii="Times New Roman" w:hAnsi="Times New Roman"/>
                <w:b/>
                <w:bCs/>
                <w:caps w:val="0"/>
                <w:smallCaps w:val="0"/>
                <w:color w:val="auto"/>
                <w:spacing w:val="0"/>
                <w:w w:val="100"/>
                <w:kern w:val="0"/>
                <w:position w:val="0"/>
                <w:sz w:val="21"/>
                <w:szCs w:val="21"/>
                <w:highlight w:val="none"/>
                <w:lang w:val="en-US" w:eastAsia="zh-CN"/>
              </w:rPr>
              <w:t xml:space="preserve">3-7  </w:t>
            </w:r>
            <w:r>
              <w:rPr>
                <w:rFonts w:hint="eastAsia"/>
                <w:b/>
                <w:bCs/>
                <w:caps w:val="0"/>
                <w:smallCaps w:val="0"/>
                <w:color w:val="auto"/>
                <w:spacing w:val="0"/>
                <w:w w:val="100"/>
                <w:kern w:val="0"/>
                <w:position w:val="0"/>
                <w:sz w:val="21"/>
                <w:szCs w:val="21"/>
                <w:highlight w:val="none"/>
                <w:lang w:val="en-US" w:eastAsia="zh-CN"/>
              </w:rPr>
              <w:t>土壤</w:t>
            </w:r>
            <w:r>
              <w:rPr>
                <w:rFonts w:ascii="Times New Roman" w:hAnsi="Times New Roman"/>
                <w:b/>
                <w:bCs/>
                <w:caps w:val="0"/>
                <w:smallCaps w:val="0"/>
                <w:color w:val="auto"/>
                <w:spacing w:val="0"/>
                <w:w w:val="100"/>
                <w:kern w:val="0"/>
                <w:position w:val="0"/>
                <w:sz w:val="21"/>
                <w:szCs w:val="21"/>
                <w:highlight w:val="none"/>
              </w:rPr>
              <w:t>环境现状监测布点一览表</w:t>
            </w:r>
          </w:p>
          <w:tbl>
            <w:tblPr>
              <w:tblStyle w:val="26"/>
              <w:tblW w:w="90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60"/>
              <w:gridCol w:w="754"/>
              <w:gridCol w:w="674"/>
              <w:gridCol w:w="1290"/>
              <w:gridCol w:w="889"/>
              <w:gridCol w:w="3909"/>
              <w:gridCol w:w="822"/>
            </w:tblGrid>
            <w:tr w14:paraId="50586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6" w:hRule="atLeast"/>
                <w:jc w:val="center"/>
              </w:trPr>
              <w:tc>
                <w:tcPr>
                  <w:tcW w:w="782" w:type="dxa"/>
                  <w:tcBorders>
                    <w:right w:val="single" w:color="auto" w:sz="4" w:space="0"/>
                  </w:tcBorders>
                  <w:noWrap w:val="0"/>
                  <w:vAlign w:val="center"/>
                </w:tcPr>
                <w:p w14:paraId="619893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b/>
                      <w:bCs w:val="0"/>
                      <w:caps w:val="0"/>
                      <w:smallCaps w:val="0"/>
                      <w:color w:val="000000" w:themeColor="text1"/>
                      <w:spacing w:val="0"/>
                      <w:w w:val="100"/>
                      <w:position w:val="0"/>
                      <w:sz w:val="21"/>
                      <w:szCs w:val="21"/>
                      <w14:textFill>
                        <w14:solidFill>
                          <w14:schemeClr w14:val="tx1"/>
                        </w14:solidFill>
                      </w14:textFill>
                    </w:rPr>
                  </w:pPr>
                  <w:r>
                    <w:rPr>
                      <w:rFonts w:ascii="Times New Roman" w:hAnsi="Times New Roman"/>
                      <w:b/>
                      <w:bCs w:val="0"/>
                      <w:caps w:val="0"/>
                      <w:smallCaps w:val="0"/>
                      <w:color w:val="000000" w:themeColor="text1"/>
                      <w:spacing w:val="0"/>
                      <w:w w:val="100"/>
                      <w:position w:val="0"/>
                      <w:sz w:val="21"/>
                      <w:szCs w:val="21"/>
                      <w14:textFill>
                        <w14:solidFill>
                          <w14:schemeClr w14:val="tx1"/>
                        </w14:solidFill>
                      </w14:textFill>
                    </w:rPr>
                    <w:t>测点编号</w:t>
                  </w:r>
                </w:p>
              </w:tc>
              <w:tc>
                <w:tcPr>
                  <w:tcW w:w="776" w:type="dxa"/>
                  <w:tcBorders>
                    <w:left w:val="single" w:color="auto" w:sz="4" w:space="0"/>
                  </w:tcBorders>
                  <w:noWrap w:val="0"/>
                  <w:vAlign w:val="center"/>
                </w:tcPr>
                <w:p w14:paraId="58E87C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b/>
                      <w:bCs w:val="0"/>
                      <w:caps w:val="0"/>
                      <w:smallCaps w:val="0"/>
                      <w:color w:val="000000" w:themeColor="text1"/>
                      <w:spacing w:val="0"/>
                      <w:w w:val="100"/>
                      <w:position w:val="0"/>
                      <w:sz w:val="21"/>
                      <w:szCs w:val="21"/>
                      <w:lang w:val="en-US" w:eastAsia="zh-CN"/>
                      <w14:textFill>
                        <w14:solidFill>
                          <w14:schemeClr w14:val="tx1"/>
                        </w14:solidFill>
                      </w14:textFill>
                    </w:rPr>
                  </w:pPr>
                  <w:r>
                    <w:rPr>
                      <w:rFonts w:hint="eastAsia"/>
                      <w:b/>
                      <w:bCs w:val="0"/>
                      <w:caps w:val="0"/>
                      <w:smallCaps w:val="0"/>
                      <w:color w:val="000000" w:themeColor="text1"/>
                      <w:spacing w:val="0"/>
                      <w:w w:val="100"/>
                      <w:position w:val="0"/>
                      <w:sz w:val="21"/>
                      <w:szCs w:val="21"/>
                      <w:lang w:val="en-US" w:eastAsia="zh-CN"/>
                      <w14:textFill>
                        <w14:solidFill>
                          <w14:schemeClr w14:val="tx1"/>
                        </w14:solidFill>
                      </w14:textFill>
                    </w:rPr>
                    <w:t>点位名称</w:t>
                  </w:r>
                </w:p>
              </w:tc>
              <w:tc>
                <w:tcPr>
                  <w:tcW w:w="691" w:type="dxa"/>
                  <w:tcBorders>
                    <w:left w:val="single" w:color="auto" w:sz="4" w:space="0"/>
                  </w:tcBorders>
                  <w:noWrap w:val="0"/>
                  <w:vAlign w:val="center"/>
                </w:tcPr>
                <w:p w14:paraId="3B94CD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b/>
                      <w:bCs w:val="0"/>
                      <w:caps w:val="0"/>
                      <w:smallCaps w:val="0"/>
                      <w:color w:val="000000" w:themeColor="text1"/>
                      <w:spacing w:val="0"/>
                      <w:w w:val="100"/>
                      <w:position w:val="0"/>
                      <w:sz w:val="21"/>
                      <w:szCs w:val="21"/>
                      <w:lang w:val="en-US" w:eastAsia="zh-CN"/>
                      <w14:textFill>
                        <w14:solidFill>
                          <w14:schemeClr w14:val="tx1"/>
                        </w14:solidFill>
                      </w14:textFill>
                    </w:rPr>
                  </w:pPr>
                  <w:r>
                    <w:rPr>
                      <w:rFonts w:hint="eastAsia" w:ascii="Times New Roman" w:hAnsi="Times New Roman"/>
                      <w:b/>
                      <w:bCs w:val="0"/>
                      <w:caps w:val="0"/>
                      <w:smallCaps w:val="0"/>
                      <w:color w:val="000000" w:themeColor="text1"/>
                      <w:spacing w:val="0"/>
                      <w:w w:val="100"/>
                      <w:position w:val="0"/>
                      <w:sz w:val="21"/>
                      <w:szCs w:val="21"/>
                      <w:lang w:val="en-US" w:eastAsia="zh-CN"/>
                      <w14:textFill>
                        <w14:solidFill>
                          <w14:schemeClr w14:val="tx1"/>
                        </w14:solidFill>
                      </w14:textFill>
                    </w:rPr>
                    <w:t>区域</w:t>
                  </w:r>
                </w:p>
              </w:tc>
              <w:tc>
                <w:tcPr>
                  <w:tcW w:w="950" w:type="dxa"/>
                  <w:tcBorders>
                    <w:left w:val="single" w:color="auto" w:sz="4" w:space="0"/>
                  </w:tcBorders>
                  <w:noWrap w:val="0"/>
                  <w:vAlign w:val="center"/>
                </w:tcPr>
                <w:p w14:paraId="77DB21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b/>
                      <w:bCs w:val="0"/>
                      <w:caps w:val="0"/>
                      <w:smallCaps w:val="0"/>
                      <w:color w:val="000000" w:themeColor="text1"/>
                      <w:spacing w:val="0"/>
                      <w:w w:val="100"/>
                      <w:position w:val="0"/>
                      <w:sz w:val="21"/>
                      <w:szCs w:val="21"/>
                      <w:lang w:eastAsia="zh-CN"/>
                      <w14:textFill>
                        <w14:solidFill>
                          <w14:schemeClr w14:val="tx1"/>
                        </w14:solidFill>
                      </w14:textFill>
                    </w:rPr>
                  </w:pPr>
                  <w:r>
                    <w:rPr>
                      <w:rFonts w:hint="eastAsia"/>
                      <w:b/>
                      <w:bCs w:val="0"/>
                      <w:caps w:val="0"/>
                      <w:smallCaps w:val="0"/>
                      <w:color w:val="000000" w:themeColor="text1"/>
                      <w:spacing w:val="0"/>
                      <w:w w:val="100"/>
                      <w:position w:val="0"/>
                      <w:sz w:val="21"/>
                      <w:szCs w:val="21"/>
                      <w:lang w:val="en-US" w:eastAsia="zh-CN"/>
                      <w14:textFill>
                        <w14:solidFill>
                          <w14:schemeClr w14:val="tx1"/>
                        </w14:solidFill>
                      </w14:textFill>
                    </w:rPr>
                    <w:t>经纬度</w:t>
                  </w:r>
                </w:p>
              </w:tc>
              <w:tc>
                <w:tcPr>
                  <w:tcW w:w="920" w:type="dxa"/>
                  <w:noWrap w:val="0"/>
                  <w:vAlign w:val="center"/>
                </w:tcPr>
                <w:p w14:paraId="454806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b/>
                      <w:bCs w:val="0"/>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hint="eastAsia" w:ascii="Times New Roman" w:hAnsi="Times New Roman"/>
                      <w:b/>
                      <w:bCs w:val="0"/>
                      <w:caps w:val="0"/>
                      <w:smallCaps w:val="0"/>
                      <w:color w:val="000000" w:themeColor="text1"/>
                      <w:spacing w:val="0"/>
                      <w:w w:val="100"/>
                      <w:position w:val="0"/>
                      <w:sz w:val="21"/>
                      <w:szCs w:val="21"/>
                      <w:lang w:val="en-US" w:eastAsia="zh-CN"/>
                      <w14:textFill>
                        <w14:solidFill>
                          <w14:schemeClr w14:val="tx1"/>
                        </w14:solidFill>
                      </w14:textFill>
                    </w:rPr>
                    <w:t>采样点特性</w:t>
                  </w:r>
                </w:p>
              </w:tc>
              <w:tc>
                <w:tcPr>
                  <w:tcW w:w="4130" w:type="dxa"/>
                  <w:noWrap w:val="0"/>
                  <w:vAlign w:val="center"/>
                </w:tcPr>
                <w:p w14:paraId="51D256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b/>
                      <w:bCs w:val="0"/>
                      <w:caps w:val="0"/>
                      <w:smallCaps w:val="0"/>
                      <w:color w:val="000000" w:themeColor="text1"/>
                      <w:spacing w:val="0"/>
                      <w:w w:val="100"/>
                      <w:position w:val="0"/>
                      <w:sz w:val="21"/>
                      <w:szCs w:val="21"/>
                      <w:lang w:val="en-US" w:eastAsia="zh-CN"/>
                      <w14:textFill>
                        <w14:solidFill>
                          <w14:schemeClr w14:val="tx1"/>
                        </w14:solidFill>
                      </w14:textFill>
                    </w:rPr>
                  </w:pPr>
                  <w:r>
                    <w:rPr>
                      <w:rFonts w:hint="eastAsia"/>
                      <w:b/>
                      <w:bCs w:val="0"/>
                      <w:caps w:val="0"/>
                      <w:smallCaps w:val="0"/>
                      <w:color w:val="000000" w:themeColor="text1"/>
                      <w:spacing w:val="0"/>
                      <w:w w:val="100"/>
                      <w:position w:val="0"/>
                      <w:sz w:val="21"/>
                      <w:szCs w:val="21"/>
                      <w:lang w:val="en-US" w:eastAsia="zh-CN"/>
                      <w14:textFill>
                        <w14:solidFill>
                          <w14:schemeClr w14:val="tx1"/>
                        </w14:solidFill>
                      </w14:textFill>
                    </w:rPr>
                    <w:t>监测因子</w:t>
                  </w:r>
                </w:p>
              </w:tc>
              <w:tc>
                <w:tcPr>
                  <w:tcW w:w="849" w:type="dxa"/>
                  <w:noWrap w:val="0"/>
                  <w:vAlign w:val="center"/>
                </w:tcPr>
                <w:p w14:paraId="28A767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val="0"/>
                      <w:caps w:val="0"/>
                      <w:smallCaps w:val="0"/>
                      <w:color w:val="000000" w:themeColor="text1"/>
                      <w:spacing w:val="0"/>
                      <w:w w:val="100"/>
                      <w:position w:val="0"/>
                      <w:sz w:val="21"/>
                      <w:szCs w:val="21"/>
                      <w:lang w:val="en-US" w:eastAsia="zh-CN"/>
                      <w14:textFill>
                        <w14:solidFill>
                          <w14:schemeClr w14:val="tx1"/>
                        </w14:solidFill>
                      </w14:textFill>
                    </w:rPr>
                  </w:pPr>
                  <w:r>
                    <w:rPr>
                      <w:rFonts w:hint="eastAsia"/>
                      <w:b/>
                      <w:bCs w:val="0"/>
                      <w:caps w:val="0"/>
                      <w:smallCaps w:val="0"/>
                      <w:color w:val="000000" w:themeColor="text1"/>
                      <w:spacing w:val="0"/>
                      <w:w w:val="100"/>
                      <w:position w:val="0"/>
                      <w:sz w:val="21"/>
                      <w:szCs w:val="21"/>
                      <w:lang w:val="en-US" w:eastAsia="zh-CN"/>
                      <w14:textFill>
                        <w14:solidFill>
                          <w14:schemeClr w14:val="tx1"/>
                        </w14:solidFill>
                      </w14:textFill>
                    </w:rPr>
                    <w:t>监测频次</w:t>
                  </w:r>
                </w:p>
              </w:tc>
            </w:tr>
            <w:tr w14:paraId="3AF74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95" w:hRule="atLeast"/>
                <w:jc w:val="center"/>
              </w:trPr>
              <w:tc>
                <w:tcPr>
                  <w:tcW w:w="782" w:type="dxa"/>
                  <w:tcBorders>
                    <w:right w:val="single" w:color="auto" w:sz="4" w:space="0"/>
                  </w:tcBorders>
                  <w:noWrap w:val="0"/>
                  <w:vAlign w:val="center"/>
                </w:tcPr>
                <w:p w14:paraId="449B59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aps w:val="0"/>
                      <w:smallCaps w:val="0"/>
                      <w:color w:val="000000" w:themeColor="text1"/>
                      <w:spacing w:val="0"/>
                      <w:w w:val="100"/>
                      <w:position w:val="0"/>
                      <w:sz w:val="21"/>
                      <w:szCs w:val="21"/>
                      <w:lang w:val="en-US" w:eastAsia="zh-CN"/>
                      <w14:textFill>
                        <w14:solidFill>
                          <w14:schemeClr w14:val="tx1"/>
                        </w14:solidFill>
                      </w14:textFill>
                    </w:rPr>
                  </w:pPr>
                  <w:r>
                    <w:rPr>
                      <w:rFonts w:hint="eastAsia" w:ascii="Times New Roman" w:hAnsi="Times New Roman"/>
                      <w:caps w:val="0"/>
                      <w:smallCaps w:val="0"/>
                      <w:color w:val="000000" w:themeColor="text1"/>
                      <w:spacing w:val="0"/>
                      <w:w w:val="100"/>
                      <w:position w:val="0"/>
                      <w:sz w:val="21"/>
                      <w:szCs w:val="21"/>
                      <w:lang w:val="en-US" w:eastAsia="zh-CN"/>
                      <w14:textFill>
                        <w14:solidFill>
                          <w14:schemeClr w14:val="tx1"/>
                        </w14:solidFill>
                      </w14:textFill>
                    </w:rPr>
                    <w:t>T1</w:t>
                  </w:r>
                </w:p>
              </w:tc>
              <w:tc>
                <w:tcPr>
                  <w:tcW w:w="776" w:type="dxa"/>
                  <w:tcBorders>
                    <w:left w:val="single" w:color="auto" w:sz="4" w:space="0"/>
                  </w:tcBorders>
                  <w:shd w:val="clear" w:color="auto" w:fill="auto"/>
                  <w:noWrap w:val="0"/>
                  <w:vAlign w:val="center"/>
                </w:tcPr>
                <w:p w14:paraId="1501FE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hint="eastAsia"/>
                      <w:caps w:val="0"/>
                      <w:smallCaps w:val="0"/>
                      <w:color w:val="000000" w:themeColor="text1"/>
                      <w:spacing w:val="0"/>
                      <w:w w:val="100"/>
                      <w:position w:val="0"/>
                      <w:sz w:val="21"/>
                      <w:szCs w:val="21"/>
                      <w:lang w:val="en-US" w:eastAsia="zh-CN"/>
                      <w14:textFill>
                        <w14:solidFill>
                          <w14:schemeClr w14:val="tx1"/>
                        </w14:solidFill>
                      </w14:textFill>
                    </w:rPr>
                    <w:t>厂房周边绿化带</w:t>
                  </w:r>
                </w:p>
              </w:tc>
              <w:tc>
                <w:tcPr>
                  <w:tcW w:w="691" w:type="dxa"/>
                  <w:tcBorders>
                    <w:left w:val="single" w:color="auto" w:sz="4" w:space="0"/>
                  </w:tcBorders>
                  <w:noWrap w:val="0"/>
                  <w:vAlign w:val="center"/>
                </w:tcPr>
                <w:p w14:paraId="08CD41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aps w:val="0"/>
                      <w:smallCaps w:val="0"/>
                      <w:color w:val="000000" w:themeColor="text1"/>
                      <w:spacing w:val="0"/>
                      <w:w w:val="100"/>
                      <w:position w:val="0"/>
                      <w:sz w:val="21"/>
                      <w:szCs w:val="21"/>
                      <w:lang w:val="en-US" w:eastAsia="zh-CN"/>
                      <w14:textFill>
                        <w14:solidFill>
                          <w14:schemeClr w14:val="tx1"/>
                        </w14:solidFill>
                      </w14:textFill>
                    </w:rPr>
                  </w:pPr>
                  <w:r>
                    <w:rPr>
                      <w:rFonts w:hint="eastAsia"/>
                      <w:caps w:val="0"/>
                      <w:smallCaps w:val="0"/>
                      <w:color w:val="000000" w:themeColor="text1"/>
                      <w:spacing w:val="0"/>
                      <w:w w:val="100"/>
                      <w:position w:val="0"/>
                      <w:sz w:val="21"/>
                      <w:szCs w:val="21"/>
                      <w:lang w:val="en-US" w:eastAsia="zh-CN"/>
                      <w14:textFill>
                        <w14:solidFill>
                          <w14:schemeClr w14:val="tx1"/>
                        </w14:solidFill>
                      </w14:textFill>
                    </w:rPr>
                    <w:t>占地范围外</w:t>
                  </w:r>
                </w:p>
              </w:tc>
              <w:tc>
                <w:tcPr>
                  <w:tcW w:w="950" w:type="dxa"/>
                  <w:tcBorders>
                    <w:left w:val="single" w:color="auto" w:sz="4" w:space="0"/>
                  </w:tcBorders>
                  <w:noWrap w:val="0"/>
                  <w:vAlign w:val="center"/>
                </w:tcPr>
                <w:p w14:paraId="60044C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aps w:val="0"/>
                      <w:smallCaps w:val="0"/>
                      <w:color w:val="000000" w:themeColor="text1"/>
                      <w:spacing w:val="0"/>
                      <w:w w:val="100"/>
                      <w:position w:val="0"/>
                      <w:sz w:val="21"/>
                      <w:szCs w:val="21"/>
                      <w:lang w:val="en-US" w:eastAsia="zh-CN"/>
                      <w14:textFill>
                        <w14:solidFill>
                          <w14:schemeClr w14:val="tx1"/>
                        </w14:solidFill>
                      </w14:textFill>
                    </w:rPr>
                  </w:pPr>
                  <w:r>
                    <w:rPr>
                      <w:rFonts w:hint="default" w:ascii="Times New Roman" w:hAnsi="Times New Roman" w:cs="Times New Roman"/>
                      <w:caps w:val="0"/>
                      <w:smallCaps w:val="0"/>
                      <w:color w:val="000000" w:themeColor="text1"/>
                      <w:spacing w:val="0"/>
                      <w:w w:val="100"/>
                      <w:position w:val="0"/>
                      <w:sz w:val="21"/>
                      <w:szCs w:val="21"/>
                      <w:lang w:val="en-US" w:eastAsia="zh-CN"/>
                      <w14:textFill>
                        <w14:solidFill>
                          <w14:schemeClr w14:val="tx1"/>
                        </w14:solidFill>
                      </w14:textFill>
                    </w:rPr>
                    <w:t>117.638804°</w:t>
                  </w:r>
                </w:p>
                <w:p w14:paraId="0F8F05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aps w:val="0"/>
                      <w:smallCaps w:val="0"/>
                      <w:color w:val="000000" w:themeColor="text1"/>
                      <w:spacing w:val="0"/>
                      <w:w w:val="100"/>
                      <w:position w:val="0"/>
                      <w:sz w:val="21"/>
                      <w:szCs w:val="21"/>
                      <w:lang w:val="en-US" w:eastAsia="zh-CN"/>
                      <w14:textFill>
                        <w14:solidFill>
                          <w14:schemeClr w14:val="tx1"/>
                        </w14:solidFill>
                      </w14:textFill>
                    </w:rPr>
                  </w:pPr>
                  <w:r>
                    <w:rPr>
                      <w:rFonts w:hint="default" w:ascii="Times New Roman" w:hAnsi="Times New Roman" w:cs="Times New Roman"/>
                      <w:caps w:val="0"/>
                      <w:smallCaps w:val="0"/>
                      <w:color w:val="000000" w:themeColor="text1"/>
                      <w:spacing w:val="0"/>
                      <w:w w:val="100"/>
                      <w:position w:val="0"/>
                      <w:sz w:val="21"/>
                      <w:szCs w:val="21"/>
                      <w:lang w:val="en-US" w:eastAsia="zh-CN"/>
                      <w14:textFill>
                        <w14:solidFill>
                          <w14:schemeClr w14:val="tx1"/>
                        </w14:solidFill>
                      </w14:textFill>
                    </w:rPr>
                    <w:t>30.740063°</w:t>
                  </w:r>
                </w:p>
              </w:tc>
              <w:tc>
                <w:tcPr>
                  <w:tcW w:w="920" w:type="dxa"/>
                  <w:shd w:val="clear" w:color="auto" w:fill="auto"/>
                  <w:noWrap w:val="0"/>
                  <w:vAlign w:val="center"/>
                </w:tcPr>
                <w:p w14:paraId="195365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hint="eastAsia" w:ascii="Times New Roman" w:hAnsi="Times New Roman"/>
                      <w:caps w:val="0"/>
                      <w:smallCaps w:val="0"/>
                      <w:color w:val="000000" w:themeColor="text1"/>
                      <w:spacing w:val="0"/>
                      <w:w w:val="100"/>
                      <w:position w:val="0"/>
                      <w:sz w:val="21"/>
                      <w:szCs w:val="21"/>
                      <w:lang w:val="en-US" w:eastAsia="zh-CN"/>
                      <w14:textFill>
                        <w14:solidFill>
                          <w14:schemeClr w14:val="tx1"/>
                        </w14:solidFill>
                      </w14:textFill>
                    </w:rPr>
                    <w:t>表层样</w:t>
                  </w:r>
                </w:p>
              </w:tc>
              <w:tc>
                <w:tcPr>
                  <w:tcW w:w="4130" w:type="dxa"/>
                  <w:shd w:val="clear" w:color="auto" w:fill="auto"/>
                  <w:noWrap w:val="0"/>
                  <w:vAlign w:val="center"/>
                </w:tcPr>
                <w:p w14:paraId="5E0E78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hint="eastAsia"/>
                      <w:caps w:val="0"/>
                      <w:smallCaps w:val="0"/>
                      <w:color w:val="000000" w:themeColor="text1"/>
                      <w:spacing w:val="0"/>
                      <w:w w:val="100"/>
                      <w:position w:val="0"/>
                      <w:sz w:val="21"/>
                      <w:szCs w:val="21"/>
                      <w:lang w:val="en-US" w:eastAsia="zh-CN"/>
                      <w14:textFill>
                        <w14:solidFill>
                          <w14:schemeClr w14:val="tx1"/>
                        </w14:solidFill>
                      </w14:textFill>
                    </w:rPr>
                    <w:t>pH值、</w:t>
                  </w:r>
                  <w:r>
                    <w:rPr>
                      <w:rFonts w:ascii="Times New Roman" w:hAnsi="Times New Roman" w:cs="Times New Roman"/>
                      <w:color w:val="auto"/>
                      <w:sz w:val="21"/>
                      <w:szCs w:val="21"/>
                    </w:rPr>
                    <w:t>砷、镉、</w:t>
                  </w:r>
                  <w:r>
                    <w:rPr>
                      <w:rFonts w:hint="eastAsia" w:ascii="Times New Roman" w:hAnsi="Times New Roman" w:cs="Times New Roman"/>
                      <w:color w:val="auto"/>
                      <w:sz w:val="21"/>
                      <w:szCs w:val="21"/>
                      <w:lang w:val="en-US" w:eastAsia="zh-CN"/>
                    </w:rPr>
                    <w:t>六价铬、</w:t>
                  </w:r>
                  <w:r>
                    <w:rPr>
                      <w:rFonts w:ascii="Times New Roman" w:hAnsi="Times New Roman" w:cs="Times New Roman"/>
                      <w:color w:val="auto"/>
                      <w:sz w:val="21"/>
                      <w:szCs w:val="21"/>
                    </w:rPr>
                    <w:t>铜、铅、汞、镍、四氯化碳、氯仿、氯甲烷、1，1-二氯乙烷、1，2-二氯乙烷、1，1-二氯乙烯、顺式-1，2-二氯乙烯、反式-1，2-二氯乙烯、二氯甲烷、1，2-二氯丙烷、1，1，1，2-四氯乙烷、1，1，2，2-四氯乙烷、四氯乙烯、1，1，1-三氯乙烷、1，1，2-三氯乙烷、三氯乙烯、1，2，3-三氯丙烷、氯乙烯、苯、氯苯、1，2-二氯苯、1，4-二氯苯、乙苯、苯乙烯、甲苯、间二甲苯+对二甲苯、邻二甲苯、硝基苯、苯胺、2-氯酚、苯并[a]蒽、苯并[a]芘、苯并[b]荧蒽、苯并[k]荧蒽、</w:t>
                  </w:r>
                  <w:r>
                    <w:rPr>
                      <w:rFonts w:hint="default" w:ascii="Times New Roman" w:hAnsi="Times New Roman" w:cs="Times New Roman"/>
                      <w:color w:val="auto"/>
                      <w:sz w:val="21"/>
                      <w:szCs w:val="21"/>
                      <w:lang w:val="en-US" w:eastAsia="zh-CN"/>
                    </w:rPr>
                    <w:t>䓛</w:t>
                  </w:r>
                  <w:r>
                    <w:rPr>
                      <w:rFonts w:ascii="Times New Roman" w:hAnsi="Times New Roman" w:cs="Times New Roman"/>
                      <w:color w:val="auto"/>
                      <w:sz w:val="21"/>
                      <w:szCs w:val="21"/>
                    </w:rPr>
                    <w:t>、二苯并[a，h]蒽、茆并[1，2，3-cd]芘、萘</w:t>
                  </w:r>
                  <w:r>
                    <w:rPr>
                      <w:rFonts w:hint="eastAsia" w:ascii="Times New Roman" w:hAnsi="Times New Roman" w:cs="Times New Roman"/>
                      <w:color w:val="auto"/>
                      <w:sz w:val="21"/>
                      <w:szCs w:val="21"/>
                      <w:lang w:val="en-US" w:eastAsia="zh-CN"/>
                    </w:rPr>
                    <w:t>等</w:t>
                  </w:r>
                </w:p>
              </w:tc>
              <w:tc>
                <w:tcPr>
                  <w:tcW w:w="849" w:type="dxa"/>
                  <w:noWrap w:val="0"/>
                  <w:vAlign w:val="center"/>
                </w:tcPr>
                <w:p w14:paraId="16F564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spacing w:val="-1"/>
                      <w:sz w:val="21"/>
                      <w:szCs w:val="21"/>
                      <w:lang w:val="en-US" w:eastAsia="zh-CN"/>
                      <w14:textFill>
                        <w14:solidFill>
                          <w14:schemeClr w14:val="tx1"/>
                        </w14:solidFill>
                      </w14:textFill>
                    </w:rPr>
                  </w:pPr>
                  <w:r>
                    <w:rPr>
                      <w:rFonts w:hint="eastAsia"/>
                      <w:color w:val="000000" w:themeColor="text1"/>
                      <w:spacing w:val="-1"/>
                      <w:sz w:val="21"/>
                      <w:szCs w:val="21"/>
                      <w:lang w:val="en-US" w:eastAsia="zh-CN"/>
                      <w14:textFill>
                        <w14:solidFill>
                          <w14:schemeClr w14:val="tx1"/>
                        </w14:solidFill>
                      </w14:textFill>
                    </w:rPr>
                    <w:t>监测一天</w:t>
                  </w:r>
                </w:p>
              </w:tc>
            </w:tr>
          </w:tbl>
          <w:p w14:paraId="01F8706C">
            <w:pPr>
              <w:pStyle w:val="2"/>
              <w:keepNext w:val="0"/>
              <w:keepLines w:val="0"/>
              <w:pageBreakBefore w:val="0"/>
              <w:kinsoku/>
              <w:wordWrap/>
              <w:overflowPunct/>
              <w:topLinePunct w:val="0"/>
              <w:autoSpaceDE/>
              <w:autoSpaceDN/>
              <w:bidi w:val="0"/>
              <w:snapToGrid/>
              <w:spacing w:before="0" w:after="0" w:line="480" w:lineRule="exact"/>
              <w:ind w:right="0"/>
              <w:textAlignment w:val="auto"/>
              <w:rPr>
                <w:rFonts w:hint="default" w:ascii="Times New Roman" w:hAnsi="Times New Roman" w:eastAsia="宋体" w:cs="Times New Roman"/>
                <w:color w:val="auto"/>
                <w:spacing w:val="0"/>
                <w:kern w:val="2"/>
                <w:position w:val="0"/>
                <w:sz w:val="24"/>
                <w:szCs w:val="24"/>
                <w:lang w:val="en-US" w:eastAsia="zh-CN" w:bidi="ar-SA"/>
              </w:rPr>
            </w:pPr>
            <w:r>
              <w:rPr>
                <w:rFonts w:hint="default" w:ascii="Times New Roman" w:hAnsi="Times New Roman" w:cs="Times New Roman"/>
                <w:caps w:val="0"/>
                <w:color w:val="auto"/>
                <w:spacing w:val="0"/>
                <w:sz w:val="21"/>
                <w:szCs w:val="21"/>
              </w:rPr>
              <w:drawing>
                <wp:anchor distT="0" distB="0" distL="114300" distR="114300" simplePos="0" relativeHeight="251668480" behindDoc="0" locked="0" layoutInCell="1" allowOverlap="1">
                  <wp:simplePos x="0" y="0"/>
                  <wp:positionH relativeFrom="column">
                    <wp:posOffset>4833620</wp:posOffset>
                  </wp:positionH>
                  <wp:positionV relativeFrom="paragraph">
                    <wp:posOffset>300355</wp:posOffset>
                  </wp:positionV>
                  <wp:extent cx="793115" cy="878840"/>
                  <wp:effectExtent l="0" t="0" r="14605" b="5080"/>
                  <wp:wrapNone/>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7"/>
                          <a:stretch>
                            <a:fillRect/>
                          </a:stretch>
                        </pic:blipFill>
                        <pic:spPr>
                          <a:xfrm>
                            <a:off x="0" y="0"/>
                            <a:ext cx="793115" cy="878840"/>
                          </a:xfrm>
                          <a:prstGeom prst="rect">
                            <a:avLst/>
                          </a:prstGeom>
                          <a:noFill/>
                          <a:ln>
                            <a:noFill/>
                          </a:ln>
                        </pic:spPr>
                      </pic:pic>
                    </a:graphicData>
                  </a:graphic>
                </wp:anchor>
              </w:drawing>
            </w:r>
          </w:p>
          <w:p w14:paraId="230AD822">
            <w:pPr>
              <w:pStyle w:val="2"/>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default" w:ascii="Times New Roman" w:hAnsi="Times New Roman" w:eastAsia="宋体" w:cs="Times New Roman"/>
                <w:color w:val="auto"/>
                <w:spacing w:val="0"/>
                <w:kern w:val="2"/>
                <w:position w:val="0"/>
                <w:sz w:val="24"/>
                <w:szCs w:val="24"/>
                <w:lang w:val="en-US" w:eastAsia="zh-CN" w:bidi="ar-SA"/>
              </w:rPr>
            </w:pPr>
            <w:r>
              <w:drawing>
                <wp:inline distT="0" distB="0" distL="114300" distR="114300">
                  <wp:extent cx="5537835" cy="4427220"/>
                  <wp:effectExtent l="0" t="0" r="9525" b="762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5"/>
                          <a:stretch>
                            <a:fillRect/>
                          </a:stretch>
                        </pic:blipFill>
                        <pic:spPr>
                          <a:xfrm>
                            <a:off x="0" y="0"/>
                            <a:ext cx="5537835" cy="4427220"/>
                          </a:xfrm>
                          <a:prstGeom prst="rect">
                            <a:avLst/>
                          </a:prstGeom>
                          <a:noFill/>
                          <a:ln>
                            <a:noFill/>
                          </a:ln>
                        </pic:spPr>
                      </pic:pic>
                    </a:graphicData>
                  </a:graphic>
                </wp:inline>
              </w:drawing>
            </w:r>
          </w:p>
          <w:p w14:paraId="2EE703BE">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宋体" w:cs="Times New Roman"/>
                <w:b/>
                <w:bCs/>
                <w:caps w:val="0"/>
                <w:color w:val="auto"/>
                <w:spacing w:val="0"/>
                <w:w w:val="100"/>
                <w:position w:val="0"/>
                <w:sz w:val="21"/>
                <w:szCs w:val="21"/>
                <w:lang w:val="en-US" w:eastAsia="zh-CN"/>
              </w:rPr>
            </w:pPr>
            <w:r>
              <w:rPr>
                <w:rFonts w:hint="eastAsia" w:cs="Times New Roman"/>
                <w:b/>
                <w:bCs/>
                <w:caps w:val="0"/>
                <w:color w:val="auto"/>
                <w:spacing w:val="0"/>
                <w:w w:val="100"/>
                <w:position w:val="0"/>
                <w:sz w:val="21"/>
                <w:szCs w:val="21"/>
                <w:lang w:val="en-US" w:eastAsia="zh-CN"/>
              </w:rPr>
              <w:t>图3-3  土壤环境现状监测点位图</w:t>
            </w:r>
          </w:p>
          <w:p w14:paraId="25F99977">
            <w:pPr>
              <w:keepNext w:val="0"/>
              <w:keepLines w:val="0"/>
              <w:pageBreakBefore w:val="0"/>
              <w:widowControl w:val="0"/>
              <w:kinsoku/>
              <w:wordWrap/>
              <w:overflowPunct/>
              <w:topLinePunct w:val="0"/>
              <w:autoSpaceDE/>
              <w:autoSpaceDN/>
              <w:bidi w:val="0"/>
              <w:adjustRightInd w:val="0"/>
              <w:snapToGrid/>
              <w:spacing w:line="480" w:lineRule="atLeast"/>
              <w:ind w:right="0" w:firstLine="480" w:firstLineChars="200"/>
              <w:textAlignment w:val="auto"/>
              <w:rPr>
                <w:rFonts w:hint="default" w:ascii="Times New Roman" w:hAnsi="Times New Roman" w:eastAsia="宋体" w:cs="Times New Roman"/>
                <w:caps w:val="0"/>
                <w:color w:val="auto"/>
                <w:spacing w:val="0"/>
                <w:w w:val="100"/>
                <w:kern w:val="0"/>
                <w:position w:val="0"/>
                <w:sz w:val="24"/>
                <w:lang w:val="en-US" w:eastAsia="zh-CN"/>
              </w:rPr>
            </w:pPr>
            <w:r>
              <w:rPr>
                <w:rFonts w:hint="default" w:ascii="Times New Roman" w:hAnsi="Times New Roman" w:eastAsia="宋体" w:cs="Times New Roman"/>
                <w:caps w:val="0"/>
                <w:color w:val="auto"/>
                <w:spacing w:val="0"/>
                <w:w w:val="100"/>
                <w:kern w:val="0"/>
                <w:position w:val="0"/>
                <w:sz w:val="24"/>
                <w:lang w:val="en-US" w:eastAsia="zh-CN"/>
              </w:rPr>
              <w:t>②监测结果</w:t>
            </w:r>
          </w:p>
          <w:p w14:paraId="282BBD6E">
            <w:pPr>
              <w:pageBreakBefore w:val="0"/>
              <w:kinsoku/>
              <w:wordWrap/>
              <w:overflowPunct/>
              <w:topLinePunct w:val="0"/>
              <w:autoSpaceDE/>
              <w:autoSpaceDN/>
              <w:bidi w:val="0"/>
              <w:adjustRightInd w:val="0"/>
              <w:snapToGrid w:val="0"/>
              <w:spacing w:line="480" w:lineRule="atLeast"/>
              <w:ind w:right="0" w:rightChars="0"/>
              <w:jc w:val="center"/>
              <w:textAlignment w:val="auto"/>
              <w:rPr>
                <w:rFonts w:hint="default" w:ascii="Times New Roman" w:hAnsi="Times New Roman" w:eastAsia="宋体" w:cs="Times New Roman"/>
                <w:b/>
                <w:bCs/>
                <w:caps w:val="0"/>
                <w:smallCaps w:val="0"/>
                <w:color w:val="auto"/>
                <w:spacing w:val="0"/>
                <w:w w:val="100"/>
                <w:kern w:val="0"/>
                <w:position w:val="0"/>
                <w:sz w:val="21"/>
                <w:szCs w:val="21"/>
                <w:highlight w:val="none"/>
                <w:lang w:val="en-US" w:eastAsia="zh-CN"/>
              </w:rPr>
            </w:pPr>
            <w:r>
              <w:rPr>
                <w:rFonts w:hint="eastAsia" w:ascii="Times New Roman" w:hAnsi="Times New Roman" w:eastAsia="宋体" w:cs="Times New Roman"/>
                <w:b/>
                <w:bCs/>
                <w:caps w:val="0"/>
                <w:smallCaps w:val="0"/>
                <w:color w:val="auto"/>
                <w:spacing w:val="0"/>
                <w:w w:val="100"/>
                <w:kern w:val="0"/>
                <w:position w:val="0"/>
                <w:sz w:val="21"/>
                <w:szCs w:val="21"/>
                <w:highlight w:val="none"/>
                <w:lang w:val="en-US" w:eastAsia="zh-CN"/>
              </w:rPr>
              <w:t xml:space="preserve">表3-8  </w:t>
            </w:r>
            <w:r>
              <w:rPr>
                <w:rFonts w:hint="default" w:ascii="Times New Roman" w:hAnsi="Times New Roman" w:eastAsia="宋体" w:cs="Times New Roman"/>
                <w:b/>
                <w:bCs/>
                <w:caps w:val="0"/>
                <w:smallCaps w:val="0"/>
                <w:color w:val="auto"/>
                <w:spacing w:val="0"/>
                <w:w w:val="100"/>
                <w:kern w:val="0"/>
                <w:position w:val="0"/>
                <w:sz w:val="21"/>
                <w:szCs w:val="21"/>
                <w:highlight w:val="none"/>
              </w:rPr>
              <w:t>土壤监测结果一览表</w:t>
            </w:r>
          </w:p>
          <w:tbl>
            <w:tblPr>
              <w:tblStyle w:val="69"/>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2745"/>
              <w:gridCol w:w="2601"/>
              <w:gridCol w:w="892"/>
              <w:gridCol w:w="886"/>
              <w:gridCol w:w="1914"/>
            </w:tblGrid>
            <w:tr w14:paraId="06CD6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572" w:hRule="atLeast"/>
                <w:jc w:val="center"/>
              </w:trPr>
              <w:tc>
                <w:tcPr>
                  <w:tcW w:w="2745" w:type="dxa"/>
                  <w:tcBorders>
                    <w:tl2br w:val="nil"/>
                    <w:tr2bl w:val="nil"/>
                  </w:tcBorders>
                  <w:shd w:val="clear" w:color="auto" w:fill="auto"/>
                  <w:vAlign w:val="center"/>
                </w:tcPr>
                <w:p w14:paraId="32B2ABC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bCs/>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目标分析物</w:t>
                  </w:r>
                </w:p>
              </w:tc>
              <w:tc>
                <w:tcPr>
                  <w:tcW w:w="2601" w:type="dxa"/>
                  <w:tcBorders>
                    <w:tl2br w:val="nil"/>
                    <w:tr2bl w:val="nil"/>
                  </w:tcBorders>
                  <w:shd w:val="clear" w:color="auto" w:fill="auto"/>
                  <w:vAlign w:val="center"/>
                </w:tcPr>
                <w:p w14:paraId="169E6A7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bCs/>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CASNo#</w:t>
                  </w:r>
                </w:p>
              </w:tc>
              <w:tc>
                <w:tcPr>
                  <w:tcW w:w="892" w:type="dxa"/>
                  <w:tcBorders>
                    <w:tl2br w:val="nil"/>
                    <w:tr2bl w:val="nil"/>
                  </w:tcBorders>
                  <w:shd w:val="clear" w:color="auto" w:fill="auto"/>
                  <w:vAlign w:val="center"/>
                </w:tcPr>
                <w:p w14:paraId="54DC260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bCs/>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报告限</w:t>
                  </w:r>
                </w:p>
              </w:tc>
              <w:tc>
                <w:tcPr>
                  <w:tcW w:w="886" w:type="dxa"/>
                  <w:tcBorders>
                    <w:tl2br w:val="nil"/>
                    <w:tr2bl w:val="nil"/>
                  </w:tcBorders>
                  <w:shd w:val="clear" w:color="auto" w:fill="auto"/>
                  <w:vAlign w:val="center"/>
                </w:tcPr>
                <w:p w14:paraId="20F1026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bCs/>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单位</w:t>
                  </w:r>
                </w:p>
              </w:tc>
              <w:tc>
                <w:tcPr>
                  <w:tcW w:w="1914" w:type="dxa"/>
                  <w:tcBorders>
                    <w:tl2br w:val="nil"/>
                    <w:tr2bl w:val="nil"/>
                  </w:tcBorders>
                  <w:shd w:val="clear" w:color="auto" w:fill="auto"/>
                  <w:vAlign w:val="center"/>
                </w:tcPr>
                <w:p w14:paraId="7F887C9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bCs/>
                      <w:color w:val="auto"/>
                      <w:spacing w:val="0"/>
                      <w:w w:val="100"/>
                      <w:position w:val="0"/>
                      <w:sz w:val="21"/>
                      <w:szCs w:val="21"/>
                      <w:lang w:eastAsia="zh-CN"/>
                    </w:rPr>
                  </w:pPr>
                  <w:r>
                    <w:rPr>
                      <w:rFonts w:hint="default" w:ascii="Times New Roman" w:hAnsi="Times New Roman" w:eastAsia="宋体" w:cs="Times New Roman"/>
                      <w:b/>
                      <w:bCs/>
                      <w:color w:val="auto"/>
                      <w:spacing w:val="0"/>
                      <w:w w:val="100"/>
                      <w:position w:val="0"/>
                      <w:sz w:val="21"/>
                      <w:szCs w:val="21"/>
                      <w:lang w:val="en-US" w:eastAsia="zh-CN"/>
                    </w:rPr>
                    <w:t>检测结果</w:t>
                  </w:r>
                  <w:r>
                    <w:rPr>
                      <w:rFonts w:hint="eastAsia" w:ascii="Times New Roman" w:hAnsi="Times New Roman" w:eastAsia="宋体" w:cs="Times New Roman"/>
                      <w:b/>
                      <w:bCs/>
                      <w:color w:val="auto"/>
                      <w:spacing w:val="0"/>
                      <w:w w:val="100"/>
                      <w:position w:val="0"/>
                      <w:sz w:val="21"/>
                      <w:szCs w:val="21"/>
                      <w:lang w:val="en-US" w:eastAsia="zh-CN"/>
                    </w:rPr>
                    <w:t>（</w:t>
                  </w:r>
                  <w:r>
                    <w:rPr>
                      <w:rFonts w:hint="default" w:ascii="Times New Roman" w:hAnsi="Times New Roman" w:eastAsia="宋体" w:cs="Times New Roman"/>
                      <w:b/>
                      <w:bCs/>
                      <w:color w:val="auto"/>
                      <w:sz w:val="21"/>
                      <w:szCs w:val="21"/>
                      <w:highlight w:val="none"/>
                      <w:lang w:val="en-US" w:eastAsia="zh-CN"/>
                    </w:rPr>
                    <w:t>T1</w:t>
                  </w:r>
                  <w:r>
                    <w:rPr>
                      <w:rFonts w:hint="eastAsia"/>
                      <w:b/>
                      <w:bCs/>
                      <w:caps w:val="0"/>
                      <w:smallCaps w:val="0"/>
                      <w:color w:val="auto"/>
                      <w:spacing w:val="0"/>
                      <w:w w:val="100"/>
                      <w:position w:val="0"/>
                      <w:sz w:val="21"/>
                      <w:szCs w:val="21"/>
                      <w:lang w:val="en-US" w:eastAsia="zh-CN"/>
                    </w:rPr>
                    <w:t>厂房周边绿化带</w:t>
                  </w:r>
                  <w:r>
                    <w:rPr>
                      <w:rFonts w:hint="eastAsia" w:ascii="Times New Roman" w:hAnsi="Times New Roman" w:eastAsia="宋体" w:cs="Times New Roman"/>
                      <w:b/>
                      <w:bCs/>
                      <w:color w:val="auto"/>
                      <w:spacing w:val="0"/>
                      <w:w w:val="100"/>
                      <w:position w:val="0"/>
                      <w:sz w:val="21"/>
                      <w:szCs w:val="21"/>
                      <w:lang w:val="en-US" w:eastAsia="zh-CN"/>
                    </w:rPr>
                    <w:t>）</w:t>
                  </w:r>
                </w:p>
              </w:tc>
            </w:tr>
            <w:tr w14:paraId="45CFF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9038" w:type="dxa"/>
                  <w:gridSpan w:val="5"/>
                  <w:tcBorders>
                    <w:tl2br w:val="nil"/>
                    <w:tr2bl w:val="nil"/>
                  </w:tcBorders>
                  <w:shd w:val="clear" w:color="auto" w:fill="auto"/>
                  <w:vAlign w:val="center"/>
                </w:tcPr>
                <w:p w14:paraId="18869D7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类别:重金属和无机物</w:t>
                  </w:r>
                </w:p>
              </w:tc>
            </w:tr>
            <w:tr w14:paraId="051DE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280" w:hRule="atLeast"/>
                <w:jc w:val="center"/>
              </w:trPr>
              <w:tc>
                <w:tcPr>
                  <w:tcW w:w="2745" w:type="dxa"/>
                  <w:tcBorders>
                    <w:tl2br w:val="nil"/>
                    <w:tr2bl w:val="nil"/>
                  </w:tcBorders>
                  <w:shd w:val="clear" w:color="auto" w:fill="auto"/>
                  <w:vAlign w:val="center"/>
                </w:tcPr>
                <w:p w14:paraId="1D47BFC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1&gt;:pH</w:t>
                  </w:r>
                </w:p>
              </w:tc>
              <w:tc>
                <w:tcPr>
                  <w:tcW w:w="2601" w:type="dxa"/>
                  <w:tcBorders>
                    <w:tl2br w:val="nil"/>
                    <w:tr2bl w:val="nil"/>
                  </w:tcBorders>
                  <w:shd w:val="clear" w:color="auto" w:fill="auto"/>
                  <w:vAlign w:val="center"/>
                </w:tcPr>
                <w:p w14:paraId="5504189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w:t>
                  </w:r>
                </w:p>
              </w:tc>
              <w:tc>
                <w:tcPr>
                  <w:tcW w:w="892" w:type="dxa"/>
                  <w:tcBorders>
                    <w:tl2br w:val="nil"/>
                    <w:tr2bl w:val="nil"/>
                  </w:tcBorders>
                  <w:shd w:val="clear" w:color="auto" w:fill="auto"/>
                  <w:vAlign w:val="center"/>
                </w:tcPr>
                <w:p w14:paraId="7DECD6A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w:t>
                  </w:r>
                </w:p>
              </w:tc>
              <w:tc>
                <w:tcPr>
                  <w:tcW w:w="886" w:type="dxa"/>
                  <w:tcBorders>
                    <w:tl2br w:val="nil"/>
                    <w:tr2bl w:val="nil"/>
                  </w:tcBorders>
                  <w:shd w:val="clear" w:color="auto" w:fill="auto"/>
                  <w:vAlign w:val="center"/>
                </w:tcPr>
                <w:p w14:paraId="3CCE403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w:t>
                  </w:r>
                </w:p>
              </w:tc>
              <w:tc>
                <w:tcPr>
                  <w:tcW w:w="1914" w:type="dxa"/>
                  <w:tcBorders>
                    <w:tl2br w:val="nil"/>
                    <w:tr2bl w:val="nil"/>
                  </w:tcBorders>
                  <w:shd w:val="clear" w:color="auto" w:fill="auto"/>
                  <w:vAlign w:val="center"/>
                </w:tcPr>
                <w:p w14:paraId="2E7FF52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7.84</w:t>
                  </w:r>
                </w:p>
              </w:tc>
            </w:tr>
            <w:tr w14:paraId="7D954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080F982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2&gt;:砷</w:t>
                  </w:r>
                </w:p>
              </w:tc>
              <w:tc>
                <w:tcPr>
                  <w:tcW w:w="2601" w:type="dxa"/>
                  <w:tcBorders>
                    <w:tl2br w:val="nil"/>
                    <w:tr2bl w:val="nil"/>
                  </w:tcBorders>
                  <w:shd w:val="clear" w:color="auto" w:fill="auto"/>
                  <w:vAlign w:val="center"/>
                </w:tcPr>
                <w:p w14:paraId="1E5D738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7440-38-2</w:t>
                  </w:r>
                </w:p>
              </w:tc>
              <w:tc>
                <w:tcPr>
                  <w:tcW w:w="892" w:type="dxa"/>
                  <w:tcBorders>
                    <w:tl2br w:val="nil"/>
                    <w:tr2bl w:val="nil"/>
                  </w:tcBorders>
                  <w:shd w:val="clear" w:color="auto" w:fill="auto"/>
                  <w:vAlign w:val="center"/>
                </w:tcPr>
                <w:p w14:paraId="2A67080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0.01</w:t>
                  </w:r>
                </w:p>
              </w:tc>
              <w:tc>
                <w:tcPr>
                  <w:tcW w:w="886" w:type="dxa"/>
                  <w:tcBorders>
                    <w:tl2br w:val="nil"/>
                    <w:tr2bl w:val="nil"/>
                  </w:tcBorders>
                  <w:shd w:val="clear" w:color="auto" w:fill="auto"/>
                  <w:vAlign w:val="center"/>
                </w:tcPr>
                <w:p w14:paraId="3EB8702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1A80A93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9.44</w:t>
                  </w:r>
                </w:p>
              </w:tc>
            </w:tr>
            <w:tr w14:paraId="0ECFC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2DBBF13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3&gt;:镉</w:t>
                  </w:r>
                </w:p>
              </w:tc>
              <w:tc>
                <w:tcPr>
                  <w:tcW w:w="2601" w:type="dxa"/>
                  <w:tcBorders>
                    <w:tl2br w:val="nil"/>
                    <w:tr2bl w:val="nil"/>
                  </w:tcBorders>
                  <w:shd w:val="clear" w:color="auto" w:fill="auto"/>
                  <w:vAlign w:val="center"/>
                </w:tcPr>
                <w:p w14:paraId="47472FD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7440-43-9</w:t>
                  </w:r>
                </w:p>
              </w:tc>
              <w:tc>
                <w:tcPr>
                  <w:tcW w:w="892" w:type="dxa"/>
                  <w:tcBorders>
                    <w:tl2br w:val="nil"/>
                    <w:tr2bl w:val="nil"/>
                  </w:tcBorders>
                  <w:shd w:val="clear" w:color="auto" w:fill="auto"/>
                  <w:vAlign w:val="center"/>
                </w:tcPr>
                <w:p w14:paraId="7383549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0.01</w:t>
                  </w:r>
                </w:p>
              </w:tc>
              <w:tc>
                <w:tcPr>
                  <w:tcW w:w="886" w:type="dxa"/>
                  <w:tcBorders>
                    <w:tl2br w:val="nil"/>
                    <w:tr2bl w:val="nil"/>
                  </w:tcBorders>
                  <w:shd w:val="clear" w:color="auto" w:fill="auto"/>
                  <w:vAlign w:val="center"/>
                </w:tcPr>
                <w:p w14:paraId="72ECC6C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4B373F8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0.19</w:t>
                  </w:r>
                </w:p>
              </w:tc>
            </w:tr>
            <w:tr w14:paraId="7D666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3FAC0D4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4&gt;:铬(六价)</w:t>
                  </w:r>
                </w:p>
              </w:tc>
              <w:tc>
                <w:tcPr>
                  <w:tcW w:w="2601" w:type="dxa"/>
                  <w:tcBorders>
                    <w:tl2br w:val="nil"/>
                    <w:tr2bl w:val="nil"/>
                  </w:tcBorders>
                  <w:shd w:val="clear" w:color="auto" w:fill="auto"/>
                  <w:vAlign w:val="center"/>
                </w:tcPr>
                <w:p w14:paraId="1963ACB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18540-29-9</w:t>
                  </w:r>
                </w:p>
              </w:tc>
              <w:tc>
                <w:tcPr>
                  <w:tcW w:w="892" w:type="dxa"/>
                  <w:tcBorders>
                    <w:tl2br w:val="nil"/>
                    <w:tr2bl w:val="nil"/>
                  </w:tcBorders>
                  <w:shd w:val="clear" w:color="auto" w:fill="auto"/>
                  <w:vAlign w:val="center"/>
                </w:tcPr>
                <w:p w14:paraId="7BBF761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0.5</w:t>
                  </w:r>
                </w:p>
              </w:tc>
              <w:tc>
                <w:tcPr>
                  <w:tcW w:w="886" w:type="dxa"/>
                  <w:tcBorders>
                    <w:tl2br w:val="nil"/>
                    <w:tr2bl w:val="nil"/>
                  </w:tcBorders>
                  <w:shd w:val="clear" w:color="auto" w:fill="auto"/>
                  <w:vAlign w:val="center"/>
                </w:tcPr>
                <w:p w14:paraId="646BAF4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4BD5336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63A62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21FBB01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5&gt;:铜</w:t>
                  </w:r>
                </w:p>
              </w:tc>
              <w:tc>
                <w:tcPr>
                  <w:tcW w:w="2601" w:type="dxa"/>
                  <w:tcBorders>
                    <w:tl2br w:val="nil"/>
                    <w:tr2bl w:val="nil"/>
                  </w:tcBorders>
                  <w:shd w:val="clear" w:color="auto" w:fill="auto"/>
                  <w:vAlign w:val="center"/>
                </w:tcPr>
                <w:p w14:paraId="28129F6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7440-50-8</w:t>
                  </w:r>
                </w:p>
              </w:tc>
              <w:tc>
                <w:tcPr>
                  <w:tcW w:w="892" w:type="dxa"/>
                  <w:tcBorders>
                    <w:tl2br w:val="nil"/>
                    <w:tr2bl w:val="nil"/>
                  </w:tcBorders>
                  <w:shd w:val="clear" w:color="auto" w:fill="auto"/>
                  <w:vAlign w:val="center"/>
                </w:tcPr>
                <w:p w14:paraId="10E4096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w:t>
                  </w:r>
                </w:p>
              </w:tc>
              <w:tc>
                <w:tcPr>
                  <w:tcW w:w="886" w:type="dxa"/>
                  <w:tcBorders>
                    <w:tl2br w:val="nil"/>
                    <w:tr2bl w:val="nil"/>
                  </w:tcBorders>
                  <w:shd w:val="clear" w:color="auto" w:fill="auto"/>
                  <w:vAlign w:val="center"/>
                </w:tcPr>
                <w:p w14:paraId="01BAE98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1AEF852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30</w:t>
                  </w:r>
                </w:p>
              </w:tc>
            </w:tr>
            <w:tr w14:paraId="1DBD2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774593B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6&gt;:铅</w:t>
                  </w:r>
                </w:p>
              </w:tc>
              <w:tc>
                <w:tcPr>
                  <w:tcW w:w="2601" w:type="dxa"/>
                  <w:tcBorders>
                    <w:tl2br w:val="nil"/>
                    <w:tr2bl w:val="nil"/>
                  </w:tcBorders>
                  <w:shd w:val="clear" w:color="auto" w:fill="auto"/>
                  <w:vAlign w:val="center"/>
                </w:tcPr>
                <w:p w14:paraId="66E8D83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7439-92-1</w:t>
                  </w:r>
                </w:p>
              </w:tc>
              <w:tc>
                <w:tcPr>
                  <w:tcW w:w="892" w:type="dxa"/>
                  <w:tcBorders>
                    <w:tl2br w:val="nil"/>
                    <w:tr2bl w:val="nil"/>
                  </w:tcBorders>
                  <w:shd w:val="clear" w:color="auto" w:fill="auto"/>
                  <w:vAlign w:val="center"/>
                </w:tcPr>
                <w:p w14:paraId="225A7A6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0.1</w:t>
                  </w:r>
                </w:p>
              </w:tc>
              <w:tc>
                <w:tcPr>
                  <w:tcW w:w="886" w:type="dxa"/>
                  <w:tcBorders>
                    <w:tl2br w:val="nil"/>
                    <w:tr2bl w:val="nil"/>
                  </w:tcBorders>
                  <w:shd w:val="clear" w:color="auto" w:fill="auto"/>
                  <w:vAlign w:val="center"/>
                </w:tcPr>
                <w:p w14:paraId="11E0262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04E0668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15.0</w:t>
                  </w:r>
                </w:p>
              </w:tc>
            </w:tr>
            <w:tr w14:paraId="7E1DF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25BEF69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7&gt;:汞</w:t>
                  </w:r>
                </w:p>
              </w:tc>
              <w:tc>
                <w:tcPr>
                  <w:tcW w:w="2601" w:type="dxa"/>
                  <w:tcBorders>
                    <w:tl2br w:val="nil"/>
                    <w:tr2bl w:val="nil"/>
                  </w:tcBorders>
                  <w:shd w:val="clear" w:color="auto" w:fill="auto"/>
                  <w:vAlign w:val="center"/>
                </w:tcPr>
                <w:p w14:paraId="410BED0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7439-97-6</w:t>
                  </w:r>
                </w:p>
              </w:tc>
              <w:tc>
                <w:tcPr>
                  <w:tcW w:w="892" w:type="dxa"/>
                  <w:tcBorders>
                    <w:tl2br w:val="nil"/>
                    <w:tr2bl w:val="nil"/>
                  </w:tcBorders>
                  <w:shd w:val="clear" w:color="auto" w:fill="auto"/>
                  <w:vAlign w:val="center"/>
                </w:tcPr>
                <w:p w14:paraId="0C174C3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0.002</w:t>
                  </w:r>
                </w:p>
              </w:tc>
              <w:tc>
                <w:tcPr>
                  <w:tcW w:w="886" w:type="dxa"/>
                  <w:tcBorders>
                    <w:tl2br w:val="nil"/>
                    <w:tr2bl w:val="nil"/>
                  </w:tcBorders>
                  <w:shd w:val="clear" w:color="auto" w:fill="auto"/>
                  <w:vAlign w:val="center"/>
                </w:tcPr>
                <w:p w14:paraId="7661559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38B115E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0.070</w:t>
                  </w:r>
                </w:p>
              </w:tc>
            </w:tr>
            <w:tr w14:paraId="1556D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0BCA424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8&gt;:镍</w:t>
                  </w:r>
                </w:p>
              </w:tc>
              <w:tc>
                <w:tcPr>
                  <w:tcW w:w="2601" w:type="dxa"/>
                  <w:tcBorders>
                    <w:tl2br w:val="nil"/>
                    <w:tr2bl w:val="nil"/>
                  </w:tcBorders>
                  <w:shd w:val="clear" w:color="auto" w:fill="auto"/>
                  <w:vAlign w:val="center"/>
                </w:tcPr>
                <w:p w14:paraId="7334242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7440-02-0</w:t>
                  </w:r>
                </w:p>
              </w:tc>
              <w:tc>
                <w:tcPr>
                  <w:tcW w:w="892" w:type="dxa"/>
                  <w:tcBorders>
                    <w:tl2br w:val="nil"/>
                    <w:tr2bl w:val="nil"/>
                  </w:tcBorders>
                  <w:shd w:val="clear" w:color="auto" w:fill="auto"/>
                  <w:vAlign w:val="center"/>
                </w:tcPr>
                <w:p w14:paraId="7871A5E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w:t>
                  </w:r>
                </w:p>
              </w:tc>
              <w:tc>
                <w:tcPr>
                  <w:tcW w:w="886" w:type="dxa"/>
                  <w:tcBorders>
                    <w:tl2br w:val="nil"/>
                    <w:tr2bl w:val="nil"/>
                  </w:tcBorders>
                  <w:shd w:val="clear" w:color="auto" w:fill="auto"/>
                  <w:vAlign w:val="center"/>
                </w:tcPr>
                <w:p w14:paraId="32FFBC2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6A66759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54</w:t>
                  </w:r>
                </w:p>
              </w:tc>
            </w:tr>
            <w:tr w14:paraId="01C0C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9038" w:type="dxa"/>
                  <w:gridSpan w:val="5"/>
                  <w:tcBorders>
                    <w:tl2br w:val="nil"/>
                    <w:tr2bl w:val="nil"/>
                  </w:tcBorders>
                  <w:shd w:val="clear" w:color="auto" w:fill="auto"/>
                  <w:vAlign w:val="center"/>
                </w:tcPr>
                <w:p w14:paraId="704D72B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类别:挥发性有机物</w:t>
                  </w:r>
                </w:p>
              </w:tc>
            </w:tr>
            <w:tr w14:paraId="5881B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3F6184C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9&gt;:四氯化碳</w:t>
                  </w:r>
                </w:p>
              </w:tc>
              <w:tc>
                <w:tcPr>
                  <w:tcW w:w="2601" w:type="dxa"/>
                  <w:tcBorders>
                    <w:tl2br w:val="nil"/>
                    <w:tr2bl w:val="nil"/>
                  </w:tcBorders>
                  <w:shd w:val="clear" w:color="auto" w:fill="auto"/>
                  <w:vAlign w:val="center"/>
                </w:tcPr>
                <w:p w14:paraId="3363407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56-23-5</w:t>
                  </w:r>
                </w:p>
              </w:tc>
              <w:tc>
                <w:tcPr>
                  <w:tcW w:w="892" w:type="dxa"/>
                  <w:tcBorders>
                    <w:tl2br w:val="nil"/>
                    <w:tr2bl w:val="nil"/>
                  </w:tcBorders>
                  <w:shd w:val="clear" w:color="auto" w:fill="auto"/>
                  <w:vAlign w:val="center"/>
                </w:tcPr>
                <w:p w14:paraId="606FFF9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1.3</w:t>
                  </w:r>
                </w:p>
              </w:tc>
              <w:tc>
                <w:tcPr>
                  <w:tcW w:w="886" w:type="dxa"/>
                  <w:tcBorders>
                    <w:tl2br w:val="nil"/>
                    <w:tr2bl w:val="nil"/>
                  </w:tcBorders>
                  <w:shd w:val="clear" w:color="auto" w:fill="auto"/>
                  <w:vAlign w:val="center"/>
                </w:tcPr>
                <w:p w14:paraId="01B77E7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3377C63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3A01C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47735B4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10&gt;:氯仿</w:t>
                  </w:r>
                </w:p>
              </w:tc>
              <w:tc>
                <w:tcPr>
                  <w:tcW w:w="2601" w:type="dxa"/>
                  <w:tcBorders>
                    <w:tl2br w:val="nil"/>
                    <w:tr2bl w:val="nil"/>
                  </w:tcBorders>
                  <w:shd w:val="clear" w:color="auto" w:fill="auto"/>
                  <w:vAlign w:val="center"/>
                </w:tcPr>
                <w:p w14:paraId="6451419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67-66-3</w:t>
                  </w:r>
                </w:p>
              </w:tc>
              <w:tc>
                <w:tcPr>
                  <w:tcW w:w="892" w:type="dxa"/>
                  <w:tcBorders>
                    <w:tl2br w:val="nil"/>
                    <w:tr2bl w:val="nil"/>
                  </w:tcBorders>
                  <w:shd w:val="clear" w:color="auto" w:fill="auto"/>
                  <w:vAlign w:val="center"/>
                </w:tcPr>
                <w:p w14:paraId="6D89908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1.1</w:t>
                  </w:r>
                </w:p>
              </w:tc>
              <w:tc>
                <w:tcPr>
                  <w:tcW w:w="886" w:type="dxa"/>
                  <w:tcBorders>
                    <w:tl2br w:val="nil"/>
                    <w:tr2bl w:val="nil"/>
                  </w:tcBorders>
                  <w:shd w:val="clear" w:color="auto" w:fill="auto"/>
                  <w:vAlign w:val="center"/>
                </w:tcPr>
                <w:p w14:paraId="4F616CD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6828395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6.5</w:t>
                  </w:r>
                </w:p>
              </w:tc>
            </w:tr>
            <w:tr w14:paraId="49A28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26EAD67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11&gt;:氯甲烷</w:t>
                  </w:r>
                </w:p>
              </w:tc>
              <w:tc>
                <w:tcPr>
                  <w:tcW w:w="2601" w:type="dxa"/>
                  <w:tcBorders>
                    <w:tl2br w:val="nil"/>
                    <w:tr2bl w:val="nil"/>
                  </w:tcBorders>
                  <w:shd w:val="clear" w:color="auto" w:fill="auto"/>
                  <w:vAlign w:val="center"/>
                </w:tcPr>
                <w:p w14:paraId="5FB727B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74-87-3</w:t>
                  </w:r>
                </w:p>
              </w:tc>
              <w:tc>
                <w:tcPr>
                  <w:tcW w:w="892" w:type="dxa"/>
                  <w:tcBorders>
                    <w:tl2br w:val="nil"/>
                    <w:tr2bl w:val="nil"/>
                  </w:tcBorders>
                  <w:shd w:val="clear" w:color="auto" w:fill="auto"/>
                  <w:vAlign w:val="center"/>
                </w:tcPr>
                <w:p w14:paraId="3140387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w:t>
                  </w:r>
                </w:p>
              </w:tc>
              <w:tc>
                <w:tcPr>
                  <w:tcW w:w="886" w:type="dxa"/>
                  <w:tcBorders>
                    <w:tl2br w:val="nil"/>
                    <w:tr2bl w:val="nil"/>
                  </w:tcBorders>
                  <w:shd w:val="clear" w:color="auto" w:fill="auto"/>
                  <w:vAlign w:val="center"/>
                </w:tcPr>
                <w:p w14:paraId="72C237D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0D7A021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28253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467EB2F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12&gt;:1,1-二氯乙烷</w:t>
                  </w:r>
                </w:p>
              </w:tc>
              <w:tc>
                <w:tcPr>
                  <w:tcW w:w="2601" w:type="dxa"/>
                  <w:tcBorders>
                    <w:tl2br w:val="nil"/>
                    <w:tr2bl w:val="nil"/>
                  </w:tcBorders>
                  <w:shd w:val="clear" w:color="auto" w:fill="auto"/>
                  <w:vAlign w:val="center"/>
                </w:tcPr>
                <w:p w14:paraId="68FC34D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75-34-3</w:t>
                  </w:r>
                </w:p>
              </w:tc>
              <w:tc>
                <w:tcPr>
                  <w:tcW w:w="892" w:type="dxa"/>
                  <w:tcBorders>
                    <w:tl2br w:val="nil"/>
                    <w:tr2bl w:val="nil"/>
                  </w:tcBorders>
                  <w:shd w:val="clear" w:color="auto" w:fill="auto"/>
                  <w:vAlign w:val="center"/>
                </w:tcPr>
                <w:p w14:paraId="07EA63A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5AC7B5F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370E94B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01AF9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1AA359D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13&gt;:1,2-二氯乙烷</w:t>
                  </w:r>
                </w:p>
              </w:tc>
              <w:tc>
                <w:tcPr>
                  <w:tcW w:w="2601" w:type="dxa"/>
                  <w:tcBorders>
                    <w:tl2br w:val="nil"/>
                    <w:tr2bl w:val="nil"/>
                  </w:tcBorders>
                  <w:shd w:val="clear" w:color="auto" w:fill="auto"/>
                  <w:vAlign w:val="center"/>
                </w:tcPr>
                <w:p w14:paraId="1CB0D04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107-06-2</w:t>
                  </w:r>
                </w:p>
              </w:tc>
              <w:tc>
                <w:tcPr>
                  <w:tcW w:w="892" w:type="dxa"/>
                  <w:tcBorders>
                    <w:tl2br w:val="nil"/>
                    <w:tr2bl w:val="nil"/>
                  </w:tcBorders>
                  <w:shd w:val="clear" w:color="auto" w:fill="auto"/>
                  <w:vAlign w:val="center"/>
                </w:tcPr>
                <w:p w14:paraId="7F945A9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1.3</w:t>
                  </w:r>
                </w:p>
              </w:tc>
              <w:tc>
                <w:tcPr>
                  <w:tcW w:w="886" w:type="dxa"/>
                  <w:tcBorders>
                    <w:tl2br w:val="nil"/>
                    <w:tr2bl w:val="nil"/>
                  </w:tcBorders>
                  <w:shd w:val="clear" w:color="auto" w:fill="auto"/>
                  <w:vAlign w:val="center"/>
                </w:tcPr>
                <w:p w14:paraId="18E46AB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20CCD9A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56FE9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0EEAA5A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14&gt;:1,1-二氯乙烯</w:t>
                  </w:r>
                </w:p>
              </w:tc>
              <w:tc>
                <w:tcPr>
                  <w:tcW w:w="2601" w:type="dxa"/>
                  <w:tcBorders>
                    <w:tl2br w:val="nil"/>
                    <w:tr2bl w:val="nil"/>
                  </w:tcBorders>
                  <w:shd w:val="clear" w:color="auto" w:fill="auto"/>
                  <w:vAlign w:val="center"/>
                </w:tcPr>
                <w:p w14:paraId="3F56312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75-35-4</w:t>
                  </w:r>
                </w:p>
              </w:tc>
              <w:tc>
                <w:tcPr>
                  <w:tcW w:w="892" w:type="dxa"/>
                  <w:tcBorders>
                    <w:tl2br w:val="nil"/>
                    <w:tr2bl w:val="nil"/>
                  </w:tcBorders>
                  <w:shd w:val="clear" w:color="auto" w:fill="auto"/>
                  <w:vAlign w:val="center"/>
                </w:tcPr>
                <w:p w14:paraId="09BB75B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w:t>
                  </w:r>
                </w:p>
              </w:tc>
              <w:tc>
                <w:tcPr>
                  <w:tcW w:w="886" w:type="dxa"/>
                  <w:tcBorders>
                    <w:tl2br w:val="nil"/>
                    <w:tr2bl w:val="nil"/>
                  </w:tcBorders>
                  <w:shd w:val="clear" w:color="auto" w:fill="auto"/>
                  <w:vAlign w:val="center"/>
                </w:tcPr>
                <w:p w14:paraId="2F7AB9F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3B3079E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0F0CF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1D6CF07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15&gt;:顺-1,2-二氯乙烯</w:t>
                  </w:r>
                </w:p>
              </w:tc>
              <w:tc>
                <w:tcPr>
                  <w:tcW w:w="2601" w:type="dxa"/>
                  <w:tcBorders>
                    <w:tl2br w:val="nil"/>
                    <w:tr2bl w:val="nil"/>
                  </w:tcBorders>
                  <w:shd w:val="clear" w:color="auto" w:fill="auto"/>
                  <w:vAlign w:val="center"/>
                </w:tcPr>
                <w:p w14:paraId="5174603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156-59-2</w:t>
                  </w:r>
                </w:p>
              </w:tc>
              <w:tc>
                <w:tcPr>
                  <w:tcW w:w="892" w:type="dxa"/>
                  <w:tcBorders>
                    <w:tl2br w:val="nil"/>
                    <w:tr2bl w:val="nil"/>
                  </w:tcBorders>
                  <w:shd w:val="clear" w:color="auto" w:fill="auto"/>
                  <w:vAlign w:val="center"/>
                </w:tcPr>
                <w:p w14:paraId="3CC54D5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1.3</w:t>
                  </w:r>
                </w:p>
              </w:tc>
              <w:tc>
                <w:tcPr>
                  <w:tcW w:w="886" w:type="dxa"/>
                  <w:tcBorders>
                    <w:tl2br w:val="nil"/>
                    <w:tr2bl w:val="nil"/>
                  </w:tcBorders>
                  <w:shd w:val="clear" w:color="auto" w:fill="auto"/>
                  <w:vAlign w:val="center"/>
                </w:tcPr>
                <w:p w14:paraId="6341B2B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7E521AE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1994D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76FE7CA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16&gt;:反-1,2-二氯乙烯</w:t>
                  </w:r>
                </w:p>
              </w:tc>
              <w:tc>
                <w:tcPr>
                  <w:tcW w:w="2601" w:type="dxa"/>
                  <w:tcBorders>
                    <w:tl2br w:val="nil"/>
                    <w:tr2bl w:val="nil"/>
                  </w:tcBorders>
                  <w:shd w:val="clear" w:color="auto" w:fill="auto"/>
                  <w:vAlign w:val="center"/>
                </w:tcPr>
                <w:p w14:paraId="295750E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156-60-5</w:t>
                  </w:r>
                </w:p>
              </w:tc>
              <w:tc>
                <w:tcPr>
                  <w:tcW w:w="892" w:type="dxa"/>
                  <w:tcBorders>
                    <w:tl2br w:val="nil"/>
                    <w:tr2bl w:val="nil"/>
                  </w:tcBorders>
                  <w:shd w:val="clear" w:color="auto" w:fill="auto"/>
                  <w:vAlign w:val="center"/>
                </w:tcPr>
                <w:p w14:paraId="1508465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1.4</w:t>
                  </w:r>
                </w:p>
              </w:tc>
              <w:tc>
                <w:tcPr>
                  <w:tcW w:w="886" w:type="dxa"/>
                  <w:tcBorders>
                    <w:tl2br w:val="nil"/>
                    <w:tr2bl w:val="nil"/>
                  </w:tcBorders>
                  <w:shd w:val="clear" w:color="auto" w:fill="auto"/>
                  <w:vAlign w:val="center"/>
                </w:tcPr>
                <w:p w14:paraId="01670BD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70BEB63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46D40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3603185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17&gt;:二氯甲烷</w:t>
                  </w:r>
                </w:p>
              </w:tc>
              <w:tc>
                <w:tcPr>
                  <w:tcW w:w="2601" w:type="dxa"/>
                  <w:tcBorders>
                    <w:tl2br w:val="nil"/>
                    <w:tr2bl w:val="nil"/>
                  </w:tcBorders>
                  <w:shd w:val="clear" w:color="auto" w:fill="auto"/>
                  <w:vAlign w:val="center"/>
                </w:tcPr>
                <w:p w14:paraId="512F33B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75-09-2</w:t>
                  </w:r>
                </w:p>
              </w:tc>
              <w:tc>
                <w:tcPr>
                  <w:tcW w:w="892" w:type="dxa"/>
                  <w:tcBorders>
                    <w:tl2br w:val="nil"/>
                    <w:tr2bl w:val="nil"/>
                  </w:tcBorders>
                  <w:shd w:val="clear" w:color="auto" w:fill="auto"/>
                  <w:vAlign w:val="center"/>
                </w:tcPr>
                <w:p w14:paraId="3AAAA05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1.5</w:t>
                  </w:r>
                </w:p>
              </w:tc>
              <w:tc>
                <w:tcPr>
                  <w:tcW w:w="886" w:type="dxa"/>
                  <w:tcBorders>
                    <w:tl2br w:val="nil"/>
                    <w:tr2bl w:val="nil"/>
                  </w:tcBorders>
                  <w:shd w:val="clear" w:color="auto" w:fill="auto"/>
                  <w:vAlign w:val="center"/>
                </w:tcPr>
                <w:p w14:paraId="171C16E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0BBCE1B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23.1</w:t>
                  </w:r>
                </w:p>
              </w:tc>
            </w:tr>
            <w:tr w14:paraId="03318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5C3B05D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18&gt;:1,2-二氯丙烷</w:t>
                  </w:r>
                </w:p>
              </w:tc>
              <w:tc>
                <w:tcPr>
                  <w:tcW w:w="2601" w:type="dxa"/>
                  <w:tcBorders>
                    <w:tl2br w:val="nil"/>
                    <w:tr2bl w:val="nil"/>
                  </w:tcBorders>
                  <w:shd w:val="clear" w:color="auto" w:fill="auto"/>
                  <w:vAlign w:val="center"/>
                </w:tcPr>
                <w:p w14:paraId="515CF1B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78-87-5</w:t>
                  </w:r>
                </w:p>
              </w:tc>
              <w:tc>
                <w:tcPr>
                  <w:tcW w:w="892" w:type="dxa"/>
                  <w:tcBorders>
                    <w:tl2br w:val="nil"/>
                    <w:tr2bl w:val="nil"/>
                  </w:tcBorders>
                  <w:shd w:val="clear" w:color="auto" w:fill="auto"/>
                  <w:vAlign w:val="center"/>
                </w:tcPr>
                <w:p w14:paraId="02BED8C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1.1</w:t>
                  </w:r>
                </w:p>
              </w:tc>
              <w:tc>
                <w:tcPr>
                  <w:tcW w:w="886" w:type="dxa"/>
                  <w:tcBorders>
                    <w:tl2br w:val="nil"/>
                    <w:tr2bl w:val="nil"/>
                  </w:tcBorders>
                  <w:shd w:val="clear" w:color="auto" w:fill="auto"/>
                  <w:vAlign w:val="center"/>
                </w:tcPr>
                <w:p w14:paraId="26DD4D6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49C110C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0E583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53A4A5F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19&gt;:1,1,1,2-四氯乙烷</w:t>
                  </w:r>
                </w:p>
              </w:tc>
              <w:tc>
                <w:tcPr>
                  <w:tcW w:w="2601" w:type="dxa"/>
                  <w:tcBorders>
                    <w:tl2br w:val="nil"/>
                    <w:tr2bl w:val="nil"/>
                  </w:tcBorders>
                  <w:shd w:val="clear" w:color="auto" w:fill="auto"/>
                  <w:vAlign w:val="center"/>
                </w:tcPr>
                <w:p w14:paraId="403BC43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630-20-6</w:t>
                  </w:r>
                </w:p>
              </w:tc>
              <w:tc>
                <w:tcPr>
                  <w:tcW w:w="892" w:type="dxa"/>
                  <w:tcBorders>
                    <w:tl2br w:val="nil"/>
                    <w:tr2bl w:val="nil"/>
                  </w:tcBorders>
                  <w:shd w:val="clear" w:color="auto" w:fill="auto"/>
                  <w:vAlign w:val="center"/>
                </w:tcPr>
                <w:p w14:paraId="7C1427A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1230B47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7601FAF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21AE3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2745" w:type="dxa"/>
                  <w:tcBorders>
                    <w:tl2br w:val="nil"/>
                    <w:tr2bl w:val="nil"/>
                  </w:tcBorders>
                  <w:shd w:val="clear" w:color="auto" w:fill="auto"/>
                  <w:vAlign w:val="center"/>
                </w:tcPr>
                <w:p w14:paraId="32327C8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20&gt;:1,1,2,2-四氯乙烷</w:t>
                  </w:r>
                </w:p>
              </w:tc>
              <w:tc>
                <w:tcPr>
                  <w:tcW w:w="2601" w:type="dxa"/>
                  <w:tcBorders>
                    <w:tl2br w:val="nil"/>
                    <w:tr2bl w:val="nil"/>
                  </w:tcBorders>
                  <w:shd w:val="clear" w:color="auto" w:fill="auto"/>
                  <w:vAlign w:val="center"/>
                </w:tcPr>
                <w:p w14:paraId="6CEBD2E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79-34-5</w:t>
                  </w:r>
                </w:p>
              </w:tc>
              <w:tc>
                <w:tcPr>
                  <w:tcW w:w="892" w:type="dxa"/>
                  <w:tcBorders>
                    <w:tl2br w:val="nil"/>
                    <w:tr2bl w:val="nil"/>
                  </w:tcBorders>
                  <w:shd w:val="clear" w:color="auto" w:fill="auto"/>
                  <w:vAlign w:val="center"/>
                </w:tcPr>
                <w:p w14:paraId="563B286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64AB6D9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245CC9D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3A59E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32FF528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21&gt;:四氯乙烯127-18-4</w:t>
                  </w:r>
                </w:p>
              </w:tc>
              <w:tc>
                <w:tcPr>
                  <w:tcW w:w="892" w:type="dxa"/>
                  <w:tcBorders>
                    <w:tl2br w:val="nil"/>
                    <w:tr2bl w:val="nil"/>
                  </w:tcBorders>
                  <w:shd w:val="clear" w:color="auto" w:fill="auto"/>
                  <w:vAlign w:val="center"/>
                </w:tcPr>
                <w:p w14:paraId="2F215D3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1.4</w:t>
                  </w:r>
                </w:p>
              </w:tc>
              <w:tc>
                <w:tcPr>
                  <w:tcW w:w="886" w:type="dxa"/>
                  <w:tcBorders>
                    <w:tl2br w:val="nil"/>
                    <w:tr2bl w:val="nil"/>
                  </w:tcBorders>
                  <w:shd w:val="clear" w:color="auto" w:fill="auto"/>
                  <w:vAlign w:val="center"/>
                </w:tcPr>
                <w:p w14:paraId="715644D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6CC5CBB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643B7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49D8584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22&gt;:1,1,1-三氯乙烷71-55-6</w:t>
                  </w:r>
                </w:p>
              </w:tc>
              <w:tc>
                <w:tcPr>
                  <w:tcW w:w="892" w:type="dxa"/>
                  <w:tcBorders>
                    <w:tl2br w:val="nil"/>
                    <w:tr2bl w:val="nil"/>
                  </w:tcBorders>
                  <w:shd w:val="clear" w:color="auto" w:fill="auto"/>
                  <w:vAlign w:val="center"/>
                </w:tcPr>
                <w:p w14:paraId="08C96EA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1.3</w:t>
                  </w:r>
                </w:p>
              </w:tc>
              <w:tc>
                <w:tcPr>
                  <w:tcW w:w="886" w:type="dxa"/>
                  <w:tcBorders>
                    <w:tl2br w:val="nil"/>
                    <w:tr2bl w:val="nil"/>
                  </w:tcBorders>
                  <w:shd w:val="clear" w:color="auto" w:fill="auto"/>
                  <w:vAlign w:val="center"/>
                </w:tcPr>
                <w:p w14:paraId="59A481F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40E03D7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55CAC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7BF415F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23&gt;:1,1,2-三氯乙烷79-00-5</w:t>
                  </w:r>
                </w:p>
              </w:tc>
              <w:tc>
                <w:tcPr>
                  <w:tcW w:w="892" w:type="dxa"/>
                  <w:tcBorders>
                    <w:tl2br w:val="nil"/>
                    <w:tr2bl w:val="nil"/>
                  </w:tcBorders>
                  <w:shd w:val="clear" w:color="auto" w:fill="auto"/>
                  <w:vAlign w:val="center"/>
                </w:tcPr>
                <w:p w14:paraId="7F908EA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27D7E14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5AB8538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2CA5C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1D8711D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24&gt;:三氯乙烯79-01-6</w:t>
                  </w:r>
                </w:p>
              </w:tc>
              <w:tc>
                <w:tcPr>
                  <w:tcW w:w="892" w:type="dxa"/>
                  <w:tcBorders>
                    <w:tl2br w:val="nil"/>
                    <w:tr2bl w:val="nil"/>
                  </w:tcBorders>
                  <w:shd w:val="clear" w:color="auto" w:fill="auto"/>
                  <w:vAlign w:val="center"/>
                </w:tcPr>
                <w:p w14:paraId="610E1D0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7013079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345563F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02897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08FAD4B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25&gt;:1,2,3-三氯丙烷96-18-4</w:t>
                  </w:r>
                </w:p>
              </w:tc>
              <w:tc>
                <w:tcPr>
                  <w:tcW w:w="892" w:type="dxa"/>
                  <w:tcBorders>
                    <w:tl2br w:val="nil"/>
                    <w:tr2bl w:val="nil"/>
                  </w:tcBorders>
                  <w:shd w:val="clear" w:color="auto" w:fill="auto"/>
                  <w:vAlign w:val="center"/>
                </w:tcPr>
                <w:p w14:paraId="7EE5613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0AF7ADC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7D53DD5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51DBA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0DE8255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26&gt;:氯乙烯75-01-4</w:t>
                  </w:r>
                </w:p>
              </w:tc>
              <w:tc>
                <w:tcPr>
                  <w:tcW w:w="892" w:type="dxa"/>
                  <w:tcBorders>
                    <w:tl2br w:val="nil"/>
                    <w:tr2bl w:val="nil"/>
                  </w:tcBorders>
                  <w:shd w:val="clear" w:color="auto" w:fill="auto"/>
                  <w:vAlign w:val="center"/>
                </w:tcPr>
                <w:p w14:paraId="74CC710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w:t>
                  </w:r>
                </w:p>
              </w:tc>
              <w:tc>
                <w:tcPr>
                  <w:tcW w:w="886" w:type="dxa"/>
                  <w:tcBorders>
                    <w:tl2br w:val="nil"/>
                    <w:tr2bl w:val="nil"/>
                  </w:tcBorders>
                  <w:shd w:val="clear" w:color="auto" w:fill="auto"/>
                  <w:vAlign w:val="center"/>
                </w:tcPr>
                <w:p w14:paraId="6B6C450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02F39F8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7E3D3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0F3E61A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27&gt;:苯71-43-2</w:t>
                  </w:r>
                </w:p>
              </w:tc>
              <w:tc>
                <w:tcPr>
                  <w:tcW w:w="892" w:type="dxa"/>
                  <w:tcBorders>
                    <w:tl2br w:val="nil"/>
                    <w:tr2bl w:val="nil"/>
                  </w:tcBorders>
                  <w:shd w:val="clear" w:color="auto" w:fill="auto"/>
                  <w:vAlign w:val="center"/>
                </w:tcPr>
                <w:p w14:paraId="6A923BD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1.9</w:t>
                  </w:r>
                </w:p>
              </w:tc>
              <w:tc>
                <w:tcPr>
                  <w:tcW w:w="886" w:type="dxa"/>
                  <w:tcBorders>
                    <w:tl2br w:val="nil"/>
                    <w:tr2bl w:val="nil"/>
                  </w:tcBorders>
                  <w:shd w:val="clear" w:color="auto" w:fill="auto"/>
                  <w:vAlign w:val="center"/>
                </w:tcPr>
                <w:p w14:paraId="579D524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5648B98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1500E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5AC6DD9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28&gt;:氯苯108-90-7</w:t>
                  </w:r>
                </w:p>
              </w:tc>
              <w:tc>
                <w:tcPr>
                  <w:tcW w:w="892" w:type="dxa"/>
                  <w:tcBorders>
                    <w:tl2br w:val="nil"/>
                    <w:tr2bl w:val="nil"/>
                  </w:tcBorders>
                  <w:shd w:val="clear" w:color="auto" w:fill="auto"/>
                  <w:vAlign w:val="center"/>
                </w:tcPr>
                <w:p w14:paraId="6E77A62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00FDFCB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7374053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17BF4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141E34C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29&gt;:1,2-二氯苯95-50-1</w:t>
                  </w:r>
                </w:p>
              </w:tc>
              <w:tc>
                <w:tcPr>
                  <w:tcW w:w="892" w:type="dxa"/>
                  <w:tcBorders>
                    <w:tl2br w:val="nil"/>
                    <w:tr2bl w:val="nil"/>
                  </w:tcBorders>
                  <w:shd w:val="clear" w:color="auto" w:fill="auto"/>
                  <w:vAlign w:val="center"/>
                </w:tcPr>
                <w:p w14:paraId="4DBE8E0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1.5</w:t>
                  </w:r>
                </w:p>
              </w:tc>
              <w:tc>
                <w:tcPr>
                  <w:tcW w:w="886" w:type="dxa"/>
                  <w:tcBorders>
                    <w:tl2br w:val="nil"/>
                    <w:tr2bl w:val="nil"/>
                  </w:tcBorders>
                  <w:shd w:val="clear" w:color="auto" w:fill="auto"/>
                  <w:vAlign w:val="center"/>
                </w:tcPr>
                <w:p w14:paraId="3017C65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55F1CDB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03B3B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44B4FB6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30&gt;:1,4-二氯苯106-46-7</w:t>
                  </w:r>
                </w:p>
              </w:tc>
              <w:tc>
                <w:tcPr>
                  <w:tcW w:w="892" w:type="dxa"/>
                  <w:tcBorders>
                    <w:tl2br w:val="nil"/>
                    <w:tr2bl w:val="nil"/>
                  </w:tcBorders>
                  <w:shd w:val="clear" w:color="auto" w:fill="auto"/>
                  <w:vAlign w:val="center"/>
                </w:tcPr>
                <w:p w14:paraId="2ED1E09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1.5</w:t>
                  </w:r>
                </w:p>
              </w:tc>
              <w:tc>
                <w:tcPr>
                  <w:tcW w:w="886" w:type="dxa"/>
                  <w:tcBorders>
                    <w:tl2br w:val="nil"/>
                    <w:tr2bl w:val="nil"/>
                  </w:tcBorders>
                  <w:shd w:val="clear" w:color="auto" w:fill="auto"/>
                  <w:vAlign w:val="center"/>
                </w:tcPr>
                <w:p w14:paraId="64F708E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68A6BD7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0DDBB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0A664D7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31&gt;:乙苯100-41-4</w:t>
                  </w:r>
                </w:p>
              </w:tc>
              <w:tc>
                <w:tcPr>
                  <w:tcW w:w="892" w:type="dxa"/>
                  <w:tcBorders>
                    <w:tl2br w:val="nil"/>
                    <w:tr2bl w:val="nil"/>
                  </w:tcBorders>
                  <w:shd w:val="clear" w:color="auto" w:fill="auto"/>
                  <w:vAlign w:val="center"/>
                </w:tcPr>
                <w:p w14:paraId="14653D0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174E9A0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65E5A19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37480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7E43470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32&gt;:苯乙烯100-42-5</w:t>
                  </w:r>
                </w:p>
              </w:tc>
              <w:tc>
                <w:tcPr>
                  <w:tcW w:w="892" w:type="dxa"/>
                  <w:tcBorders>
                    <w:tl2br w:val="nil"/>
                    <w:tr2bl w:val="nil"/>
                  </w:tcBorders>
                  <w:shd w:val="clear" w:color="auto" w:fill="auto"/>
                  <w:vAlign w:val="center"/>
                </w:tcPr>
                <w:p w14:paraId="26702C9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1.1</w:t>
                  </w:r>
                </w:p>
              </w:tc>
              <w:tc>
                <w:tcPr>
                  <w:tcW w:w="886" w:type="dxa"/>
                  <w:tcBorders>
                    <w:tl2br w:val="nil"/>
                    <w:tr2bl w:val="nil"/>
                  </w:tcBorders>
                  <w:shd w:val="clear" w:color="auto" w:fill="auto"/>
                  <w:vAlign w:val="center"/>
                </w:tcPr>
                <w:p w14:paraId="415460E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1EED64F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7057B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7AF73C8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33&gt;:甲苯108-88-3</w:t>
                  </w:r>
                </w:p>
              </w:tc>
              <w:tc>
                <w:tcPr>
                  <w:tcW w:w="892" w:type="dxa"/>
                  <w:tcBorders>
                    <w:tl2br w:val="nil"/>
                    <w:tr2bl w:val="nil"/>
                  </w:tcBorders>
                  <w:shd w:val="clear" w:color="auto" w:fill="auto"/>
                  <w:vAlign w:val="center"/>
                </w:tcPr>
                <w:p w14:paraId="1F690FD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1.3</w:t>
                  </w:r>
                </w:p>
              </w:tc>
              <w:tc>
                <w:tcPr>
                  <w:tcW w:w="886" w:type="dxa"/>
                  <w:tcBorders>
                    <w:tl2br w:val="nil"/>
                    <w:tr2bl w:val="nil"/>
                  </w:tcBorders>
                  <w:shd w:val="clear" w:color="auto" w:fill="auto"/>
                  <w:vAlign w:val="center"/>
                </w:tcPr>
                <w:p w14:paraId="4896C00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0589C7E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71004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58ADA84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34&gt;:间二甲苯+对二甲苯108-38-3/106-42-3</w:t>
                  </w:r>
                </w:p>
              </w:tc>
              <w:tc>
                <w:tcPr>
                  <w:tcW w:w="892" w:type="dxa"/>
                  <w:tcBorders>
                    <w:tl2br w:val="nil"/>
                    <w:tr2bl w:val="nil"/>
                  </w:tcBorders>
                  <w:shd w:val="clear" w:color="auto" w:fill="auto"/>
                  <w:vAlign w:val="center"/>
                </w:tcPr>
                <w:p w14:paraId="06D4324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0CC4CF8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3A9C034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409E6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750E452C">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35&gt;:邻二甲苯95-47-6</w:t>
                  </w:r>
                </w:p>
              </w:tc>
              <w:tc>
                <w:tcPr>
                  <w:tcW w:w="892" w:type="dxa"/>
                  <w:tcBorders>
                    <w:tl2br w:val="nil"/>
                    <w:tr2bl w:val="nil"/>
                  </w:tcBorders>
                  <w:shd w:val="clear" w:color="auto" w:fill="auto"/>
                  <w:vAlign w:val="center"/>
                </w:tcPr>
                <w:p w14:paraId="1E5927C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1.2</w:t>
                  </w:r>
                </w:p>
              </w:tc>
              <w:tc>
                <w:tcPr>
                  <w:tcW w:w="886" w:type="dxa"/>
                  <w:tcBorders>
                    <w:tl2br w:val="nil"/>
                    <w:tr2bl w:val="nil"/>
                  </w:tcBorders>
                  <w:shd w:val="clear" w:color="auto" w:fill="auto"/>
                  <w:vAlign w:val="center"/>
                </w:tcPr>
                <w:p w14:paraId="784B6A34">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μg/kg</w:t>
                  </w:r>
                </w:p>
              </w:tc>
              <w:tc>
                <w:tcPr>
                  <w:tcW w:w="1914" w:type="dxa"/>
                  <w:tcBorders>
                    <w:tl2br w:val="nil"/>
                    <w:tr2bl w:val="nil"/>
                  </w:tcBorders>
                  <w:shd w:val="clear" w:color="auto" w:fill="auto"/>
                  <w:vAlign w:val="center"/>
                </w:tcPr>
                <w:p w14:paraId="7DA12FE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58F45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9038" w:type="dxa"/>
                  <w:gridSpan w:val="5"/>
                  <w:tcBorders>
                    <w:tl2br w:val="nil"/>
                    <w:tr2bl w:val="nil"/>
                  </w:tcBorders>
                  <w:shd w:val="clear" w:color="auto" w:fill="auto"/>
                  <w:vAlign w:val="center"/>
                </w:tcPr>
                <w:p w14:paraId="35BCED0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类别:半挥发性有机物</w:t>
                  </w:r>
                </w:p>
              </w:tc>
            </w:tr>
            <w:tr w14:paraId="46685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37E421E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36&gt;:硝基苯98-95-3</w:t>
                  </w:r>
                </w:p>
              </w:tc>
              <w:tc>
                <w:tcPr>
                  <w:tcW w:w="892" w:type="dxa"/>
                  <w:tcBorders>
                    <w:tl2br w:val="nil"/>
                    <w:tr2bl w:val="nil"/>
                  </w:tcBorders>
                  <w:shd w:val="clear" w:color="auto" w:fill="auto"/>
                  <w:vAlign w:val="center"/>
                </w:tcPr>
                <w:p w14:paraId="46EA3A5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0.09</w:t>
                  </w:r>
                </w:p>
              </w:tc>
              <w:tc>
                <w:tcPr>
                  <w:tcW w:w="886" w:type="dxa"/>
                  <w:tcBorders>
                    <w:tl2br w:val="nil"/>
                    <w:tr2bl w:val="nil"/>
                  </w:tcBorders>
                  <w:shd w:val="clear" w:color="auto" w:fill="auto"/>
                  <w:vAlign w:val="center"/>
                </w:tcPr>
                <w:p w14:paraId="6EE2D9E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0E44F9E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5DF00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1045BE8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37&gt;:苯胺62-53-3</w:t>
                  </w:r>
                </w:p>
              </w:tc>
              <w:tc>
                <w:tcPr>
                  <w:tcW w:w="892" w:type="dxa"/>
                  <w:tcBorders>
                    <w:tl2br w:val="nil"/>
                    <w:tr2bl w:val="nil"/>
                  </w:tcBorders>
                  <w:shd w:val="clear" w:color="auto" w:fill="auto"/>
                  <w:vAlign w:val="center"/>
                </w:tcPr>
                <w:p w14:paraId="5AC32B22">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0.1</w:t>
                  </w:r>
                </w:p>
              </w:tc>
              <w:tc>
                <w:tcPr>
                  <w:tcW w:w="886" w:type="dxa"/>
                  <w:tcBorders>
                    <w:tl2br w:val="nil"/>
                    <w:tr2bl w:val="nil"/>
                  </w:tcBorders>
                  <w:shd w:val="clear" w:color="auto" w:fill="auto"/>
                  <w:vAlign w:val="center"/>
                </w:tcPr>
                <w:p w14:paraId="074A67B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7398A01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4A8F4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632A995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38&gt;:2-氯酚95-57-8</w:t>
                  </w:r>
                </w:p>
              </w:tc>
              <w:tc>
                <w:tcPr>
                  <w:tcW w:w="892" w:type="dxa"/>
                  <w:tcBorders>
                    <w:tl2br w:val="nil"/>
                    <w:tr2bl w:val="nil"/>
                  </w:tcBorders>
                  <w:shd w:val="clear" w:color="auto" w:fill="auto"/>
                  <w:vAlign w:val="center"/>
                </w:tcPr>
                <w:p w14:paraId="287093C7">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0.06</w:t>
                  </w:r>
                </w:p>
              </w:tc>
              <w:tc>
                <w:tcPr>
                  <w:tcW w:w="886" w:type="dxa"/>
                  <w:tcBorders>
                    <w:tl2br w:val="nil"/>
                    <w:tr2bl w:val="nil"/>
                  </w:tcBorders>
                  <w:shd w:val="clear" w:color="auto" w:fill="auto"/>
                  <w:vAlign w:val="center"/>
                </w:tcPr>
                <w:p w14:paraId="564BBC68">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161473C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7BC4C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56848DA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39&gt;:苯并[a]蒽56-55-3</w:t>
                  </w:r>
                </w:p>
              </w:tc>
              <w:tc>
                <w:tcPr>
                  <w:tcW w:w="892" w:type="dxa"/>
                  <w:tcBorders>
                    <w:tl2br w:val="nil"/>
                    <w:tr2bl w:val="nil"/>
                  </w:tcBorders>
                  <w:shd w:val="clear" w:color="auto" w:fill="auto"/>
                  <w:vAlign w:val="center"/>
                </w:tcPr>
                <w:p w14:paraId="61DAF1D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0.1</w:t>
                  </w:r>
                </w:p>
              </w:tc>
              <w:tc>
                <w:tcPr>
                  <w:tcW w:w="886" w:type="dxa"/>
                  <w:tcBorders>
                    <w:tl2br w:val="nil"/>
                    <w:tr2bl w:val="nil"/>
                  </w:tcBorders>
                  <w:shd w:val="clear" w:color="auto" w:fill="auto"/>
                  <w:vAlign w:val="center"/>
                </w:tcPr>
                <w:p w14:paraId="4F1BB42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526BEF0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3282F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520A1AD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40&gt;:苯并[a]芘50-32-8</w:t>
                  </w:r>
                </w:p>
              </w:tc>
              <w:tc>
                <w:tcPr>
                  <w:tcW w:w="892" w:type="dxa"/>
                  <w:tcBorders>
                    <w:tl2br w:val="nil"/>
                    <w:tr2bl w:val="nil"/>
                  </w:tcBorders>
                  <w:shd w:val="clear" w:color="auto" w:fill="auto"/>
                  <w:vAlign w:val="center"/>
                </w:tcPr>
                <w:p w14:paraId="35AB73F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0.1</w:t>
                  </w:r>
                </w:p>
              </w:tc>
              <w:tc>
                <w:tcPr>
                  <w:tcW w:w="886" w:type="dxa"/>
                  <w:tcBorders>
                    <w:tl2br w:val="nil"/>
                    <w:tr2bl w:val="nil"/>
                  </w:tcBorders>
                  <w:shd w:val="clear" w:color="auto" w:fill="auto"/>
                  <w:vAlign w:val="center"/>
                </w:tcPr>
                <w:p w14:paraId="65AAD28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69459AE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0F843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4C7B86E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41&gt;:苯并[b]荧蒽205-99-2</w:t>
                  </w:r>
                </w:p>
              </w:tc>
              <w:tc>
                <w:tcPr>
                  <w:tcW w:w="892" w:type="dxa"/>
                  <w:tcBorders>
                    <w:tl2br w:val="nil"/>
                    <w:tr2bl w:val="nil"/>
                  </w:tcBorders>
                  <w:shd w:val="clear" w:color="auto" w:fill="auto"/>
                  <w:vAlign w:val="center"/>
                </w:tcPr>
                <w:p w14:paraId="37580CD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0.2</w:t>
                  </w:r>
                </w:p>
              </w:tc>
              <w:tc>
                <w:tcPr>
                  <w:tcW w:w="886" w:type="dxa"/>
                  <w:tcBorders>
                    <w:tl2br w:val="nil"/>
                    <w:tr2bl w:val="nil"/>
                  </w:tcBorders>
                  <w:shd w:val="clear" w:color="auto" w:fill="auto"/>
                  <w:vAlign w:val="center"/>
                </w:tcPr>
                <w:p w14:paraId="26E8481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363B354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749DC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00163F7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42&gt;:苯并[k]荧蒽207-08-9</w:t>
                  </w:r>
                </w:p>
              </w:tc>
              <w:tc>
                <w:tcPr>
                  <w:tcW w:w="892" w:type="dxa"/>
                  <w:tcBorders>
                    <w:tl2br w:val="nil"/>
                    <w:tr2bl w:val="nil"/>
                  </w:tcBorders>
                  <w:shd w:val="clear" w:color="auto" w:fill="auto"/>
                  <w:vAlign w:val="center"/>
                </w:tcPr>
                <w:p w14:paraId="5D9AC34E">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0.1</w:t>
                  </w:r>
                </w:p>
              </w:tc>
              <w:tc>
                <w:tcPr>
                  <w:tcW w:w="886" w:type="dxa"/>
                  <w:tcBorders>
                    <w:tl2br w:val="nil"/>
                    <w:tr2bl w:val="nil"/>
                  </w:tcBorders>
                  <w:shd w:val="clear" w:color="auto" w:fill="auto"/>
                  <w:vAlign w:val="center"/>
                </w:tcPr>
                <w:p w14:paraId="6C825A91">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461D6F6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6B5B8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7E30D6BD">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43&gt;:䓛218-01-9</w:t>
                  </w:r>
                </w:p>
              </w:tc>
              <w:tc>
                <w:tcPr>
                  <w:tcW w:w="892" w:type="dxa"/>
                  <w:tcBorders>
                    <w:tl2br w:val="nil"/>
                    <w:tr2bl w:val="nil"/>
                  </w:tcBorders>
                  <w:shd w:val="clear" w:color="auto" w:fill="auto"/>
                  <w:vAlign w:val="center"/>
                </w:tcPr>
                <w:p w14:paraId="025EF1A9">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0.1</w:t>
                  </w:r>
                </w:p>
              </w:tc>
              <w:tc>
                <w:tcPr>
                  <w:tcW w:w="886" w:type="dxa"/>
                  <w:tcBorders>
                    <w:tl2br w:val="nil"/>
                    <w:tr2bl w:val="nil"/>
                  </w:tcBorders>
                  <w:shd w:val="clear" w:color="auto" w:fill="auto"/>
                  <w:vAlign w:val="center"/>
                </w:tcPr>
                <w:p w14:paraId="4A51D036">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7D9BEB7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54ADC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316237C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44&gt;:二苯并[a,h]蒽53-70-3</w:t>
                  </w:r>
                </w:p>
              </w:tc>
              <w:tc>
                <w:tcPr>
                  <w:tcW w:w="892" w:type="dxa"/>
                  <w:tcBorders>
                    <w:tl2br w:val="nil"/>
                    <w:tr2bl w:val="nil"/>
                  </w:tcBorders>
                  <w:shd w:val="clear" w:color="auto" w:fill="auto"/>
                  <w:vAlign w:val="center"/>
                </w:tcPr>
                <w:p w14:paraId="2000089F">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0.1</w:t>
                  </w:r>
                </w:p>
              </w:tc>
              <w:tc>
                <w:tcPr>
                  <w:tcW w:w="886" w:type="dxa"/>
                  <w:tcBorders>
                    <w:tl2br w:val="nil"/>
                    <w:tr2bl w:val="nil"/>
                  </w:tcBorders>
                  <w:shd w:val="clear" w:color="auto" w:fill="auto"/>
                  <w:vAlign w:val="center"/>
                </w:tcPr>
                <w:p w14:paraId="465A6593">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199F819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3DC6A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9" w:hRule="atLeast"/>
                <w:jc w:val="center"/>
              </w:trPr>
              <w:tc>
                <w:tcPr>
                  <w:tcW w:w="5346" w:type="dxa"/>
                  <w:gridSpan w:val="2"/>
                  <w:tcBorders>
                    <w:tl2br w:val="nil"/>
                    <w:tr2bl w:val="nil"/>
                  </w:tcBorders>
                  <w:shd w:val="clear" w:color="auto" w:fill="auto"/>
                  <w:vAlign w:val="center"/>
                </w:tcPr>
                <w:p w14:paraId="1CB419F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45&gt;:茚并[1,2,3-cd]芘193-39-5</w:t>
                  </w:r>
                </w:p>
              </w:tc>
              <w:tc>
                <w:tcPr>
                  <w:tcW w:w="892" w:type="dxa"/>
                  <w:tcBorders>
                    <w:tl2br w:val="nil"/>
                    <w:tr2bl w:val="nil"/>
                  </w:tcBorders>
                  <w:shd w:val="clear" w:color="auto" w:fill="auto"/>
                  <w:vAlign w:val="center"/>
                </w:tcPr>
                <w:p w14:paraId="0D77F1E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0.1</w:t>
                  </w:r>
                </w:p>
              </w:tc>
              <w:tc>
                <w:tcPr>
                  <w:tcW w:w="886" w:type="dxa"/>
                  <w:tcBorders>
                    <w:tl2br w:val="nil"/>
                    <w:tr2bl w:val="nil"/>
                  </w:tcBorders>
                  <w:shd w:val="clear" w:color="auto" w:fill="auto"/>
                  <w:vAlign w:val="center"/>
                </w:tcPr>
                <w:p w14:paraId="2286BA6B">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4D2FC56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r w14:paraId="44E51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55" w:hRule="atLeast"/>
                <w:jc w:val="center"/>
              </w:trPr>
              <w:tc>
                <w:tcPr>
                  <w:tcW w:w="5346" w:type="dxa"/>
                  <w:gridSpan w:val="2"/>
                  <w:tcBorders>
                    <w:tl2br w:val="nil"/>
                    <w:tr2bl w:val="nil"/>
                  </w:tcBorders>
                  <w:shd w:val="clear" w:color="auto" w:fill="auto"/>
                  <w:vAlign w:val="center"/>
                </w:tcPr>
                <w:p w14:paraId="5D895A00">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46&gt;:萘91-20-3</w:t>
                  </w:r>
                </w:p>
              </w:tc>
              <w:tc>
                <w:tcPr>
                  <w:tcW w:w="892" w:type="dxa"/>
                  <w:tcBorders>
                    <w:tl2br w:val="nil"/>
                    <w:tr2bl w:val="nil"/>
                  </w:tcBorders>
                  <w:shd w:val="clear" w:color="auto" w:fill="auto"/>
                  <w:vAlign w:val="center"/>
                </w:tcPr>
                <w:p w14:paraId="3524A97A">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0.09</w:t>
                  </w:r>
                </w:p>
              </w:tc>
              <w:tc>
                <w:tcPr>
                  <w:tcW w:w="886" w:type="dxa"/>
                  <w:tcBorders>
                    <w:tl2br w:val="nil"/>
                    <w:tr2bl w:val="nil"/>
                  </w:tcBorders>
                  <w:shd w:val="clear" w:color="auto" w:fill="auto"/>
                  <w:vAlign w:val="center"/>
                </w:tcPr>
                <w:p w14:paraId="1AB02015">
                  <w:pPr>
                    <w:pStyle w:val="75"/>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mg/kg</w:t>
                  </w:r>
                </w:p>
              </w:tc>
              <w:tc>
                <w:tcPr>
                  <w:tcW w:w="1914" w:type="dxa"/>
                  <w:tcBorders>
                    <w:tl2br w:val="nil"/>
                    <w:tr2bl w:val="nil"/>
                  </w:tcBorders>
                  <w:shd w:val="clear" w:color="auto" w:fill="auto"/>
                  <w:vAlign w:val="center"/>
                </w:tcPr>
                <w:p w14:paraId="7691E8D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auto"/>
                      <w:spacing w:val="0"/>
                      <w:w w:val="100"/>
                      <w:position w:val="0"/>
                      <w:sz w:val="21"/>
                      <w:szCs w:val="21"/>
                    </w:rPr>
                  </w:pPr>
                  <w:r>
                    <w:rPr>
                      <w:rFonts w:hint="default" w:ascii="Times New Roman" w:hAnsi="Times New Roman" w:eastAsia="宋体" w:cs="Times New Roman"/>
                      <w:b w:val="0"/>
                      <w:bCs w:val="0"/>
                      <w:color w:val="auto"/>
                      <w:spacing w:val="0"/>
                      <w:w w:val="100"/>
                      <w:position w:val="0"/>
                      <w:sz w:val="21"/>
                      <w:szCs w:val="21"/>
                    </w:rPr>
                    <w:t>未检出</w:t>
                  </w:r>
                </w:p>
              </w:tc>
            </w:tr>
          </w:tbl>
          <w:p w14:paraId="57989665">
            <w:pPr>
              <w:pStyle w:val="2"/>
              <w:keepNext w:val="0"/>
              <w:keepLines w:val="0"/>
              <w:pageBreakBefore w:val="0"/>
              <w:kinsoku/>
              <w:wordWrap/>
              <w:overflowPunct/>
              <w:topLinePunct w:val="0"/>
              <w:autoSpaceDE/>
              <w:autoSpaceDN/>
              <w:bidi w:val="0"/>
              <w:snapToGrid/>
              <w:spacing w:before="0" w:after="0" w:line="480" w:lineRule="exact"/>
              <w:ind w:right="0" w:firstLine="480" w:firstLineChars="200"/>
              <w:textAlignment w:val="auto"/>
              <w:rPr>
                <w:rFonts w:hint="eastAsia" w:ascii="Times New Roman" w:hAnsi="Times New Roman" w:eastAsia="宋体" w:cs="Times New Roman"/>
                <w:color w:val="auto"/>
                <w:spacing w:val="0"/>
                <w:position w:val="0"/>
                <w:lang w:eastAsia="zh-CN"/>
              </w:rPr>
            </w:pPr>
            <w:r>
              <w:rPr>
                <w:rFonts w:hint="default" w:ascii="Times New Roman" w:hAnsi="Times New Roman" w:eastAsia="宋体" w:cs="Times New Roman"/>
                <w:color w:val="auto"/>
                <w:sz w:val="24"/>
                <w:szCs w:val="24"/>
              </w:rPr>
              <w:t>根据土壤监测结果，监测点各监测因子均满足《土壤环境质量 建设用地土壤污染风险管控标准（试行）》（GB36600-2018）中第二类用地筛选值限值要求</w:t>
            </w: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表明区域土壤环境质量良好。</w:t>
            </w:r>
          </w:p>
        </w:tc>
      </w:tr>
      <w:tr w14:paraId="19ADA6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vAlign w:val="center"/>
          </w:tcPr>
          <w:p w14:paraId="2CACF80A">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环境</w:t>
            </w:r>
          </w:p>
          <w:p w14:paraId="6D9D2C18">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保护</w:t>
            </w:r>
          </w:p>
          <w:p w14:paraId="30F39020">
            <w:pPr>
              <w:adjustRightInd w:val="0"/>
              <w:snapToGrid w:val="0"/>
              <w:jc w:val="center"/>
              <w:rPr>
                <w:rFonts w:hint="default" w:ascii="Times New Roman" w:hAnsi="Times New Roman" w:cs="Times New Roman"/>
                <w:b/>
                <w:bCs/>
                <w:color w:val="auto"/>
                <w:spacing w:val="0"/>
                <w:kern w:val="0"/>
                <w:position w:val="0"/>
                <w:sz w:val="24"/>
                <w:szCs w:val="24"/>
              </w:rPr>
            </w:pPr>
            <w:r>
              <w:rPr>
                <w:rFonts w:hint="default" w:ascii="Times New Roman" w:hAnsi="Times New Roman" w:eastAsia="宋体" w:cs="Times New Roman"/>
                <w:b/>
                <w:bCs/>
                <w:color w:val="auto"/>
                <w:spacing w:val="0"/>
                <w:kern w:val="0"/>
                <w:position w:val="0"/>
                <w:sz w:val="24"/>
              </w:rPr>
              <w:t>目标</w:t>
            </w:r>
          </w:p>
        </w:tc>
        <w:tc>
          <w:tcPr>
            <w:tcW w:w="9225" w:type="dxa"/>
            <w:vAlign w:val="center"/>
          </w:tcPr>
          <w:p w14:paraId="2C24393C">
            <w:pPr>
              <w:numPr>
                <w:ilvl w:val="0"/>
                <w:numId w:val="0"/>
              </w:numPr>
              <w:adjustRightInd w:val="0"/>
              <w:snapToGrid w:val="0"/>
              <w:spacing w:line="480" w:lineRule="exact"/>
              <w:rPr>
                <w:rFonts w:hint="default" w:cs="Times New Roman"/>
                <w:b/>
                <w:bCs/>
                <w:color w:val="auto"/>
                <w:spacing w:val="0"/>
                <w:kern w:val="2"/>
                <w:position w:val="0"/>
                <w:sz w:val="24"/>
                <w:szCs w:val="32"/>
                <w:lang w:val="en-US" w:eastAsia="zh-CN" w:bidi="ar-SA"/>
              </w:rPr>
            </w:pPr>
            <w:r>
              <w:rPr>
                <w:rFonts w:hint="eastAsia" w:cs="Times New Roman"/>
                <w:b/>
                <w:bCs/>
                <w:color w:val="auto"/>
                <w:spacing w:val="0"/>
                <w:kern w:val="2"/>
                <w:position w:val="0"/>
                <w:sz w:val="24"/>
                <w:szCs w:val="32"/>
                <w:lang w:val="en-US" w:eastAsia="zh-CN" w:bidi="ar-SA"/>
              </w:rPr>
              <w:t>1、大气环境保护目标</w:t>
            </w:r>
          </w:p>
          <w:p w14:paraId="518AE7FD">
            <w:pPr>
              <w:numPr>
                <w:ilvl w:val="0"/>
                <w:numId w:val="0"/>
              </w:numPr>
              <w:adjustRightInd w:val="0"/>
              <w:snapToGrid w:val="0"/>
              <w:spacing w:line="480" w:lineRule="exact"/>
              <w:ind w:firstLine="480" w:firstLineChars="200"/>
              <w:rPr>
                <w:rFonts w:hint="default" w:ascii="Times New Roman" w:hAnsi="Times New Roman" w:eastAsia="宋体" w:cs="Times New Roman"/>
                <w:color w:val="auto"/>
                <w:spacing w:val="0"/>
                <w:kern w:val="2"/>
                <w:position w:val="0"/>
                <w:sz w:val="24"/>
                <w:szCs w:val="32"/>
                <w:lang w:val="en-US" w:eastAsia="zh-CN" w:bidi="ar-SA"/>
              </w:rPr>
            </w:pPr>
            <w:r>
              <w:rPr>
                <w:rFonts w:hint="eastAsia" w:cs="Times New Roman"/>
                <w:color w:val="auto"/>
                <w:spacing w:val="0"/>
                <w:kern w:val="2"/>
                <w:position w:val="0"/>
                <w:sz w:val="24"/>
                <w:szCs w:val="32"/>
                <w:lang w:val="en-US" w:eastAsia="zh-CN" w:bidi="ar-SA"/>
              </w:rPr>
              <w:t>项目厂界外500m范围内无自然保护区、风景名胜区、居民区等保护目标。</w:t>
            </w:r>
          </w:p>
          <w:p w14:paraId="7DE783C9">
            <w:pPr>
              <w:numPr>
                <w:ilvl w:val="0"/>
                <w:numId w:val="0"/>
              </w:numPr>
              <w:adjustRightInd w:val="0"/>
              <w:snapToGrid w:val="0"/>
              <w:spacing w:line="480" w:lineRule="exact"/>
              <w:rPr>
                <w:rFonts w:hint="default" w:ascii="Times New Roman" w:hAnsi="Times New Roman" w:eastAsia="宋体" w:cs="Times New Roman"/>
                <w:b/>
                <w:bCs/>
                <w:color w:val="auto"/>
                <w:spacing w:val="0"/>
                <w:kern w:val="2"/>
                <w:position w:val="0"/>
                <w:sz w:val="24"/>
                <w:szCs w:val="32"/>
                <w:lang w:val="en-US" w:eastAsia="zh-CN" w:bidi="ar-SA"/>
              </w:rPr>
            </w:pPr>
            <w:r>
              <w:rPr>
                <w:rFonts w:hint="eastAsia" w:cs="Times New Roman"/>
                <w:b/>
                <w:bCs/>
                <w:color w:val="auto"/>
                <w:spacing w:val="0"/>
                <w:kern w:val="2"/>
                <w:position w:val="0"/>
                <w:sz w:val="24"/>
                <w:szCs w:val="32"/>
                <w:lang w:val="en-US" w:eastAsia="zh-CN" w:bidi="ar-SA"/>
              </w:rPr>
              <w:t>2、声环境保护目标</w:t>
            </w:r>
          </w:p>
          <w:p w14:paraId="4AE13404">
            <w:pPr>
              <w:numPr>
                <w:ilvl w:val="0"/>
                <w:numId w:val="0"/>
              </w:numPr>
              <w:adjustRightInd w:val="0"/>
              <w:snapToGrid w:val="0"/>
              <w:spacing w:line="480" w:lineRule="exact"/>
              <w:ind w:firstLine="480" w:firstLineChars="200"/>
              <w:rPr>
                <w:rFonts w:hint="default" w:ascii="Times New Roman" w:hAnsi="Times New Roman" w:eastAsia="宋体" w:cs="Times New Roman"/>
                <w:color w:val="auto"/>
                <w:spacing w:val="0"/>
                <w:kern w:val="2"/>
                <w:position w:val="0"/>
                <w:sz w:val="24"/>
                <w:szCs w:val="32"/>
                <w:lang w:val="en-US" w:eastAsia="zh-CN" w:bidi="ar-SA"/>
              </w:rPr>
            </w:pPr>
            <w:r>
              <w:rPr>
                <w:rFonts w:hint="default" w:ascii="Times New Roman" w:hAnsi="Times New Roman" w:cs="Times New Roman"/>
                <w:caps w:val="0"/>
                <w:color w:val="auto"/>
                <w:spacing w:val="0"/>
                <w:w w:val="100"/>
                <w:position w:val="0"/>
                <w:sz w:val="24"/>
                <w:szCs w:val="24"/>
              </w:rPr>
              <w:t>根据现场勘查，项目厂界外50m范围</w:t>
            </w:r>
            <w:r>
              <w:rPr>
                <w:rFonts w:hint="eastAsia" w:ascii="Times New Roman" w:hAnsi="Times New Roman" w:cs="Times New Roman"/>
                <w:caps w:val="0"/>
                <w:color w:val="auto"/>
                <w:spacing w:val="0"/>
                <w:w w:val="100"/>
                <w:position w:val="0"/>
                <w:sz w:val="24"/>
                <w:szCs w:val="24"/>
                <w:lang w:val="en-US" w:eastAsia="zh-CN"/>
              </w:rPr>
              <w:t>内无</w:t>
            </w:r>
            <w:r>
              <w:rPr>
                <w:rFonts w:hint="default" w:ascii="Times New Roman" w:hAnsi="Times New Roman" w:cs="Times New Roman"/>
                <w:caps w:val="0"/>
                <w:color w:val="auto"/>
                <w:spacing w:val="0"/>
                <w:w w:val="100"/>
                <w:position w:val="0"/>
                <w:sz w:val="24"/>
                <w:szCs w:val="24"/>
              </w:rPr>
              <w:t>声环境保护目标</w:t>
            </w:r>
            <w:r>
              <w:rPr>
                <w:rFonts w:hint="eastAsia" w:ascii="Times New Roman" w:hAnsi="Times New Roman" w:eastAsia="宋体" w:cs="Times New Roman"/>
                <w:color w:val="auto"/>
                <w:spacing w:val="0"/>
                <w:kern w:val="2"/>
                <w:position w:val="0"/>
                <w:sz w:val="24"/>
                <w:szCs w:val="32"/>
                <w:lang w:val="en-US" w:eastAsia="zh-CN" w:bidi="ar-SA"/>
              </w:rPr>
              <w:t>。</w:t>
            </w:r>
          </w:p>
          <w:p w14:paraId="7DC4365D">
            <w:pPr>
              <w:numPr>
                <w:ilvl w:val="0"/>
                <w:numId w:val="0"/>
              </w:numPr>
              <w:adjustRightInd w:val="0"/>
              <w:snapToGrid w:val="0"/>
              <w:spacing w:line="480" w:lineRule="exact"/>
              <w:rPr>
                <w:rFonts w:hint="default" w:ascii="Times New Roman" w:hAnsi="Times New Roman" w:eastAsia="宋体" w:cs="Times New Roman"/>
                <w:b/>
                <w:bCs/>
                <w:color w:val="auto"/>
                <w:spacing w:val="0"/>
                <w:kern w:val="2"/>
                <w:position w:val="0"/>
                <w:sz w:val="24"/>
                <w:szCs w:val="32"/>
                <w:lang w:val="en-US" w:eastAsia="zh-CN" w:bidi="ar-SA"/>
              </w:rPr>
            </w:pPr>
            <w:r>
              <w:rPr>
                <w:rFonts w:hint="eastAsia" w:ascii="Times New Roman" w:hAnsi="Times New Roman" w:eastAsia="宋体" w:cs="Times New Roman"/>
                <w:b/>
                <w:bCs/>
                <w:color w:val="auto"/>
                <w:spacing w:val="0"/>
                <w:kern w:val="2"/>
                <w:position w:val="0"/>
                <w:sz w:val="24"/>
                <w:szCs w:val="32"/>
                <w:lang w:val="en-US" w:eastAsia="zh-CN" w:bidi="ar-SA"/>
              </w:rPr>
              <w:t>3、地下水环境保护目标</w:t>
            </w:r>
          </w:p>
          <w:p w14:paraId="6AB45135">
            <w:pPr>
              <w:numPr>
                <w:ilvl w:val="0"/>
                <w:numId w:val="0"/>
              </w:numPr>
              <w:adjustRightInd w:val="0"/>
              <w:snapToGrid w:val="0"/>
              <w:spacing w:line="480" w:lineRule="exact"/>
              <w:ind w:firstLine="480" w:firstLineChars="200"/>
              <w:rPr>
                <w:rFonts w:hint="default" w:ascii="Times New Roman" w:hAnsi="Times New Roman" w:eastAsia="宋体" w:cs="Times New Roman"/>
                <w:color w:val="auto"/>
                <w:spacing w:val="0"/>
                <w:kern w:val="2"/>
                <w:position w:val="0"/>
                <w:sz w:val="24"/>
                <w:szCs w:val="32"/>
                <w:lang w:val="en-US" w:eastAsia="zh-CN" w:bidi="ar-SA"/>
              </w:rPr>
            </w:pPr>
            <w:r>
              <w:rPr>
                <w:rFonts w:hint="eastAsia" w:ascii="Times New Roman" w:hAnsi="Times New Roman" w:eastAsia="宋体" w:cs="Times New Roman"/>
                <w:color w:val="auto"/>
                <w:spacing w:val="0"/>
                <w:kern w:val="2"/>
                <w:position w:val="0"/>
                <w:sz w:val="24"/>
                <w:szCs w:val="32"/>
                <w:lang w:val="en-US" w:eastAsia="zh-CN" w:bidi="ar-SA"/>
              </w:rPr>
              <w:t>项目</w:t>
            </w:r>
            <w:r>
              <w:rPr>
                <w:rFonts w:hint="default" w:ascii="Times New Roman" w:hAnsi="Times New Roman" w:eastAsia="宋体" w:cs="Times New Roman"/>
                <w:color w:val="auto"/>
                <w:spacing w:val="0"/>
                <w:kern w:val="2"/>
                <w:position w:val="0"/>
                <w:sz w:val="24"/>
                <w:szCs w:val="32"/>
                <w:lang w:val="en-US" w:eastAsia="zh-CN" w:bidi="ar-SA"/>
              </w:rPr>
              <w:t>厂界外500米范围内</w:t>
            </w:r>
            <w:r>
              <w:rPr>
                <w:rFonts w:hint="eastAsia" w:ascii="Times New Roman" w:hAnsi="Times New Roman" w:eastAsia="宋体" w:cs="Times New Roman"/>
                <w:color w:val="auto"/>
                <w:spacing w:val="0"/>
                <w:kern w:val="2"/>
                <w:position w:val="0"/>
                <w:sz w:val="24"/>
                <w:szCs w:val="32"/>
                <w:lang w:val="en-US" w:eastAsia="zh-CN" w:bidi="ar-SA"/>
              </w:rPr>
              <w:t>不涉及</w:t>
            </w:r>
            <w:r>
              <w:rPr>
                <w:rFonts w:hint="default" w:ascii="Times New Roman" w:hAnsi="Times New Roman" w:eastAsia="宋体" w:cs="Times New Roman"/>
                <w:color w:val="auto"/>
                <w:spacing w:val="0"/>
                <w:kern w:val="2"/>
                <w:position w:val="0"/>
                <w:sz w:val="24"/>
                <w:szCs w:val="32"/>
                <w:lang w:val="en-US" w:eastAsia="zh-CN" w:bidi="ar-SA"/>
              </w:rPr>
              <w:t>地下水集中式饮用水水源和热水、矿泉水、温泉等特殊地下水资源。</w:t>
            </w:r>
          </w:p>
          <w:p w14:paraId="0865ADA4">
            <w:pPr>
              <w:numPr>
                <w:ilvl w:val="0"/>
                <w:numId w:val="0"/>
              </w:numPr>
              <w:adjustRightInd w:val="0"/>
              <w:snapToGrid w:val="0"/>
              <w:spacing w:line="480" w:lineRule="exact"/>
              <w:rPr>
                <w:rFonts w:hint="default" w:ascii="Times New Roman" w:hAnsi="Times New Roman" w:eastAsia="宋体" w:cs="Times New Roman"/>
                <w:b/>
                <w:bCs/>
                <w:color w:val="auto"/>
                <w:spacing w:val="0"/>
                <w:kern w:val="2"/>
                <w:position w:val="0"/>
                <w:sz w:val="24"/>
                <w:szCs w:val="32"/>
                <w:lang w:val="en-US" w:eastAsia="zh-CN" w:bidi="ar-SA"/>
              </w:rPr>
            </w:pPr>
            <w:r>
              <w:rPr>
                <w:rFonts w:hint="eastAsia" w:ascii="Times New Roman" w:hAnsi="Times New Roman" w:eastAsia="宋体" w:cs="Times New Roman"/>
                <w:b/>
                <w:bCs/>
                <w:color w:val="auto"/>
                <w:spacing w:val="0"/>
                <w:kern w:val="2"/>
                <w:position w:val="0"/>
                <w:sz w:val="24"/>
                <w:szCs w:val="32"/>
                <w:lang w:val="en-US" w:eastAsia="zh-CN" w:bidi="ar-SA"/>
              </w:rPr>
              <w:t>4、生态环境保护目标</w:t>
            </w:r>
          </w:p>
          <w:p w14:paraId="4FC4227D">
            <w:pPr>
              <w:numPr>
                <w:ilvl w:val="0"/>
                <w:numId w:val="0"/>
              </w:numPr>
              <w:adjustRightInd w:val="0"/>
              <w:snapToGrid w:val="0"/>
              <w:spacing w:line="480" w:lineRule="exact"/>
              <w:ind w:firstLine="480" w:firstLineChars="200"/>
              <w:rPr>
                <w:rFonts w:hint="default" w:ascii="Times New Roman" w:hAnsi="Times New Roman" w:eastAsia="宋体" w:cs="Times New Roman"/>
                <w:b w:val="0"/>
                <w:bCs w:val="0"/>
                <w:color w:val="auto"/>
                <w:spacing w:val="0"/>
                <w:kern w:val="2"/>
                <w:position w:val="0"/>
                <w:sz w:val="24"/>
                <w:szCs w:val="32"/>
                <w:lang w:val="en-US" w:eastAsia="zh-CN" w:bidi="ar-SA"/>
              </w:rPr>
            </w:pPr>
            <w:r>
              <w:rPr>
                <w:rFonts w:hint="eastAsia" w:ascii="Times New Roman" w:hAnsi="Times New Roman" w:eastAsia="宋体" w:cs="Times New Roman"/>
                <w:color w:val="auto"/>
                <w:spacing w:val="0"/>
                <w:kern w:val="2"/>
                <w:position w:val="0"/>
                <w:sz w:val="24"/>
                <w:szCs w:val="32"/>
                <w:lang w:val="en-US" w:eastAsia="zh-CN" w:bidi="ar-SA"/>
              </w:rPr>
              <w:t>项目选址用地性</w:t>
            </w:r>
            <w:r>
              <w:rPr>
                <w:rFonts w:hint="eastAsia" w:ascii="Times New Roman" w:hAnsi="Times New Roman" w:eastAsia="宋体" w:cs="Times New Roman"/>
                <w:b w:val="0"/>
                <w:bCs w:val="0"/>
                <w:color w:val="auto"/>
                <w:spacing w:val="0"/>
                <w:kern w:val="2"/>
                <w:position w:val="0"/>
                <w:sz w:val="24"/>
                <w:szCs w:val="32"/>
                <w:lang w:val="en-US" w:eastAsia="zh-CN" w:bidi="ar-SA"/>
              </w:rPr>
              <w:t>质为工业用地，用地范围内不涉及生态环境保护目标。</w:t>
            </w:r>
          </w:p>
          <w:p w14:paraId="4A32A034">
            <w:pPr>
              <w:numPr>
                <w:ilvl w:val="0"/>
                <w:numId w:val="0"/>
              </w:numPr>
              <w:adjustRightInd w:val="0"/>
              <w:snapToGrid w:val="0"/>
              <w:spacing w:line="480" w:lineRule="exact"/>
              <w:rPr>
                <w:rFonts w:hint="default" w:ascii="Times New Roman" w:hAnsi="Times New Roman" w:eastAsia="宋体" w:cs="Times New Roman"/>
                <w:b/>
                <w:bCs/>
                <w:color w:val="auto"/>
                <w:spacing w:val="0"/>
                <w:kern w:val="2"/>
                <w:position w:val="0"/>
                <w:sz w:val="24"/>
                <w:szCs w:val="32"/>
                <w:lang w:val="en-US" w:eastAsia="zh-CN" w:bidi="ar-SA"/>
              </w:rPr>
            </w:pPr>
            <w:r>
              <w:rPr>
                <w:rFonts w:hint="eastAsia" w:ascii="Times New Roman" w:hAnsi="Times New Roman" w:eastAsia="宋体" w:cs="Times New Roman"/>
                <w:b/>
                <w:bCs/>
                <w:color w:val="auto"/>
                <w:spacing w:val="0"/>
                <w:kern w:val="2"/>
                <w:position w:val="0"/>
                <w:sz w:val="24"/>
                <w:szCs w:val="32"/>
                <w:lang w:val="en-US" w:eastAsia="zh-CN" w:bidi="ar-SA"/>
              </w:rPr>
              <w:t>5、</w:t>
            </w:r>
            <w:r>
              <w:rPr>
                <w:rFonts w:hint="default" w:ascii="Times New Roman" w:hAnsi="Times New Roman" w:eastAsia="宋体" w:cs="Times New Roman"/>
                <w:b/>
                <w:bCs/>
                <w:color w:val="auto"/>
                <w:spacing w:val="0"/>
                <w:kern w:val="2"/>
                <w:position w:val="0"/>
                <w:sz w:val="24"/>
                <w:szCs w:val="32"/>
                <w:lang w:val="en-US" w:eastAsia="zh-CN" w:bidi="ar-SA"/>
              </w:rPr>
              <w:t>地表水环境</w:t>
            </w:r>
          </w:p>
          <w:p w14:paraId="2CD94D3C">
            <w:pPr>
              <w:numPr>
                <w:ilvl w:val="0"/>
                <w:numId w:val="0"/>
              </w:numPr>
              <w:adjustRightInd w:val="0"/>
              <w:snapToGrid w:val="0"/>
              <w:spacing w:line="480" w:lineRule="exact"/>
              <w:ind w:firstLine="480" w:firstLineChars="200"/>
              <w:rPr>
                <w:rFonts w:hint="default" w:ascii="Times New Roman" w:hAnsi="Times New Roman" w:eastAsia="宋体" w:cs="Times New Roman"/>
                <w:b w:val="0"/>
                <w:bCs w:val="0"/>
                <w:caps w:val="0"/>
                <w:color w:val="auto"/>
                <w:spacing w:val="0"/>
                <w:w w:val="100"/>
                <w:kern w:val="2"/>
                <w:position w:val="0"/>
                <w:sz w:val="21"/>
                <w:szCs w:val="21"/>
                <w:lang w:val="en-US" w:eastAsia="zh-CN"/>
              </w:rPr>
            </w:pPr>
            <w:r>
              <w:rPr>
                <w:rFonts w:hint="eastAsia" w:ascii="Times New Roman" w:hAnsi="Times New Roman" w:eastAsia="宋体" w:cs="Times New Roman"/>
                <w:b w:val="0"/>
                <w:bCs w:val="0"/>
                <w:color w:val="auto"/>
                <w:spacing w:val="0"/>
                <w:kern w:val="2"/>
                <w:position w:val="0"/>
                <w:sz w:val="24"/>
                <w:szCs w:val="32"/>
                <w:lang w:val="en-US" w:eastAsia="zh-CN" w:bidi="ar-SA"/>
              </w:rPr>
              <w:t>厂区周边地表水环境如下：</w:t>
            </w:r>
          </w:p>
          <w:p w14:paraId="7E8C7DEE">
            <w:pPr>
              <w:pStyle w:val="23"/>
              <w:keepNext w:val="0"/>
              <w:keepLines w:val="0"/>
              <w:pageBreakBefore w:val="0"/>
              <w:kinsoku/>
              <w:wordWrap/>
              <w:overflowPunct/>
              <w:topLinePunct w:val="0"/>
              <w:autoSpaceDE/>
              <w:autoSpaceDN/>
              <w:bidi w:val="0"/>
              <w:adjustRightInd w:val="0"/>
              <w:snapToGrid/>
              <w:spacing w:before="0" w:beforeAutospacing="0" w:after="0" w:afterAutospacing="0" w:line="480" w:lineRule="atLeast"/>
              <w:jc w:val="center"/>
              <w:textAlignment w:val="auto"/>
              <w:rPr>
                <w:rFonts w:hint="default" w:ascii="Times New Roman" w:hAnsi="Times New Roman" w:cs="Times New Roman"/>
                <w:b/>
                <w:bCs/>
                <w:caps w:val="0"/>
                <w:color w:val="auto"/>
                <w:spacing w:val="0"/>
                <w:w w:val="100"/>
                <w:kern w:val="2"/>
                <w:position w:val="0"/>
                <w:sz w:val="21"/>
                <w:szCs w:val="21"/>
              </w:rPr>
            </w:pPr>
            <w:r>
              <w:rPr>
                <w:rFonts w:hint="default" w:ascii="Times New Roman" w:hAnsi="Times New Roman" w:cs="Times New Roman"/>
                <w:b/>
                <w:bCs/>
                <w:caps w:val="0"/>
                <w:color w:val="auto"/>
                <w:spacing w:val="0"/>
                <w:w w:val="100"/>
                <w:kern w:val="2"/>
                <w:position w:val="0"/>
                <w:sz w:val="21"/>
                <w:szCs w:val="21"/>
              </w:rPr>
              <w:t>表3-</w:t>
            </w:r>
            <w:r>
              <w:rPr>
                <w:rFonts w:hint="eastAsia" w:ascii="Times New Roman" w:hAnsi="Times New Roman" w:cs="Times New Roman"/>
                <w:b/>
                <w:bCs/>
                <w:caps w:val="0"/>
                <w:color w:val="auto"/>
                <w:spacing w:val="0"/>
                <w:w w:val="100"/>
                <w:kern w:val="2"/>
                <w:position w:val="0"/>
                <w:sz w:val="21"/>
                <w:szCs w:val="21"/>
                <w:lang w:val="en-US" w:eastAsia="zh-CN"/>
              </w:rPr>
              <w:t>9</w:t>
            </w:r>
            <w:r>
              <w:rPr>
                <w:rFonts w:hint="default" w:ascii="Times New Roman" w:hAnsi="Times New Roman" w:cs="Times New Roman"/>
                <w:b/>
                <w:bCs/>
                <w:caps w:val="0"/>
                <w:color w:val="auto"/>
                <w:spacing w:val="0"/>
                <w:w w:val="100"/>
                <w:kern w:val="2"/>
                <w:position w:val="0"/>
                <w:sz w:val="21"/>
                <w:szCs w:val="21"/>
              </w:rPr>
              <w:t xml:space="preserve">  地表水环境保护目标一览表</w:t>
            </w:r>
          </w:p>
          <w:tbl>
            <w:tblPr>
              <w:tblStyle w:val="26"/>
              <w:tblW w:w="9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8"/>
              <w:gridCol w:w="1178"/>
              <w:gridCol w:w="1031"/>
              <w:gridCol w:w="1388"/>
              <w:gridCol w:w="1162"/>
              <w:gridCol w:w="3011"/>
            </w:tblGrid>
            <w:tr w14:paraId="604A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248" w:type="dxa"/>
                  <w:tcBorders>
                    <w:tl2br w:val="nil"/>
                    <w:tr2bl w:val="nil"/>
                  </w:tcBorders>
                  <w:noWrap w:val="0"/>
                  <w:vAlign w:val="center"/>
                </w:tcPr>
                <w:p w14:paraId="16DA02E8">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b/>
                      <w:bCs/>
                      <w:caps w:val="0"/>
                      <w:color w:val="auto"/>
                      <w:spacing w:val="0"/>
                      <w:w w:val="100"/>
                      <w:position w:val="0"/>
                      <w:szCs w:val="21"/>
                    </w:rPr>
                  </w:pPr>
                  <w:r>
                    <w:rPr>
                      <w:rFonts w:hint="default" w:ascii="Times New Roman" w:hAnsi="Times New Roman" w:cs="Times New Roman"/>
                      <w:b/>
                      <w:bCs/>
                      <w:caps w:val="0"/>
                      <w:color w:val="auto"/>
                      <w:spacing w:val="0"/>
                      <w:w w:val="100"/>
                      <w:position w:val="0"/>
                      <w:szCs w:val="21"/>
                    </w:rPr>
                    <w:t>环境要素</w:t>
                  </w:r>
                </w:p>
              </w:tc>
              <w:tc>
                <w:tcPr>
                  <w:tcW w:w="1178" w:type="dxa"/>
                  <w:tcBorders>
                    <w:tl2br w:val="nil"/>
                    <w:tr2bl w:val="nil"/>
                  </w:tcBorders>
                  <w:noWrap w:val="0"/>
                  <w:vAlign w:val="center"/>
                </w:tcPr>
                <w:p w14:paraId="62A728BE">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b/>
                      <w:bCs/>
                      <w:caps w:val="0"/>
                      <w:color w:val="auto"/>
                      <w:spacing w:val="0"/>
                      <w:w w:val="100"/>
                      <w:position w:val="0"/>
                      <w:szCs w:val="21"/>
                    </w:rPr>
                  </w:pPr>
                  <w:r>
                    <w:rPr>
                      <w:rFonts w:hint="default" w:ascii="Times New Roman" w:hAnsi="Times New Roman" w:cs="Times New Roman"/>
                      <w:b/>
                      <w:bCs/>
                      <w:caps w:val="0"/>
                      <w:color w:val="auto"/>
                      <w:spacing w:val="0"/>
                      <w:w w:val="100"/>
                      <w:position w:val="0"/>
                      <w:szCs w:val="21"/>
                    </w:rPr>
                    <w:t>名称</w:t>
                  </w:r>
                </w:p>
              </w:tc>
              <w:tc>
                <w:tcPr>
                  <w:tcW w:w="1031" w:type="dxa"/>
                  <w:tcBorders>
                    <w:tl2br w:val="nil"/>
                    <w:tr2bl w:val="nil"/>
                  </w:tcBorders>
                  <w:noWrap w:val="0"/>
                  <w:vAlign w:val="center"/>
                </w:tcPr>
                <w:p w14:paraId="73260A93">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b/>
                      <w:bCs/>
                      <w:caps w:val="0"/>
                      <w:color w:val="auto"/>
                      <w:spacing w:val="0"/>
                      <w:w w:val="100"/>
                      <w:position w:val="0"/>
                      <w:szCs w:val="21"/>
                    </w:rPr>
                  </w:pPr>
                  <w:r>
                    <w:rPr>
                      <w:rFonts w:hint="default" w:ascii="Times New Roman" w:hAnsi="Times New Roman" w:cs="Times New Roman"/>
                      <w:b/>
                      <w:bCs/>
                      <w:caps w:val="0"/>
                      <w:color w:val="auto"/>
                      <w:spacing w:val="0"/>
                      <w:w w:val="100"/>
                      <w:position w:val="0"/>
                      <w:szCs w:val="21"/>
                    </w:rPr>
                    <w:t>方位</w:t>
                  </w:r>
                </w:p>
              </w:tc>
              <w:tc>
                <w:tcPr>
                  <w:tcW w:w="1388" w:type="dxa"/>
                  <w:tcBorders>
                    <w:tl2br w:val="nil"/>
                    <w:tr2bl w:val="nil"/>
                  </w:tcBorders>
                  <w:noWrap w:val="0"/>
                  <w:vAlign w:val="center"/>
                </w:tcPr>
                <w:p w14:paraId="28828990">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b/>
                      <w:bCs/>
                      <w:caps w:val="0"/>
                      <w:color w:val="auto"/>
                      <w:spacing w:val="0"/>
                      <w:w w:val="100"/>
                      <w:position w:val="0"/>
                      <w:szCs w:val="21"/>
                    </w:rPr>
                  </w:pPr>
                  <w:r>
                    <w:rPr>
                      <w:rFonts w:hint="default" w:ascii="Times New Roman" w:hAnsi="Times New Roman" w:cs="Times New Roman"/>
                      <w:b/>
                      <w:bCs/>
                      <w:caps w:val="0"/>
                      <w:color w:val="auto"/>
                      <w:spacing w:val="0"/>
                      <w:w w:val="100"/>
                      <w:position w:val="0"/>
                      <w:szCs w:val="21"/>
                    </w:rPr>
                    <w:t>距项目边界最近距离</w:t>
                  </w:r>
                </w:p>
              </w:tc>
              <w:tc>
                <w:tcPr>
                  <w:tcW w:w="1162" w:type="dxa"/>
                  <w:tcBorders>
                    <w:tl2br w:val="nil"/>
                    <w:tr2bl w:val="nil"/>
                  </w:tcBorders>
                  <w:noWrap w:val="0"/>
                  <w:vAlign w:val="center"/>
                </w:tcPr>
                <w:p w14:paraId="01474023">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b/>
                      <w:bCs/>
                      <w:caps w:val="0"/>
                      <w:color w:val="auto"/>
                      <w:spacing w:val="0"/>
                      <w:w w:val="100"/>
                      <w:position w:val="0"/>
                      <w:szCs w:val="21"/>
                    </w:rPr>
                  </w:pPr>
                  <w:r>
                    <w:rPr>
                      <w:rFonts w:hint="default" w:ascii="Times New Roman" w:hAnsi="Times New Roman" w:cs="Times New Roman"/>
                      <w:b/>
                      <w:bCs/>
                      <w:caps w:val="0"/>
                      <w:color w:val="auto"/>
                      <w:spacing w:val="0"/>
                      <w:w w:val="100"/>
                      <w:position w:val="0"/>
                      <w:szCs w:val="21"/>
                    </w:rPr>
                    <w:t>规模</w:t>
                  </w:r>
                </w:p>
              </w:tc>
              <w:tc>
                <w:tcPr>
                  <w:tcW w:w="3011" w:type="dxa"/>
                  <w:tcBorders>
                    <w:tl2br w:val="nil"/>
                    <w:tr2bl w:val="nil"/>
                  </w:tcBorders>
                  <w:noWrap w:val="0"/>
                  <w:vAlign w:val="center"/>
                </w:tcPr>
                <w:p w14:paraId="20D14C9E">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b/>
                      <w:bCs/>
                      <w:caps w:val="0"/>
                      <w:color w:val="auto"/>
                      <w:spacing w:val="0"/>
                      <w:w w:val="100"/>
                      <w:position w:val="0"/>
                      <w:szCs w:val="21"/>
                    </w:rPr>
                  </w:pPr>
                  <w:r>
                    <w:rPr>
                      <w:rFonts w:hint="default" w:ascii="Times New Roman" w:hAnsi="Times New Roman" w:cs="Times New Roman"/>
                      <w:b/>
                      <w:bCs/>
                      <w:caps w:val="0"/>
                      <w:color w:val="auto"/>
                      <w:spacing w:val="0"/>
                      <w:w w:val="100"/>
                      <w:position w:val="0"/>
                      <w:szCs w:val="21"/>
                    </w:rPr>
                    <w:t>环境功能</w:t>
                  </w:r>
                </w:p>
              </w:tc>
            </w:tr>
            <w:tr w14:paraId="70A6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248" w:type="dxa"/>
                  <w:vMerge w:val="restart"/>
                  <w:tcBorders>
                    <w:tl2br w:val="nil"/>
                    <w:tr2bl w:val="nil"/>
                  </w:tcBorders>
                  <w:noWrap w:val="0"/>
                  <w:vAlign w:val="center"/>
                </w:tcPr>
                <w:p w14:paraId="61662944">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caps w:val="0"/>
                      <w:color w:val="auto"/>
                      <w:spacing w:val="0"/>
                      <w:w w:val="100"/>
                      <w:position w:val="0"/>
                      <w:szCs w:val="21"/>
                    </w:rPr>
                  </w:pPr>
                  <w:r>
                    <w:rPr>
                      <w:rFonts w:hint="default" w:ascii="Times New Roman" w:hAnsi="Times New Roman" w:cs="Times New Roman"/>
                      <w:caps w:val="0"/>
                      <w:color w:val="auto"/>
                      <w:spacing w:val="0"/>
                      <w:w w:val="100"/>
                      <w:position w:val="0"/>
                      <w:szCs w:val="21"/>
                    </w:rPr>
                    <w:t>水环境</w:t>
                  </w:r>
                </w:p>
              </w:tc>
              <w:tc>
                <w:tcPr>
                  <w:tcW w:w="1178" w:type="dxa"/>
                  <w:tcBorders>
                    <w:tl2br w:val="nil"/>
                    <w:tr2bl w:val="nil"/>
                  </w:tcBorders>
                  <w:noWrap w:val="0"/>
                  <w:vAlign w:val="center"/>
                </w:tcPr>
                <w:p w14:paraId="6368ED75">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caps w:val="0"/>
                      <w:color w:val="auto"/>
                      <w:spacing w:val="0"/>
                      <w:w w:val="100"/>
                      <w:kern w:val="24"/>
                      <w:position w:val="0"/>
                      <w:sz w:val="21"/>
                      <w:szCs w:val="21"/>
                      <w:lang w:val="en-US" w:eastAsia="zh-CN" w:bidi="ar-SA"/>
                    </w:rPr>
                  </w:pPr>
                  <w:r>
                    <w:rPr>
                      <w:rFonts w:hint="eastAsia" w:ascii="Times New Roman" w:hAnsi="Times New Roman" w:cs="Times New Roman"/>
                      <w:caps w:val="0"/>
                      <w:color w:val="auto"/>
                      <w:spacing w:val="0"/>
                      <w:w w:val="100"/>
                      <w:kern w:val="24"/>
                      <w:position w:val="0"/>
                      <w:sz w:val="21"/>
                      <w:szCs w:val="21"/>
                      <w:lang w:val="en-US" w:eastAsia="zh-CN" w:bidi="ar-SA"/>
                    </w:rPr>
                    <w:t>九华河</w:t>
                  </w:r>
                </w:p>
              </w:tc>
              <w:tc>
                <w:tcPr>
                  <w:tcW w:w="1031" w:type="dxa"/>
                  <w:tcBorders>
                    <w:tl2br w:val="nil"/>
                    <w:tr2bl w:val="nil"/>
                  </w:tcBorders>
                  <w:noWrap w:val="0"/>
                  <w:vAlign w:val="center"/>
                </w:tcPr>
                <w:p w14:paraId="46A5390C">
                  <w:pPr>
                    <w:pStyle w:val="43"/>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0" w:firstLineChars="0"/>
                    <w:textAlignment w:val="auto"/>
                    <w:rPr>
                      <w:rFonts w:hint="default" w:ascii="Times New Roman" w:hAnsi="Times New Roman" w:cs="Times New Roman"/>
                      <w:caps w:val="0"/>
                      <w:color w:val="auto"/>
                      <w:spacing w:val="0"/>
                      <w:w w:val="100"/>
                      <w:kern w:val="2"/>
                      <w:position w:val="0"/>
                      <w:sz w:val="21"/>
                      <w:szCs w:val="21"/>
                      <w:lang w:val="en-US" w:eastAsia="zh-CN" w:bidi="ar-SA"/>
                    </w:rPr>
                  </w:pPr>
                  <w:r>
                    <w:rPr>
                      <w:rFonts w:hint="default" w:ascii="Times New Roman" w:hAnsi="Times New Roman" w:cs="Times New Roman"/>
                      <w:color w:val="auto"/>
                      <w:sz w:val="21"/>
                      <w:szCs w:val="21"/>
                    </w:rPr>
                    <w:t>W</w:t>
                  </w:r>
                </w:p>
              </w:tc>
              <w:tc>
                <w:tcPr>
                  <w:tcW w:w="1388" w:type="dxa"/>
                  <w:tcBorders>
                    <w:tl2br w:val="nil"/>
                    <w:tr2bl w:val="nil"/>
                  </w:tcBorders>
                  <w:noWrap w:val="0"/>
                  <w:vAlign w:val="center"/>
                </w:tcPr>
                <w:p w14:paraId="43E25954">
                  <w:pPr>
                    <w:pStyle w:val="43"/>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0" w:firstLineChars="0"/>
                    <w:textAlignment w:val="auto"/>
                    <w:rPr>
                      <w:rFonts w:hint="default" w:ascii="Times New Roman" w:hAnsi="Times New Roman" w:cs="Times New Roman"/>
                      <w:caps w:val="0"/>
                      <w:color w:val="auto"/>
                      <w:spacing w:val="0"/>
                      <w:w w:val="100"/>
                      <w:kern w:val="2"/>
                      <w:position w:val="0"/>
                      <w:sz w:val="21"/>
                      <w:szCs w:val="21"/>
                      <w:lang w:val="en-US" w:eastAsia="zh-CN" w:bidi="ar-SA"/>
                    </w:rPr>
                  </w:pPr>
                  <w:r>
                    <w:rPr>
                      <w:rFonts w:hint="eastAsia" w:ascii="Times New Roman" w:hAnsi="Times New Roman" w:cs="Times New Roman"/>
                      <w:color w:val="auto"/>
                      <w:sz w:val="21"/>
                      <w:szCs w:val="21"/>
                      <w:lang w:val="en-US" w:eastAsia="zh-CN"/>
                    </w:rPr>
                    <w:t>1</w:t>
                  </w:r>
                  <w:r>
                    <w:rPr>
                      <w:rFonts w:hint="eastAsia" w:cs="Times New Roman"/>
                      <w:color w:val="auto"/>
                      <w:sz w:val="21"/>
                      <w:szCs w:val="21"/>
                      <w:lang w:val="en-US" w:eastAsia="zh-CN"/>
                    </w:rPr>
                    <w:t>1</w:t>
                  </w:r>
                  <w:r>
                    <w:rPr>
                      <w:rFonts w:hint="eastAsia" w:ascii="Times New Roman" w:hAnsi="Times New Roman" w:cs="Times New Roman"/>
                      <w:color w:val="auto"/>
                      <w:sz w:val="21"/>
                      <w:szCs w:val="21"/>
                      <w:lang w:val="en-US" w:eastAsia="zh-CN"/>
                    </w:rPr>
                    <w:t>00</w:t>
                  </w:r>
                  <w:r>
                    <w:rPr>
                      <w:rFonts w:hint="default" w:ascii="Times New Roman" w:hAnsi="Times New Roman" w:cs="Times New Roman"/>
                      <w:color w:val="auto"/>
                      <w:sz w:val="21"/>
                      <w:szCs w:val="21"/>
                    </w:rPr>
                    <w:t>m</w:t>
                  </w:r>
                </w:p>
              </w:tc>
              <w:tc>
                <w:tcPr>
                  <w:tcW w:w="1162" w:type="dxa"/>
                  <w:tcBorders>
                    <w:tl2br w:val="nil"/>
                    <w:tr2bl w:val="nil"/>
                  </w:tcBorders>
                  <w:noWrap w:val="0"/>
                  <w:vAlign w:val="center"/>
                </w:tcPr>
                <w:p w14:paraId="0F0F9091">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caps w:val="0"/>
                      <w:color w:val="auto"/>
                      <w:spacing w:val="0"/>
                      <w:w w:val="100"/>
                      <w:kern w:val="2"/>
                      <w:position w:val="0"/>
                      <w:sz w:val="21"/>
                      <w:szCs w:val="21"/>
                      <w:lang w:val="en-US" w:eastAsia="zh-CN" w:bidi="ar-SA"/>
                    </w:rPr>
                  </w:pPr>
                  <w:r>
                    <w:rPr>
                      <w:rFonts w:hint="eastAsia" w:ascii="Times New Roman" w:hAnsi="Times New Roman" w:cs="Times New Roman"/>
                      <w:caps w:val="0"/>
                      <w:color w:val="auto"/>
                      <w:spacing w:val="0"/>
                      <w:w w:val="100"/>
                      <w:position w:val="0"/>
                      <w:szCs w:val="21"/>
                      <w:lang w:val="en-US" w:eastAsia="zh-CN"/>
                    </w:rPr>
                    <w:t>小</w:t>
                  </w:r>
                  <w:r>
                    <w:rPr>
                      <w:rFonts w:hint="default" w:ascii="Times New Roman" w:hAnsi="Times New Roman" w:cs="Times New Roman"/>
                      <w:caps w:val="0"/>
                      <w:color w:val="auto"/>
                      <w:spacing w:val="0"/>
                      <w:w w:val="100"/>
                      <w:position w:val="0"/>
                      <w:szCs w:val="21"/>
                    </w:rPr>
                    <w:t>型</w:t>
                  </w:r>
                </w:p>
              </w:tc>
              <w:tc>
                <w:tcPr>
                  <w:tcW w:w="3011" w:type="dxa"/>
                  <w:vMerge w:val="restart"/>
                  <w:tcBorders>
                    <w:tl2br w:val="nil"/>
                    <w:tr2bl w:val="nil"/>
                  </w:tcBorders>
                  <w:noWrap w:val="0"/>
                  <w:vAlign w:val="center"/>
                </w:tcPr>
                <w:p w14:paraId="11555589">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caps w:val="0"/>
                      <w:color w:val="auto"/>
                      <w:spacing w:val="0"/>
                      <w:w w:val="100"/>
                      <w:position w:val="0"/>
                      <w:szCs w:val="21"/>
                    </w:rPr>
                  </w:pPr>
                  <w:r>
                    <w:rPr>
                      <w:rFonts w:hint="default" w:ascii="Times New Roman" w:hAnsi="Times New Roman" w:cs="Times New Roman"/>
                      <w:caps w:val="0"/>
                      <w:color w:val="auto"/>
                      <w:spacing w:val="0"/>
                      <w:w w:val="100"/>
                      <w:position w:val="0"/>
                      <w:szCs w:val="21"/>
                    </w:rPr>
                    <w:t>《地表水环境质量标准》</w:t>
                  </w:r>
                  <w:r>
                    <w:rPr>
                      <w:rFonts w:hint="eastAsia" w:cs="Times New Roman"/>
                      <w:caps w:val="0"/>
                      <w:color w:val="auto"/>
                      <w:spacing w:val="0"/>
                      <w:w w:val="100"/>
                      <w:position w:val="0"/>
                      <w:szCs w:val="21"/>
                      <w:lang w:eastAsia="zh-CN"/>
                    </w:rPr>
                    <w:t>（</w:t>
                  </w:r>
                  <w:r>
                    <w:rPr>
                      <w:rFonts w:hint="default" w:ascii="Times New Roman" w:hAnsi="Times New Roman" w:cs="Times New Roman"/>
                      <w:caps w:val="0"/>
                      <w:color w:val="auto"/>
                      <w:spacing w:val="0"/>
                      <w:w w:val="100"/>
                      <w:position w:val="0"/>
                      <w:szCs w:val="21"/>
                    </w:rPr>
                    <w:t>GB3838-2002）Ⅲ类标准</w:t>
                  </w:r>
                </w:p>
              </w:tc>
            </w:tr>
            <w:tr w14:paraId="499B0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1248" w:type="dxa"/>
                  <w:vMerge w:val="continue"/>
                  <w:tcBorders>
                    <w:tl2br w:val="nil"/>
                    <w:tr2bl w:val="nil"/>
                  </w:tcBorders>
                  <w:noWrap w:val="0"/>
                  <w:vAlign w:val="center"/>
                </w:tcPr>
                <w:p w14:paraId="68BD988D">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caps w:val="0"/>
                      <w:color w:val="auto"/>
                      <w:spacing w:val="0"/>
                      <w:w w:val="100"/>
                      <w:position w:val="0"/>
                      <w:szCs w:val="21"/>
                    </w:rPr>
                  </w:pPr>
                </w:p>
              </w:tc>
              <w:tc>
                <w:tcPr>
                  <w:tcW w:w="1178" w:type="dxa"/>
                  <w:tcBorders>
                    <w:tl2br w:val="nil"/>
                    <w:tr2bl w:val="nil"/>
                  </w:tcBorders>
                  <w:noWrap w:val="0"/>
                  <w:vAlign w:val="center"/>
                </w:tcPr>
                <w:p w14:paraId="1C418CAC">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caps w:val="0"/>
                      <w:color w:val="auto"/>
                      <w:spacing w:val="0"/>
                      <w:w w:val="100"/>
                      <w:kern w:val="24"/>
                      <w:position w:val="0"/>
                      <w:sz w:val="21"/>
                      <w:szCs w:val="21"/>
                      <w:lang w:val="en-US" w:eastAsia="zh-CN" w:bidi="ar-SA"/>
                    </w:rPr>
                  </w:pPr>
                  <w:r>
                    <w:rPr>
                      <w:rFonts w:hint="eastAsia" w:ascii="Times New Roman" w:hAnsi="Times New Roman" w:cs="Times New Roman"/>
                      <w:caps w:val="0"/>
                      <w:color w:val="auto"/>
                      <w:spacing w:val="0"/>
                      <w:w w:val="100"/>
                      <w:kern w:val="24"/>
                      <w:position w:val="0"/>
                      <w:sz w:val="21"/>
                      <w:szCs w:val="21"/>
                      <w:lang w:val="en-US" w:eastAsia="zh-CN" w:bidi="ar-SA"/>
                    </w:rPr>
                    <w:t>长江</w:t>
                  </w:r>
                </w:p>
              </w:tc>
              <w:tc>
                <w:tcPr>
                  <w:tcW w:w="1031" w:type="dxa"/>
                  <w:tcBorders>
                    <w:tl2br w:val="nil"/>
                    <w:tr2bl w:val="nil"/>
                  </w:tcBorders>
                  <w:noWrap w:val="0"/>
                  <w:vAlign w:val="center"/>
                </w:tcPr>
                <w:p w14:paraId="64E43AE0">
                  <w:pPr>
                    <w:pStyle w:val="43"/>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0" w:firstLineChars="0"/>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N</w:t>
                  </w:r>
                </w:p>
              </w:tc>
              <w:tc>
                <w:tcPr>
                  <w:tcW w:w="1388" w:type="dxa"/>
                  <w:tcBorders>
                    <w:tl2br w:val="nil"/>
                    <w:tr2bl w:val="nil"/>
                  </w:tcBorders>
                  <w:noWrap w:val="0"/>
                  <w:vAlign w:val="center"/>
                </w:tcPr>
                <w:p w14:paraId="0D7C71B1">
                  <w:pPr>
                    <w:pStyle w:val="43"/>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0" w:firstLineChars="0"/>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38</w:t>
                  </w:r>
                  <w:r>
                    <w:rPr>
                      <w:rFonts w:hint="eastAsia" w:ascii="Times New Roman" w:hAnsi="Times New Roman" w:cs="Times New Roman"/>
                      <w:color w:val="auto"/>
                      <w:sz w:val="21"/>
                      <w:szCs w:val="21"/>
                      <w:lang w:val="en-US" w:eastAsia="zh-CN"/>
                    </w:rPr>
                    <w:t>00m</w:t>
                  </w:r>
                </w:p>
              </w:tc>
              <w:tc>
                <w:tcPr>
                  <w:tcW w:w="1162" w:type="dxa"/>
                  <w:tcBorders>
                    <w:tl2br w:val="nil"/>
                    <w:tr2bl w:val="nil"/>
                  </w:tcBorders>
                  <w:noWrap w:val="0"/>
                  <w:vAlign w:val="center"/>
                </w:tcPr>
                <w:p w14:paraId="34181FC1">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eastAsia" w:ascii="Times New Roman" w:hAnsi="Times New Roman" w:cs="Times New Roman"/>
                      <w:caps w:val="0"/>
                      <w:color w:val="auto"/>
                      <w:spacing w:val="0"/>
                      <w:w w:val="100"/>
                      <w:position w:val="0"/>
                      <w:szCs w:val="21"/>
                      <w:lang w:val="en-US" w:eastAsia="zh-CN"/>
                    </w:rPr>
                  </w:pPr>
                  <w:r>
                    <w:rPr>
                      <w:rFonts w:hint="eastAsia" w:ascii="Times New Roman" w:hAnsi="Times New Roman" w:cs="Times New Roman"/>
                      <w:caps w:val="0"/>
                      <w:color w:val="auto"/>
                      <w:spacing w:val="0"/>
                      <w:w w:val="100"/>
                      <w:position w:val="0"/>
                      <w:szCs w:val="21"/>
                      <w:lang w:val="en-US" w:eastAsia="zh-CN"/>
                    </w:rPr>
                    <w:t>大</w:t>
                  </w:r>
                  <w:r>
                    <w:rPr>
                      <w:rFonts w:hint="default" w:ascii="Times New Roman" w:hAnsi="Times New Roman" w:cs="Times New Roman"/>
                      <w:caps w:val="0"/>
                      <w:color w:val="auto"/>
                      <w:spacing w:val="0"/>
                      <w:w w:val="100"/>
                      <w:position w:val="0"/>
                      <w:szCs w:val="21"/>
                    </w:rPr>
                    <w:t>型</w:t>
                  </w:r>
                </w:p>
              </w:tc>
              <w:tc>
                <w:tcPr>
                  <w:tcW w:w="3011" w:type="dxa"/>
                  <w:vMerge w:val="continue"/>
                  <w:tcBorders>
                    <w:tl2br w:val="nil"/>
                    <w:tr2bl w:val="nil"/>
                  </w:tcBorders>
                  <w:noWrap w:val="0"/>
                  <w:vAlign w:val="center"/>
                </w:tcPr>
                <w:p w14:paraId="24F20E20">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caps w:val="0"/>
                      <w:color w:val="auto"/>
                      <w:spacing w:val="0"/>
                      <w:w w:val="100"/>
                      <w:position w:val="0"/>
                      <w:szCs w:val="21"/>
                    </w:rPr>
                  </w:pPr>
                </w:p>
              </w:tc>
            </w:tr>
          </w:tbl>
          <w:p w14:paraId="177E91C3">
            <w:pPr>
              <w:adjustRightInd w:val="0"/>
              <w:snapToGrid w:val="0"/>
              <w:spacing w:line="480" w:lineRule="exact"/>
              <w:rPr>
                <w:rFonts w:hint="default" w:ascii="Times New Roman" w:hAnsi="Times New Roman" w:eastAsia="宋体" w:cs="Times New Roman"/>
                <w:color w:val="auto"/>
                <w:spacing w:val="0"/>
                <w:kern w:val="2"/>
                <w:position w:val="0"/>
                <w:sz w:val="24"/>
                <w:szCs w:val="24"/>
                <w:lang w:val="en-US" w:eastAsia="zh-CN" w:bidi="ar-SA"/>
              </w:rPr>
            </w:pPr>
          </w:p>
        </w:tc>
      </w:tr>
      <w:tr w14:paraId="17DD55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736" w:type="dxa"/>
            <w:vAlign w:val="center"/>
          </w:tcPr>
          <w:p w14:paraId="40E04307">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污染</w:t>
            </w:r>
          </w:p>
          <w:p w14:paraId="26D5E449">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物排</w:t>
            </w:r>
          </w:p>
          <w:p w14:paraId="02D5C4AC">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放控</w:t>
            </w:r>
          </w:p>
          <w:p w14:paraId="2F74500F">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制标</w:t>
            </w:r>
          </w:p>
          <w:p w14:paraId="794BED11">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准</w:t>
            </w:r>
          </w:p>
        </w:tc>
        <w:tc>
          <w:tcPr>
            <w:tcW w:w="9225" w:type="dxa"/>
            <w:vAlign w:val="center"/>
          </w:tcPr>
          <w:p w14:paraId="368E163E">
            <w:pPr>
              <w:keepNext w:val="0"/>
              <w:keepLines w:val="0"/>
              <w:pageBreakBefore w:val="0"/>
              <w:widowControl/>
              <w:suppressLineNumbers w:val="0"/>
              <w:kinsoku/>
              <w:wordWrap/>
              <w:overflowPunct/>
              <w:topLinePunct w:val="0"/>
              <w:autoSpaceDE/>
              <w:autoSpaceDN/>
              <w:bidi w:val="0"/>
              <w:adjustRightInd/>
              <w:snapToGrid/>
              <w:spacing w:line="480" w:lineRule="atLeast"/>
              <w:jc w:val="both"/>
              <w:textAlignment w:val="auto"/>
              <w:rPr>
                <w:rFonts w:hint="default" w:ascii="Times New Roman" w:hAnsi="Times New Roman" w:eastAsia="宋体" w:cs="Times New Roman"/>
                <w:b/>
                <w:bCs/>
                <w:color w:val="auto"/>
                <w:spacing w:val="0"/>
                <w:position w:val="0"/>
                <w:sz w:val="24"/>
                <w:szCs w:val="24"/>
                <w:lang w:val="en-US" w:eastAsia="zh-CN"/>
              </w:rPr>
            </w:pPr>
            <w:r>
              <w:rPr>
                <w:rFonts w:hint="default" w:ascii="Times New Roman" w:hAnsi="Times New Roman" w:eastAsia="宋体" w:cs="Times New Roman"/>
                <w:b/>
                <w:bCs/>
                <w:color w:val="auto"/>
                <w:spacing w:val="0"/>
                <w:position w:val="0"/>
                <w:sz w:val="24"/>
                <w:szCs w:val="24"/>
                <w:lang w:val="en-US" w:eastAsia="zh-CN"/>
              </w:rPr>
              <w:t>1、废气</w:t>
            </w:r>
          </w:p>
          <w:p w14:paraId="478D5456">
            <w:pPr>
              <w:keepNext w:val="0"/>
              <w:keepLines w:val="0"/>
              <w:pageBreakBefore w:val="0"/>
              <w:widowControl/>
              <w:suppressLineNumbers w:val="0"/>
              <w:kinsoku/>
              <w:wordWrap/>
              <w:overflowPunct/>
              <w:topLinePunct w:val="0"/>
              <w:autoSpaceDE/>
              <w:autoSpaceDN/>
              <w:bidi w:val="0"/>
              <w:adjustRightInd/>
              <w:snapToGrid/>
              <w:spacing w:line="480" w:lineRule="atLeast"/>
              <w:ind w:firstLine="480" w:firstLineChars="200"/>
              <w:jc w:val="both"/>
              <w:textAlignment w:val="auto"/>
              <w:rPr>
                <w:rFonts w:hint="eastAsia" w:ascii="Times New Roman" w:hAnsi="Times New Roman" w:eastAsia="宋体" w:cs="Times New Roman"/>
                <w:b w:val="0"/>
                <w:bCs w:val="0"/>
                <w:color w:val="auto"/>
                <w:spacing w:val="0"/>
                <w:position w:val="0"/>
                <w:sz w:val="24"/>
                <w:szCs w:val="24"/>
                <w:lang w:val="en-US" w:eastAsia="zh-CN"/>
              </w:rPr>
            </w:pPr>
            <w:r>
              <w:rPr>
                <w:rFonts w:hint="eastAsia" w:cs="Times New Roman"/>
                <w:b w:val="0"/>
                <w:bCs w:val="0"/>
                <w:color w:val="auto"/>
                <w:spacing w:val="0"/>
                <w:position w:val="0"/>
                <w:sz w:val="24"/>
                <w:szCs w:val="24"/>
                <w:lang w:val="en-US" w:eastAsia="zh-CN"/>
              </w:rPr>
              <w:t>根据《光伏组件回收再利用通用技术要求》（GB/T39753-2021）中7.1.2要</w:t>
            </w:r>
            <w:r>
              <w:rPr>
                <w:rFonts w:hint="eastAsia" w:ascii="Times New Roman" w:hAnsi="Times New Roman" w:eastAsia="宋体" w:cs="Times New Roman"/>
                <w:b w:val="0"/>
                <w:bCs w:val="0"/>
                <w:color w:val="auto"/>
                <w:spacing w:val="0"/>
                <w:position w:val="0"/>
                <w:sz w:val="24"/>
                <w:szCs w:val="24"/>
                <w:lang w:val="en-US" w:eastAsia="zh-CN"/>
              </w:rPr>
              <w:t>求，“</w:t>
            </w:r>
            <w:r>
              <w:rPr>
                <w:rFonts w:hint="default" w:ascii="Times New Roman" w:hAnsi="Times New Roman" w:eastAsia="宋体" w:cs="Times New Roman"/>
                <w:b w:val="0"/>
                <w:bCs w:val="0"/>
                <w:color w:val="auto"/>
                <w:spacing w:val="0"/>
                <w:position w:val="0"/>
                <w:sz w:val="24"/>
                <w:szCs w:val="24"/>
                <w:lang w:val="en-US" w:eastAsia="zh-CN"/>
              </w:rPr>
              <w:t>采用热解气化或焚烧法处置部件时，大气污染排放应符合GB18484的第5章规定</w:t>
            </w:r>
            <w:r>
              <w:rPr>
                <w:rFonts w:hint="eastAsia" w:ascii="Times New Roman" w:hAnsi="Times New Roman" w:eastAsia="宋体" w:cs="Times New Roman"/>
                <w:b w:val="0"/>
                <w:bCs w:val="0"/>
                <w:color w:val="auto"/>
                <w:spacing w:val="0"/>
                <w:position w:val="0"/>
                <w:sz w:val="24"/>
                <w:szCs w:val="24"/>
                <w:lang w:val="en-US" w:eastAsia="zh-CN"/>
              </w:rPr>
              <w:t>”。</w:t>
            </w:r>
          </w:p>
          <w:p w14:paraId="02AA4311">
            <w:pPr>
              <w:keepNext w:val="0"/>
              <w:keepLines w:val="0"/>
              <w:pageBreakBefore w:val="0"/>
              <w:widowControl/>
              <w:suppressLineNumbers w:val="0"/>
              <w:kinsoku/>
              <w:wordWrap/>
              <w:overflowPunct/>
              <w:topLinePunct w:val="0"/>
              <w:autoSpaceDE/>
              <w:autoSpaceDN/>
              <w:bidi w:val="0"/>
              <w:adjustRightInd/>
              <w:snapToGrid/>
              <w:spacing w:line="480" w:lineRule="atLeast"/>
              <w:ind w:firstLine="480" w:firstLineChars="200"/>
              <w:jc w:val="both"/>
              <w:textAlignment w:val="auto"/>
              <w:rPr>
                <w:rFonts w:hint="default" w:ascii="Times New Roman" w:hAnsi="Times New Roman" w:eastAsia="宋体" w:cs="Times New Roman"/>
                <w:b w:val="0"/>
                <w:bCs w:val="0"/>
                <w:color w:val="auto"/>
                <w:spacing w:val="0"/>
                <w:position w:val="0"/>
                <w:sz w:val="24"/>
                <w:szCs w:val="24"/>
                <w:lang w:val="en-US" w:eastAsia="zh-CN"/>
              </w:rPr>
            </w:pPr>
            <w:r>
              <w:rPr>
                <w:rFonts w:hint="eastAsia" w:cs="Times New Roman"/>
                <w:b w:val="0"/>
                <w:bCs w:val="0"/>
                <w:color w:val="auto"/>
                <w:spacing w:val="0"/>
                <w:position w:val="0"/>
                <w:sz w:val="24"/>
                <w:szCs w:val="24"/>
                <w:lang w:val="en-US" w:eastAsia="zh-CN"/>
              </w:rPr>
              <w:t>运营期排气筒DA001、DA003排放的污染因子中，二氧化硫、氮氧化物、氟化氢、锡及其化合物、铜及其化合物</w:t>
            </w:r>
            <w:r>
              <w:rPr>
                <w:rFonts w:hint="eastAsia" w:ascii="Times New Roman" w:hAnsi="Times New Roman" w:eastAsia="宋体" w:cs="Times New Roman"/>
                <w:b w:val="0"/>
                <w:bCs w:val="0"/>
                <w:color w:val="auto"/>
                <w:spacing w:val="0"/>
                <w:position w:val="0"/>
                <w:sz w:val="24"/>
                <w:szCs w:val="24"/>
                <w:lang w:val="en-US" w:eastAsia="zh-CN"/>
              </w:rPr>
              <w:t>执行</w:t>
            </w:r>
            <w:r>
              <w:rPr>
                <w:rFonts w:hint="default" w:ascii="Times New Roman" w:hAnsi="Times New Roman" w:eastAsia="宋体" w:cs="Times New Roman"/>
                <w:b w:val="0"/>
                <w:bCs w:val="0"/>
                <w:color w:val="auto"/>
                <w:spacing w:val="0"/>
                <w:position w:val="0"/>
                <w:sz w:val="24"/>
                <w:szCs w:val="24"/>
                <w:lang w:val="en-US" w:eastAsia="zh-CN"/>
              </w:rPr>
              <w:t>《危险废物焚烧污染控制标准》（GB18484-2020）</w:t>
            </w:r>
            <w:r>
              <w:rPr>
                <w:rFonts w:hint="eastAsia" w:ascii="Times New Roman" w:hAnsi="Times New Roman" w:eastAsia="宋体" w:cs="Times New Roman"/>
                <w:b w:val="0"/>
                <w:bCs w:val="0"/>
                <w:color w:val="auto"/>
                <w:spacing w:val="0"/>
                <w:position w:val="0"/>
                <w:sz w:val="24"/>
                <w:szCs w:val="24"/>
                <w:lang w:val="en-US" w:eastAsia="zh-CN"/>
              </w:rPr>
              <w:t>表3排放限值，颗粒物、非甲烷总烃执行《大气污染物综合排放标准》</w:t>
            </w:r>
            <w:r>
              <w:rPr>
                <w:rFonts w:hint="eastAsia" w:cs="Times New Roman"/>
                <w:b w:val="0"/>
                <w:bCs w:val="0"/>
                <w:color w:val="auto"/>
                <w:spacing w:val="0"/>
                <w:position w:val="0"/>
                <w:sz w:val="24"/>
                <w:szCs w:val="24"/>
                <w:lang w:val="en-US" w:eastAsia="zh-CN"/>
              </w:rPr>
              <w:t>（</w:t>
            </w:r>
            <w:r>
              <w:rPr>
                <w:rFonts w:hint="eastAsia" w:ascii="Times New Roman" w:hAnsi="Times New Roman" w:eastAsia="宋体" w:cs="Times New Roman"/>
                <w:b w:val="0"/>
                <w:bCs w:val="0"/>
                <w:color w:val="auto"/>
                <w:spacing w:val="0"/>
                <w:position w:val="0"/>
                <w:sz w:val="24"/>
                <w:szCs w:val="24"/>
                <w:lang w:val="en-US" w:eastAsia="zh-CN"/>
              </w:rPr>
              <w:t>GB16297-1996）表2排放限值。</w:t>
            </w:r>
            <w:r>
              <w:rPr>
                <w:rFonts w:hint="eastAsia" w:cs="Times New Roman"/>
                <w:b w:val="0"/>
                <w:bCs w:val="0"/>
                <w:color w:val="auto"/>
                <w:spacing w:val="0"/>
                <w:position w:val="0"/>
                <w:sz w:val="24"/>
                <w:szCs w:val="24"/>
                <w:lang w:val="en-US" w:eastAsia="zh-CN"/>
              </w:rPr>
              <w:t>排气筒</w:t>
            </w:r>
            <w:r>
              <w:rPr>
                <w:rFonts w:hint="eastAsia" w:ascii="Times New Roman" w:hAnsi="Times New Roman" w:eastAsia="宋体" w:cs="Times New Roman"/>
                <w:b w:val="0"/>
                <w:bCs w:val="0"/>
                <w:color w:val="auto"/>
                <w:spacing w:val="0"/>
                <w:position w:val="0"/>
                <w:sz w:val="24"/>
                <w:szCs w:val="24"/>
                <w:lang w:val="en-US" w:eastAsia="zh-CN"/>
              </w:rPr>
              <w:t>DA002、</w:t>
            </w:r>
            <w:r>
              <w:rPr>
                <w:rFonts w:hint="eastAsia" w:cs="Times New Roman"/>
                <w:b w:val="0"/>
                <w:bCs w:val="0"/>
                <w:color w:val="auto"/>
                <w:spacing w:val="0"/>
                <w:position w:val="0"/>
                <w:sz w:val="24"/>
                <w:szCs w:val="24"/>
                <w:lang w:val="en-US" w:eastAsia="zh-CN"/>
              </w:rPr>
              <w:t>DA004</w:t>
            </w:r>
            <w:r>
              <w:rPr>
                <w:rFonts w:hint="eastAsia" w:ascii="Times New Roman" w:hAnsi="Times New Roman" w:eastAsia="宋体" w:cs="Times New Roman"/>
                <w:b w:val="0"/>
                <w:bCs w:val="0"/>
                <w:color w:val="auto"/>
                <w:spacing w:val="0"/>
                <w:position w:val="0"/>
                <w:sz w:val="24"/>
                <w:szCs w:val="24"/>
                <w:lang w:val="en-US" w:eastAsia="zh-CN"/>
              </w:rPr>
              <w:t>排放的颗粒物执行《大气污染物综合排放标准》</w:t>
            </w:r>
            <w:r>
              <w:rPr>
                <w:rFonts w:hint="eastAsia" w:cs="Times New Roman"/>
                <w:b w:val="0"/>
                <w:bCs w:val="0"/>
                <w:color w:val="auto"/>
                <w:spacing w:val="0"/>
                <w:position w:val="0"/>
                <w:sz w:val="24"/>
                <w:szCs w:val="24"/>
                <w:lang w:val="en-US" w:eastAsia="zh-CN"/>
              </w:rPr>
              <w:t>（</w:t>
            </w:r>
            <w:r>
              <w:rPr>
                <w:rFonts w:hint="eastAsia" w:ascii="Times New Roman" w:hAnsi="Times New Roman" w:eastAsia="宋体" w:cs="Times New Roman"/>
                <w:b w:val="0"/>
                <w:bCs w:val="0"/>
                <w:color w:val="auto"/>
                <w:spacing w:val="0"/>
                <w:position w:val="0"/>
                <w:sz w:val="24"/>
                <w:szCs w:val="24"/>
                <w:lang w:val="en-US" w:eastAsia="zh-CN"/>
              </w:rPr>
              <w:t>GB16297-1996）表2排放限值。</w:t>
            </w:r>
            <w:r>
              <w:rPr>
                <w:rFonts w:hint="eastAsia" w:cs="Times New Roman"/>
                <w:b w:val="0"/>
                <w:bCs w:val="0"/>
                <w:color w:val="auto"/>
                <w:spacing w:val="0"/>
                <w:position w:val="0"/>
                <w:sz w:val="24"/>
                <w:szCs w:val="24"/>
                <w:lang w:val="en-US" w:eastAsia="zh-CN"/>
              </w:rPr>
              <w:t>厂界无组织废气二氧化硫、氮氧化物、颗粒物、氟化物、非甲烷总烃、锡及其化合物</w:t>
            </w:r>
            <w:r>
              <w:rPr>
                <w:rFonts w:hint="eastAsia" w:ascii="Times New Roman" w:hAnsi="Times New Roman" w:eastAsia="宋体" w:cs="Times New Roman"/>
                <w:b w:val="0"/>
                <w:bCs w:val="0"/>
                <w:color w:val="auto"/>
                <w:spacing w:val="0"/>
                <w:position w:val="0"/>
                <w:sz w:val="24"/>
                <w:szCs w:val="24"/>
                <w:lang w:val="en-US" w:eastAsia="zh-CN"/>
              </w:rPr>
              <w:t>执行《大气污染物综合排放标准》</w:t>
            </w:r>
            <w:r>
              <w:rPr>
                <w:rFonts w:hint="eastAsia" w:cs="Times New Roman"/>
                <w:b w:val="0"/>
                <w:bCs w:val="0"/>
                <w:color w:val="auto"/>
                <w:spacing w:val="0"/>
                <w:position w:val="0"/>
                <w:sz w:val="24"/>
                <w:szCs w:val="24"/>
                <w:lang w:val="en-US" w:eastAsia="zh-CN"/>
              </w:rPr>
              <w:t>表2无组织排放监控浓度限值。</w:t>
            </w:r>
          </w:p>
          <w:p w14:paraId="296BF37B">
            <w:pPr>
              <w:keepNext w:val="0"/>
              <w:keepLines w:val="0"/>
              <w:pageBreakBefore w:val="0"/>
              <w:widowControl/>
              <w:suppressLineNumbers w:val="0"/>
              <w:kinsoku/>
              <w:wordWrap/>
              <w:overflowPunct/>
              <w:topLinePunct w:val="0"/>
              <w:autoSpaceDE/>
              <w:autoSpaceDN/>
              <w:bidi w:val="0"/>
              <w:adjustRightInd/>
              <w:snapToGrid/>
              <w:spacing w:line="480" w:lineRule="atLeast"/>
              <w:ind w:firstLine="480" w:firstLineChars="200"/>
              <w:jc w:val="both"/>
              <w:textAlignment w:val="auto"/>
              <w:rPr>
                <w:rFonts w:hint="eastAsia" w:ascii="Times New Roman" w:hAnsi="Times New Roman" w:eastAsia="宋体" w:cs="Times New Roman"/>
                <w:b w:val="0"/>
                <w:bCs w:val="0"/>
                <w:color w:val="auto"/>
                <w:spacing w:val="0"/>
                <w:position w:val="0"/>
                <w:sz w:val="24"/>
                <w:szCs w:val="24"/>
                <w:lang w:val="en-US" w:eastAsia="zh-CN"/>
              </w:rPr>
            </w:pPr>
            <w:r>
              <w:rPr>
                <w:rFonts w:hint="eastAsia" w:ascii="Times New Roman" w:hAnsi="Times New Roman" w:eastAsia="宋体" w:cs="Times New Roman"/>
                <w:b w:val="0"/>
                <w:bCs w:val="0"/>
                <w:color w:val="auto"/>
                <w:spacing w:val="0"/>
                <w:position w:val="0"/>
                <w:sz w:val="24"/>
                <w:szCs w:val="24"/>
                <w:lang w:val="en-US" w:eastAsia="zh-CN"/>
              </w:rPr>
              <w:t>厂区内有机废气无组织排放执行</w:t>
            </w:r>
            <w:r>
              <w:rPr>
                <w:rFonts w:hint="eastAsia" w:cs="Times New Roman"/>
                <w:b w:val="0"/>
                <w:bCs w:val="0"/>
                <w:color w:val="auto"/>
                <w:spacing w:val="0"/>
                <w:position w:val="0"/>
                <w:sz w:val="24"/>
                <w:szCs w:val="24"/>
                <w:lang w:val="en-US" w:eastAsia="zh-CN"/>
              </w:rPr>
              <w:t>《</w:t>
            </w:r>
            <w:r>
              <w:rPr>
                <w:rFonts w:hint="eastAsia" w:ascii="Times New Roman" w:hAnsi="Times New Roman" w:eastAsia="宋体" w:cs="Times New Roman"/>
                <w:b w:val="0"/>
                <w:bCs w:val="0"/>
                <w:color w:val="auto"/>
                <w:spacing w:val="0"/>
                <w:position w:val="0"/>
                <w:sz w:val="24"/>
                <w:szCs w:val="24"/>
                <w:lang w:val="en-US" w:eastAsia="zh-CN"/>
              </w:rPr>
              <w:t>挥发性有机物无组织排放控制标准》</w:t>
            </w:r>
            <w:r>
              <w:rPr>
                <w:rFonts w:hint="eastAsia" w:cs="Times New Roman"/>
                <w:b w:val="0"/>
                <w:bCs w:val="0"/>
                <w:color w:val="auto"/>
                <w:spacing w:val="0"/>
                <w:position w:val="0"/>
                <w:sz w:val="24"/>
                <w:szCs w:val="24"/>
                <w:lang w:val="en-US" w:eastAsia="zh-CN"/>
              </w:rPr>
              <w:t>（</w:t>
            </w:r>
            <w:r>
              <w:rPr>
                <w:rFonts w:hint="eastAsia" w:ascii="Times New Roman" w:hAnsi="Times New Roman" w:eastAsia="宋体" w:cs="Times New Roman"/>
                <w:b w:val="0"/>
                <w:bCs w:val="0"/>
                <w:color w:val="auto"/>
                <w:spacing w:val="0"/>
                <w:position w:val="0"/>
                <w:sz w:val="24"/>
                <w:szCs w:val="24"/>
                <w:lang w:val="en-US" w:eastAsia="zh-CN"/>
              </w:rPr>
              <w:t>GB37822-2019）“表A.1 厂区内VOCs无组织排放限值”特别排放限值要求</w:t>
            </w:r>
            <w:r>
              <w:rPr>
                <w:rFonts w:hint="eastAsia" w:cs="Times New Roman"/>
                <w:b w:val="0"/>
                <w:bCs w:val="0"/>
                <w:color w:val="auto"/>
                <w:spacing w:val="0"/>
                <w:position w:val="0"/>
                <w:sz w:val="24"/>
                <w:szCs w:val="24"/>
                <w:lang w:val="en-US" w:eastAsia="zh-CN"/>
              </w:rPr>
              <w:t>。</w:t>
            </w:r>
          </w:p>
          <w:p w14:paraId="7DC9225B">
            <w:pPr>
              <w:widowControl/>
              <w:adjustRightInd/>
              <w:snapToGrid/>
              <w:spacing w:line="480" w:lineRule="atLeast"/>
              <w:ind w:firstLine="0" w:firstLineChars="0"/>
              <w:jc w:val="center"/>
              <w:rPr>
                <w:rFonts w:hint="eastAsia" w:ascii="Times New Roman" w:hAnsi="Times New Roman" w:eastAsia="宋体" w:cs="Times New Roman"/>
                <w:b/>
                <w:caps w:val="0"/>
                <w:smallCaps w:val="0"/>
                <w:color w:val="auto"/>
                <w:spacing w:val="0"/>
                <w:kern w:val="0"/>
                <w:position w:val="0"/>
                <w:sz w:val="21"/>
                <w:szCs w:val="21"/>
              </w:rPr>
            </w:pPr>
          </w:p>
          <w:p w14:paraId="33D6C8B0">
            <w:pPr>
              <w:widowControl/>
              <w:adjustRightInd/>
              <w:snapToGrid/>
              <w:spacing w:line="480" w:lineRule="atLeast"/>
              <w:ind w:firstLine="0" w:firstLineChars="0"/>
              <w:jc w:val="center"/>
              <w:rPr>
                <w:rFonts w:hint="eastAsia" w:ascii="Times New Roman" w:hAnsi="Times New Roman" w:eastAsia="宋体" w:cs="Times New Roman"/>
                <w:b/>
                <w:caps w:val="0"/>
                <w:smallCaps w:val="0"/>
                <w:color w:val="auto"/>
                <w:spacing w:val="0"/>
                <w:kern w:val="0"/>
                <w:position w:val="0"/>
                <w:sz w:val="21"/>
                <w:szCs w:val="21"/>
              </w:rPr>
            </w:pPr>
          </w:p>
          <w:p w14:paraId="4321933C">
            <w:pPr>
              <w:widowControl/>
              <w:adjustRightInd/>
              <w:snapToGrid/>
              <w:spacing w:line="480" w:lineRule="atLeast"/>
              <w:ind w:firstLine="0" w:firstLineChars="0"/>
              <w:jc w:val="center"/>
              <w:rPr>
                <w:rFonts w:hint="eastAsia" w:cs="Times New Roman"/>
                <w:b/>
                <w:caps w:val="0"/>
                <w:smallCaps w:val="0"/>
                <w:color w:val="auto"/>
                <w:spacing w:val="0"/>
                <w:kern w:val="0"/>
                <w:position w:val="0"/>
                <w:sz w:val="21"/>
                <w:szCs w:val="21"/>
                <w:lang w:val="en-US" w:eastAsia="zh-CN"/>
              </w:rPr>
            </w:pPr>
            <w:r>
              <w:rPr>
                <w:rFonts w:hint="eastAsia" w:ascii="Times New Roman" w:hAnsi="Times New Roman" w:eastAsia="宋体" w:cs="Times New Roman"/>
                <w:b/>
                <w:caps w:val="0"/>
                <w:smallCaps w:val="0"/>
                <w:color w:val="auto"/>
                <w:spacing w:val="0"/>
                <w:kern w:val="0"/>
                <w:position w:val="0"/>
                <w:sz w:val="21"/>
                <w:szCs w:val="21"/>
              </w:rPr>
              <w:t>表</w:t>
            </w:r>
            <w:r>
              <w:rPr>
                <w:rFonts w:hint="eastAsia" w:ascii="Times New Roman" w:hAnsi="Times New Roman" w:eastAsia="宋体" w:cs="Times New Roman"/>
                <w:b/>
                <w:caps w:val="0"/>
                <w:smallCaps w:val="0"/>
                <w:color w:val="auto"/>
                <w:spacing w:val="0"/>
                <w:kern w:val="0"/>
                <w:position w:val="0"/>
                <w:sz w:val="21"/>
                <w:szCs w:val="21"/>
                <w:lang w:val="en-US" w:eastAsia="zh-CN"/>
              </w:rPr>
              <w:t>3-</w:t>
            </w:r>
            <w:r>
              <w:rPr>
                <w:rFonts w:hint="eastAsia" w:cs="Times New Roman"/>
                <w:b/>
                <w:caps w:val="0"/>
                <w:smallCaps w:val="0"/>
                <w:color w:val="auto"/>
                <w:spacing w:val="0"/>
                <w:kern w:val="0"/>
                <w:position w:val="0"/>
                <w:sz w:val="21"/>
                <w:szCs w:val="21"/>
                <w:lang w:val="en-US" w:eastAsia="zh-CN"/>
              </w:rPr>
              <w:t>11</w:t>
            </w:r>
            <w:r>
              <w:rPr>
                <w:rFonts w:hint="eastAsia" w:ascii="Times New Roman" w:hAnsi="Times New Roman" w:eastAsia="宋体" w:cs="Times New Roman"/>
                <w:b/>
                <w:caps w:val="0"/>
                <w:smallCaps w:val="0"/>
                <w:color w:val="auto"/>
                <w:spacing w:val="0"/>
                <w:kern w:val="0"/>
                <w:position w:val="0"/>
                <w:sz w:val="21"/>
                <w:szCs w:val="21"/>
              </w:rPr>
              <w:t xml:space="preserve">  </w:t>
            </w:r>
            <w:r>
              <w:rPr>
                <w:rFonts w:hint="eastAsia" w:cs="Times New Roman"/>
                <w:b/>
                <w:caps w:val="0"/>
                <w:smallCaps w:val="0"/>
                <w:color w:val="auto"/>
                <w:spacing w:val="0"/>
                <w:kern w:val="0"/>
                <w:position w:val="0"/>
                <w:sz w:val="21"/>
                <w:szCs w:val="21"/>
                <w:lang w:val="en-US" w:eastAsia="zh-CN"/>
              </w:rPr>
              <w:t>本项目废气污染物排放标准</w:t>
            </w:r>
          </w:p>
          <w:tbl>
            <w:tblPr>
              <w:tblStyle w:val="26"/>
              <w:tblW w:w="90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04"/>
              <w:gridCol w:w="835"/>
              <w:gridCol w:w="2029"/>
              <w:gridCol w:w="2226"/>
              <w:gridCol w:w="1681"/>
              <w:gridCol w:w="1583"/>
            </w:tblGrid>
            <w:tr w14:paraId="052D6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224" w:hRule="atLeast"/>
                <w:jc w:val="center"/>
              </w:trPr>
              <w:tc>
                <w:tcPr>
                  <w:tcW w:w="704" w:type="dxa"/>
                  <w:vMerge w:val="restart"/>
                  <w:tcBorders>
                    <w:tl2br w:val="nil"/>
                    <w:tr2bl w:val="nil"/>
                  </w:tcBorders>
                  <w:shd w:val="clear" w:color="auto" w:fill="auto"/>
                  <w:vAlign w:val="center"/>
                </w:tcPr>
                <w:p w14:paraId="5D0FA17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r>
                    <w:rPr>
                      <w:rFonts w:hint="default" w:ascii="Times New Roman" w:hAnsi="Times New Roman" w:eastAsia="宋体" w:cs="Times New Roman"/>
                      <w:b/>
                      <w:bCs/>
                      <w:i w:val="0"/>
                      <w:iCs w:val="0"/>
                      <w:color w:val="000000"/>
                      <w:spacing w:val="0"/>
                      <w:kern w:val="0"/>
                      <w:sz w:val="21"/>
                      <w:szCs w:val="21"/>
                      <w:u w:val="none"/>
                      <w:lang w:val="en-US" w:eastAsia="zh-CN" w:bidi="ar"/>
                    </w:rPr>
                    <w:t>废气类型</w:t>
                  </w:r>
                </w:p>
              </w:tc>
              <w:tc>
                <w:tcPr>
                  <w:tcW w:w="835" w:type="dxa"/>
                  <w:vMerge w:val="restart"/>
                  <w:tcBorders>
                    <w:tl2br w:val="nil"/>
                    <w:tr2bl w:val="nil"/>
                  </w:tcBorders>
                  <w:shd w:val="clear" w:color="auto" w:fill="auto"/>
                  <w:vAlign w:val="center"/>
                </w:tcPr>
                <w:p w14:paraId="0A8B909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spacing w:val="0"/>
                      <w:kern w:val="0"/>
                      <w:sz w:val="21"/>
                      <w:szCs w:val="21"/>
                      <w:u w:val="none"/>
                      <w:lang w:val="en-US" w:eastAsia="zh-CN" w:bidi="ar"/>
                    </w:rPr>
                    <w:t>排放口</w:t>
                  </w:r>
                </w:p>
              </w:tc>
              <w:tc>
                <w:tcPr>
                  <w:tcW w:w="2029" w:type="dxa"/>
                  <w:vMerge w:val="restart"/>
                  <w:tcBorders>
                    <w:tl2br w:val="nil"/>
                    <w:tr2bl w:val="nil"/>
                  </w:tcBorders>
                  <w:shd w:val="clear" w:color="auto" w:fill="auto"/>
                  <w:vAlign w:val="center"/>
                </w:tcPr>
                <w:p w14:paraId="643F989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u w:val="none"/>
                    </w:rPr>
                  </w:pPr>
                  <w:r>
                    <w:rPr>
                      <w:rStyle w:val="54"/>
                      <w:rFonts w:hint="default" w:ascii="Times New Roman" w:hAnsi="Times New Roman" w:cs="Times New Roman"/>
                      <w:b/>
                      <w:bCs/>
                      <w:sz w:val="21"/>
                      <w:szCs w:val="21"/>
                      <w:lang w:val="en-US" w:eastAsia="zh-CN" w:bidi="ar"/>
                    </w:rPr>
                    <w:t>污染物种类</w:t>
                  </w:r>
                </w:p>
              </w:tc>
              <w:tc>
                <w:tcPr>
                  <w:tcW w:w="5490" w:type="dxa"/>
                  <w:gridSpan w:val="3"/>
                  <w:tcBorders>
                    <w:tl2br w:val="nil"/>
                    <w:tr2bl w:val="nil"/>
                  </w:tcBorders>
                  <w:shd w:val="clear" w:color="auto" w:fill="auto"/>
                  <w:vAlign w:val="center"/>
                </w:tcPr>
                <w:p w14:paraId="56C52AA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r>
                    <w:rPr>
                      <w:rFonts w:hint="default" w:ascii="Times New Roman" w:hAnsi="Times New Roman" w:eastAsia="宋体" w:cs="Times New Roman"/>
                      <w:b/>
                      <w:bCs/>
                      <w:i w:val="0"/>
                      <w:iCs w:val="0"/>
                      <w:color w:val="000000"/>
                      <w:spacing w:val="0"/>
                      <w:kern w:val="0"/>
                      <w:sz w:val="21"/>
                      <w:szCs w:val="21"/>
                      <w:u w:val="none"/>
                      <w:lang w:val="en-US" w:eastAsia="zh-CN" w:bidi="ar"/>
                    </w:rPr>
                    <w:t>排放标准</w:t>
                  </w:r>
                </w:p>
              </w:tc>
            </w:tr>
            <w:tr w14:paraId="6DD45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39" w:hRule="atLeast"/>
                <w:jc w:val="center"/>
              </w:trPr>
              <w:tc>
                <w:tcPr>
                  <w:tcW w:w="704" w:type="dxa"/>
                  <w:vMerge w:val="continue"/>
                  <w:tcBorders>
                    <w:tl2br w:val="nil"/>
                    <w:tr2bl w:val="nil"/>
                  </w:tcBorders>
                  <w:shd w:val="clear" w:color="auto" w:fill="auto"/>
                  <w:vAlign w:val="center"/>
                </w:tcPr>
                <w:p w14:paraId="26AA706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000000"/>
                      <w:sz w:val="21"/>
                      <w:szCs w:val="21"/>
                      <w:u w:val="none"/>
                    </w:rPr>
                  </w:pPr>
                </w:p>
              </w:tc>
              <w:tc>
                <w:tcPr>
                  <w:tcW w:w="835" w:type="dxa"/>
                  <w:vMerge w:val="continue"/>
                  <w:tcBorders>
                    <w:tl2br w:val="nil"/>
                    <w:tr2bl w:val="nil"/>
                  </w:tcBorders>
                  <w:shd w:val="clear" w:color="auto" w:fill="auto"/>
                  <w:vAlign w:val="center"/>
                </w:tcPr>
                <w:p w14:paraId="2DCDD20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000000"/>
                      <w:sz w:val="21"/>
                      <w:szCs w:val="21"/>
                      <w:u w:val="none"/>
                    </w:rPr>
                  </w:pPr>
                </w:p>
              </w:tc>
              <w:tc>
                <w:tcPr>
                  <w:tcW w:w="2029" w:type="dxa"/>
                  <w:vMerge w:val="continue"/>
                  <w:tcBorders>
                    <w:tl2br w:val="nil"/>
                    <w:tr2bl w:val="nil"/>
                  </w:tcBorders>
                  <w:shd w:val="clear" w:color="auto" w:fill="auto"/>
                  <w:vAlign w:val="center"/>
                </w:tcPr>
                <w:p w14:paraId="3F4C3B8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000000"/>
                      <w:sz w:val="21"/>
                      <w:szCs w:val="21"/>
                      <w:u w:val="none"/>
                    </w:rPr>
                  </w:pPr>
                </w:p>
              </w:tc>
              <w:tc>
                <w:tcPr>
                  <w:tcW w:w="2226" w:type="dxa"/>
                  <w:tcBorders>
                    <w:tl2br w:val="nil"/>
                    <w:tr2bl w:val="nil"/>
                  </w:tcBorders>
                  <w:shd w:val="clear" w:color="auto" w:fill="auto"/>
                  <w:vAlign w:val="center"/>
                </w:tcPr>
                <w:p w14:paraId="49003FC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spacing w:val="0"/>
                      <w:kern w:val="0"/>
                      <w:sz w:val="21"/>
                      <w:szCs w:val="21"/>
                      <w:u w:val="none"/>
                      <w:lang w:val="en-US" w:eastAsia="zh-CN" w:bidi="ar"/>
                    </w:rPr>
                    <w:t>标准名称</w:t>
                  </w:r>
                </w:p>
              </w:tc>
              <w:tc>
                <w:tcPr>
                  <w:tcW w:w="1681" w:type="dxa"/>
                  <w:tcBorders>
                    <w:tl2br w:val="nil"/>
                    <w:tr2bl w:val="nil"/>
                  </w:tcBorders>
                  <w:shd w:val="clear" w:color="auto" w:fill="auto"/>
                  <w:vAlign w:val="center"/>
                </w:tcPr>
                <w:p w14:paraId="44F3590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u w:val="none"/>
                    </w:rPr>
                  </w:pPr>
                  <w:r>
                    <w:rPr>
                      <w:rStyle w:val="54"/>
                      <w:rFonts w:hint="default" w:ascii="Times New Roman" w:hAnsi="Times New Roman" w:cs="Times New Roman"/>
                      <w:b/>
                      <w:bCs/>
                      <w:sz w:val="21"/>
                      <w:szCs w:val="21"/>
                      <w:lang w:val="en-US" w:eastAsia="zh-CN" w:bidi="ar"/>
                    </w:rPr>
                    <w:t>最高允许排放浓度（</w:t>
                  </w:r>
                  <w:r>
                    <w:rPr>
                      <w:rStyle w:val="73"/>
                      <w:rFonts w:hint="default" w:ascii="Times New Roman" w:hAnsi="Times New Roman" w:eastAsia="宋体" w:cs="Times New Roman"/>
                      <w:b/>
                      <w:bCs/>
                      <w:sz w:val="21"/>
                      <w:szCs w:val="21"/>
                      <w:vertAlign w:val="baseline"/>
                      <w:lang w:val="en-US" w:eastAsia="zh-CN" w:bidi="ar"/>
                    </w:rPr>
                    <w:t>mg</w:t>
                  </w:r>
                  <w:r>
                    <w:rPr>
                      <w:rStyle w:val="73"/>
                      <w:rFonts w:hint="eastAsia" w:ascii="Times New Roman" w:hAnsi="Times New Roman" w:eastAsia="宋体" w:cs="Times New Roman"/>
                      <w:b/>
                      <w:bCs/>
                      <w:sz w:val="21"/>
                      <w:szCs w:val="21"/>
                      <w:vertAlign w:val="baseline"/>
                      <w:lang w:val="en-US" w:eastAsia="zh-CN" w:bidi="ar"/>
                    </w:rPr>
                    <w:t>/m</w:t>
                  </w:r>
                  <w:r>
                    <w:rPr>
                      <w:rStyle w:val="73"/>
                      <w:rFonts w:hint="eastAsia" w:ascii="Times New Roman" w:hAnsi="Times New Roman" w:eastAsia="宋体" w:cs="Times New Roman"/>
                      <w:b/>
                      <w:bCs/>
                      <w:sz w:val="21"/>
                      <w:szCs w:val="21"/>
                      <w:vertAlign w:val="superscript"/>
                      <w:lang w:val="en-US" w:eastAsia="zh-CN" w:bidi="ar"/>
                    </w:rPr>
                    <w:t>3</w:t>
                  </w:r>
                  <w:r>
                    <w:rPr>
                      <w:rStyle w:val="54"/>
                      <w:rFonts w:hint="default" w:ascii="Times New Roman" w:hAnsi="Times New Roman" w:cs="Times New Roman"/>
                      <w:b/>
                      <w:bCs/>
                      <w:sz w:val="21"/>
                      <w:szCs w:val="21"/>
                      <w:lang w:val="en-US" w:eastAsia="zh-CN" w:bidi="ar"/>
                    </w:rPr>
                    <w:t>）</w:t>
                  </w:r>
                </w:p>
              </w:tc>
              <w:tc>
                <w:tcPr>
                  <w:tcW w:w="1583" w:type="dxa"/>
                  <w:tcBorders>
                    <w:tl2br w:val="nil"/>
                    <w:tr2bl w:val="nil"/>
                  </w:tcBorders>
                  <w:shd w:val="clear" w:color="auto" w:fill="auto"/>
                  <w:vAlign w:val="center"/>
                </w:tcPr>
                <w:p w14:paraId="5B0D8EE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u w:val="none"/>
                    </w:rPr>
                  </w:pPr>
                  <w:r>
                    <w:rPr>
                      <w:rStyle w:val="54"/>
                      <w:rFonts w:hint="default" w:ascii="Times New Roman" w:hAnsi="Times New Roman" w:cs="Times New Roman"/>
                      <w:b/>
                      <w:bCs/>
                      <w:sz w:val="21"/>
                      <w:szCs w:val="21"/>
                      <w:lang w:val="en-US" w:eastAsia="zh-CN" w:bidi="ar"/>
                    </w:rPr>
                    <w:t>最高允许排放速率（</w:t>
                  </w:r>
                  <w:r>
                    <w:rPr>
                      <w:rStyle w:val="73"/>
                      <w:rFonts w:hint="default" w:ascii="Times New Roman" w:hAnsi="Times New Roman" w:eastAsia="宋体" w:cs="Times New Roman"/>
                      <w:b/>
                      <w:bCs/>
                      <w:sz w:val="21"/>
                      <w:szCs w:val="21"/>
                      <w:vertAlign w:val="baseline"/>
                      <w:lang w:val="en-US" w:eastAsia="zh-CN" w:bidi="ar"/>
                    </w:rPr>
                    <w:t>kg/h</w:t>
                  </w:r>
                  <w:r>
                    <w:rPr>
                      <w:rStyle w:val="54"/>
                      <w:rFonts w:hint="default" w:ascii="Times New Roman" w:hAnsi="Times New Roman" w:cs="Times New Roman"/>
                      <w:b/>
                      <w:bCs/>
                      <w:sz w:val="21"/>
                      <w:szCs w:val="21"/>
                      <w:vertAlign w:val="baseline"/>
                      <w:lang w:val="en-US" w:eastAsia="zh-CN" w:bidi="ar"/>
                    </w:rPr>
                    <w:t>）</w:t>
                  </w:r>
                </w:p>
              </w:tc>
            </w:tr>
            <w:tr w14:paraId="7951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jc w:val="center"/>
              </w:trPr>
              <w:tc>
                <w:tcPr>
                  <w:tcW w:w="704" w:type="dxa"/>
                  <w:vMerge w:val="restart"/>
                  <w:tcBorders>
                    <w:tl2br w:val="nil"/>
                    <w:tr2bl w:val="nil"/>
                  </w:tcBorders>
                  <w:shd w:val="clear" w:color="auto" w:fill="auto"/>
                  <w:vAlign w:val="center"/>
                </w:tcPr>
                <w:p w14:paraId="34302B6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有组织废气</w:t>
                  </w:r>
                </w:p>
              </w:tc>
              <w:tc>
                <w:tcPr>
                  <w:tcW w:w="835" w:type="dxa"/>
                  <w:vMerge w:val="restart"/>
                  <w:tcBorders>
                    <w:tl2br w:val="nil"/>
                    <w:tr2bl w:val="nil"/>
                  </w:tcBorders>
                  <w:shd w:val="clear" w:color="auto" w:fill="auto"/>
                  <w:vAlign w:val="center"/>
                </w:tcPr>
                <w:p w14:paraId="44FE836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DA001</w:t>
                  </w:r>
                </w:p>
              </w:tc>
              <w:tc>
                <w:tcPr>
                  <w:tcW w:w="2029" w:type="dxa"/>
                  <w:tcBorders>
                    <w:tl2br w:val="nil"/>
                    <w:tr2bl w:val="nil"/>
                  </w:tcBorders>
                  <w:shd w:val="clear" w:color="auto" w:fill="auto"/>
                  <w:vAlign w:val="center"/>
                </w:tcPr>
                <w:p w14:paraId="2EC5DFB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二氧化硫</w:t>
                  </w:r>
                </w:p>
              </w:tc>
              <w:tc>
                <w:tcPr>
                  <w:tcW w:w="2226" w:type="dxa"/>
                  <w:vMerge w:val="restart"/>
                  <w:tcBorders>
                    <w:tl2br w:val="nil"/>
                    <w:tr2bl w:val="nil"/>
                  </w:tcBorders>
                  <w:shd w:val="clear" w:color="auto" w:fill="auto"/>
                  <w:vAlign w:val="center"/>
                </w:tcPr>
                <w:p w14:paraId="0D18D63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Style w:val="67"/>
                      <w:rFonts w:hint="default" w:ascii="Times New Roman" w:hAnsi="Times New Roman" w:cs="Times New Roman"/>
                      <w:b w:val="0"/>
                      <w:bCs w:val="0"/>
                      <w:sz w:val="21"/>
                      <w:szCs w:val="21"/>
                      <w:lang w:val="en-US" w:eastAsia="zh-CN" w:bidi="ar"/>
                    </w:rPr>
                    <w:t>《危险废物焚烧污染控制标准》（</w:t>
                  </w:r>
                  <w:r>
                    <w:rPr>
                      <w:rStyle w:val="83"/>
                      <w:rFonts w:hint="default" w:ascii="Times New Roman" w:hAnsi="Times New Roman" w:eastAsia="宋体" w:cs="Times New Roman"/>
                      <w:b w:val="0"/>
                      <w:bCs w:val="0"/>
                      <w:sz w:val="21"/>
                      <w:szCs w:val="21"/>
                      <w:lang w:val="en-US" w:eastAsia="zh-CN" w:bidi="ar"/>
                    </w:rPr>
                    <w:t>GB18484-2020</w:t>
                  </w:r>
                  <w:r>
                    <w:rPr>
                      <w:rStyle w:val="67"/>
                      <w:rFonts w:hint="default" w:ascii="Times New Roman" w:hAnsi="Times New Roman" w:cs="Times New Roman"/>
                      <w:b w:val="0"/>
                      <w:bCs w:val="0"/>
                      <w:sz w:val="21"/>
                      <w:szCs w:val="21"/>
                      <w:lang w:val="en-US" w:eastAsia="zh-CN" w:bidi="ar"/>
                    </w:rPr>
                    <w:t>）、《大气污染物综合排放标准》（GB16297-1996）</w:t>
                  </w:r>
                </w:p>
              </w:tc>
              <w:tc>
                <w:tcPr>
                  <w:tcW w:w="1681" w:type="dxa"/>
                  <w:tcBorders>
                    <w:tl2br w:val="nil"/>
                    <w:tr2bl w:val="nil"/>
                  </w:tcBorders>
                  <w:shd w:val="clear" w:color="auto" w:fill="auto"/>
                  <w:vAlign w:val="center"/>
                </w:tcPr>
                <w:p w14:paraId="58DB879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100</w:t>
                  </w:r>
                </w:p>
              </w:tc>
              <w:tc>
                <w:tcPr>
                  <w:tcW w:w="1583" w:type="dxa"/>
                  <w:tcBorders>
                    <w:tl2br w:val="nil"/>
                    <w:tr2bl w:val="nil"/>
                  </w:tcBorders>
                  <w:shd w:val="clear" w:color="auto" w:fill="auto"/>
                  <w:vAlign w:val="center"/>
                </w:tcPr>
                <w:p w14:paraId="4D2F73C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01D70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3A67667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2EFBD6E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26BF9B1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氮氧化物</w:t>
                  </w:r>
                </w:p>
              </w:tc>
              <w:tc>
                <w:tcPr>
                  <w:tcW w:w="2226" w:type="dxa"/>
                  <w:vMerge w:val="continue"/>
                  <w:tcBorders>
                    <w:tl2br w:val="nil"/>
                    <w:tr2bl w:val="nil"/>
                  </w:tcBorders>
                  <w:shd w:val="clear" w:color="auto" w:fill="auto"/>
                  <w:vAlign w:val="center"/>
                </w:tcPr>
                <w:p w14:paraId="6ACA9E2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2368B33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300</w:t>
                  </w:r>
                </w:p>
              </w:tc>
              <w:tc>
                <w:tcPr>
                  <w:tcW w:w="1583" w:type="dxa"/>
                  <w:tcBorders>
                    <w:tl2br w:val="nil"/>
                    <w:tr2bl w:val="nil"/>
                  </w:tcBorders>
                  <w:shd w:val="clear" w:color="auto" w:fill="auto"/>
                  <w:vAlign w:val="center"/>
                </w:tcPr>
                <w:p w14:paraId="4DF971C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3D06D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39" w:hRule="atLeast"/>
                <w:jc w:val="center"/>
              </w:trPr>
              <w:tc>
                <w:tcPr>
                  <w:tcW w:w="704" w:type="dxa"/>
                  <w:vMerge w:val="continue"/>
                  <w:tcBorders>
                    <w:tl2br w:val="nil"/>
                    <w:tr2bl w:val="nil"/>
                  </w:tcBorders>
                  <w:shd w:val="clear" w:color="auto" w:fill="auto"/>
                  <w:vAlign w:val="center"/>
                </w:tcPr>
                <w:p w14:paraId="11D8348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0211B9E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745A619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颗粒物（</w:t>
                  </w:r>
                  <w:r>
                    <w:rPr>
                      <w:rFonts w:hint="eastAsia" w:cs="Times New Roman"/>
                      <w:b w:val="0"/>
                      <w:bCs w:val="0"/>
                      <w:i w:val="0"/>
                      <w:iCs w:val="0"/>
                      <w:color w:val="000000"/>
                      <w:spacing w:val="0"/>
                      <w:kern w:val="0"/>
                      <w:sz w:val="21"/>
                      <w:szCs w:val="21"/>
                      <w:u w:val="none"/>
                      <w:lang w:val="en-US" w:eastAsia="zh-CN" w:bidi="ar"/>
                    </w:rPr>
                    <w:t>含炭黑尘、铜、锡等</w:t>
                  </w: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c>
                <w:tcPr>
                  <w:tcW w:w="2226" w:type="dxa"/>
                  <w:vMerge w:val="continue"/>
                  <w:tcBorders>
                    <w:tl2br w:val="nil"/>
                    <w:tr2bl w:val="nil"/>
                  </w:tcBorders>
                  <w:shd w:val="clear" w:color="auto" w:fill="auto"/>
                  <w:vAlign w:val="center"/>
                </w:tcPr>
                <w:p w14:paraId="1F91C37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5A5D5BC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18</w:t>
                  </w:r>
                </w:p>
              </w:tc>
              <w:tc>
                <w:tcPr>
                  <w:tcW w:w="1583" w:type="dxa"/>
                  <w:tcBorders>
                    <w:tl2br w:val="nil"/>
                    <w:tr2bl w:val="nil"/>
                  </w:tcBorders>
                  <w:shd w:val="clear" w:color="auto" w:fill="auto"/>
                  <w:vAlign w:val="center"/>
                </w:tcPr>
                <w:p w14:paraId="382972D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eastAsia" w:cs="Times New Roman"/>
                      <w:b w:val="0"/>
                      <w:bCs w:val="0"/>
                      <w:i w:val="0"/>
                      <w:iCs w:val="0"/>
                      <w:color w:val="000000"/>
                      <w:spacing w:val="0"/>
                      <w:kern w:val="0"/>
                      <w:sz w:val="21"/>
                      <w:szCs w:val="21"/>
                      <w:u w:val="none"/>
                      <w:lang w:val="en-US" w:eastAsia="zh-CN" w:bidi="ar"/>
                    </w:rPr>
                    <w:t>0.255</w:t>
                  </w:r>
                </w:p>
              </w:tc>
            </w:tr>
            <w:tr w14:paraId="11464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738D03E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5B6EE050">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44300AD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锡及其化合物</w:t>
                  </w:r>
                </w:p>
              </w:tc>
              <w:tc>
                <w:tcPr>
                  <w:tcW w:w="2226" w:type="dxa"/>
                  <w:vMerge w:val="continue"/>
                  <w:tcBorders>
                    <w:tl2br w:val="nil"/>
                    <w:tr2bl w:val="nil"/>
                  </w:tcBorders>
                  <w:shd w:val="clear" w:color="auto" w:fill="auto"/>
                  <w:vAlign w:val="center"/>
                </w:tcPr>
                <w:p w14:paraId="1F20355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178C95BF">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lang w:val="en-US" w:eastAsia="zh-CN"/>
                    </w:rPr>
                  </w:pPr>
                  <w:r>
                    <w:rPr>
                      <w:rFonts w:hint="default" w:ascii="Times New Roman" w:hAnsi="Times New Roman" w:eastAsia="宋体" w:cs="Times New Roman"/>
                      <w:b w:val="0"/>
                      <w:bCs w:val="0"/>
                      <w:i w:val="0"/>
                      <w:iCs w:val="0"/>
                      <w:color w:val="000000"/>
                      <w:sz w:val="21"/>
                      <w:szCs w:val="21"/>
                      <w:u w:val="none"/>
                      <w:lang w:val="en-US" w:eastAsia="zh-CN"/>
                    </w:rPr>
                    <w:t>2.0</w:t>
                  </w:r>
                </w:p>
              </w:tc>
              <w:tc>
                <w:tcPr>
                  <w:tcW w:w="1583" w:type="dxa"/>
                  <w:tcBorders>
                    <w:tl2br w:val="nil"/>
                    <w:tr2bl w:val="nil"/>
                  </w:tcBorders>
                  <w:shd w:val="clear" w:color="auto" w:fill="auto"/>
                  <w:vAlign w:val="center"/>
                </w:tcPr>
                <w:p w14:paraId="528A421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42C83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02586D00">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1AC0E20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521885D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eastAsia" w:cs="Times New Roman"/>
                      <w:i w:val="0"/>
                      <w:iCs w:val="0"/>
                      <w:color w:val="000000"/>
                      <w:kern w:val="0"/>
                      <w:sz w:val="21"/>
                      <w:szCs w:val="21"/>
                      <w:u w:val="none"/>
                      <w:lang w:val="en-US" w:eastAsia="zh-CN" w:bidi="ar"/>
                    </w:rPr>
                    <w:t>铜</w:t>
                  </w:r>
                  <w:r>
                    <w:rPr>
                      <w:rFonts w:hint="default" w:ascii="Times New Roman" w:hAnsi="Times New Roman" w:eastAsia="宋体" w:cs="Times New Roman"/>
                      <w:i w:val="0"/>
                      <w:iCs w:val="0"/>
                      <w:color w:val="000000"/>
                      <w:kern w:val="0"/>
                      <w:sz w:val="21"/>
                      <w:szCs w:val="21"/>
                      <w:u w:val="none"/>
                      <w:lang w:val="en-US" w:eastAsia="zh-CN" w:bidi="ar"/>
                    </w:rPr>
                    <w:t>及其化合物</w:t>
                  </w:r>
                </w:p>
              </w:tc>
              <w:tc>
                <w:tcPr>
                  <w:tcW w:w="2226" w:type="dxa"/>
                  <w:vMerge w:val="continue"/>
                  <w:tcBorders>
                    <w:tl2br w:val="nil"/>
                    <w:tr2bl w:val="nil"/>
                  </w:tcBorders>
                  <w:shd w:val="clear" w:color="auto" w:fill="auto"/>
                  <w:vAlign w:val="center"/>
                </w:tcPr>
                <w:p w14:paraId="408912F0">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1266C61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sz w:val="21"/>
                      <w:szCs w:val="21"/>
                      <w:u w:val="none"/>
                      <w:lang w:val="en-US" w:eastAsia="zh-CN"/>
                    </w:rPr>
                    <w:t>2.0</w:t>
                  </w:r>
                </w:p>
              </w:tc>
              <w:tc>
                <w:tcPr>
                  <w:tcW w:w="1583" w:type="dxa"/>
                  <w:tcBorders>
                    <w:tl2br w:val="nil"/>
                    <w:tr2bl w:val="nil"/>
                  </w:tcBorders>
                  <w:shd w:val="clear" w:color="auto" w:fill="auto"/>
                  <w:vAlign w:val="center"/>
                </w:tcPr>
                <w:p w14:paraId="4EBEB95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3CEB5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43350476">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054CD31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61DED6B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氟化物</w:t>
                  </w:r>
                </w:p>
              </w:tc>
              <w:tc>
                <w:tcPr>
                  <w:tcW w:w="2226" w:type="dxa"/>
                  <w:vMerge w:val="continue"/>
                  <w:tcBorders>
                    <w:tl2br w:val="nil"/>
                    <w:tr2bl w:val="nil"/>
                  </w:tcBorders>
                  <w:shd w:val="clear" w:color="auto" w:fill="auto"/>
                  <w:vAlign w:val="center"/>
                </w:tcPr>
                <w:p w14:paraId="6F33CB1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1EC3201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4</w:t>
                  </w:r>
                </w:p>
              </w:tc>
              <w:tc>
                <w:tcPr>
                  <w:tcW w:w="1583" w:type="dxa"/>
                  <w:tcBorders>
                    <w:tl2br w:val="nil"/>
                    <w:tr2bl w:val="nil"/>
                  </w:tcBorders>
                  <w:shd w:val="clear" w:color="auto" w:fill="auto"/>
                  <w:vAlign w:val="center"/>
                </w:tcPr>
                <w:p w14:paraId="271C497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4E996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11D2B25F">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4601BB0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48154E4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非甲烷总烃</w:t>
                  </w:r>
                </w:p>
              </w:tc>
              <w:tc>
                <w:tcPr>
                  <w:tcW w:w="2226" w:type="dxa"/>
                  <w:vMerge w:val="continue"/>
                  <w:tcBorders>
                    <w:tl2br w:val="nil"/>
                    <w:tr2bl w:val="nil"/>
                  </w:tcBorders>
                  <w:shd w:val="clear" w:color="auto" w:fill="auto"/>
                  <w:vAlign w:val="center"/>
                </w:tcPr>
                <w:p w14:paraId="2C02813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1DD78A4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120</w:t>
                  </w:r>
                </w:p>
              </w:tc>
              <w:tc>
                <w:tcPr>
                  <w:tcW w:w="1583" w:type="dxa"/>
                  <w:tcBorders>
                    <w:tl2br w:val="nil"/>
                    <w:tr2bl w:val="nil"/>
                  </w:tcBorders>
                  <w:shd w:val="clear" w:color="auto" w:fill="auto"/>
                  <w:vAlign w:val="center"/>
                </w:tcPr>
                <w:p w14:paraId="1B93F43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eastAsia" w:cs="Times New Roman"/>
                      <w:b w:val="0"/>
                      <w:bCs w:val="0"/>
                      <w:i w:val="0"/>
                      <w:iCs w:val="0"/>
                      <w:color w:val="000000"/>
                      <w:spacing w:val="0"/>
                      <w:kern w:val="0"/>
                      <w:sz w:val="21"/>
                      <w:szCs w:val="21"/>
                      <w:u w:val="none"/>
                      <w:lang w:val="en-US" w:eastAsia="zh-CN" w:bidi="ar"/>
                    </w:rPr>
                    <w:t>5</w:t>
                  </w:r>
                </w:p>
              </w:tc>
            </w:tr>
            <w:tr w14:paraId="2CFD4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704" w:type="dxa"/>
                  <w:vMerge w:val="continue"/>
                  <w:tcBorders>
                    <w:tl2br w:val="nil"/>
                    <w:tr2bl w:val="nil"/>
                  </w:tcBorders>
                  <w:shd w:val="clear" w:color="auto" w:fill="auto"/>
                  <w:vAlign w:val="center"/>
                </w:tcPr>
                <w:p w14:paraId="2BFA3E9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tcBorders>
                    <w:tl2br w:val="nil"/>
                    <w:tr2bl w:val="nil"/>
                  </w:tcBorders>
                  <w:shd w:val="clear" w:color="auto" w:fill="auto"/>
                  <w:vAlign w:val="center"/>
                </w:tcPr>
                <w:p w14:paraId="43C1A87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DA002</w:t>
                  </w:r>
                </w:p>
              </w:tc>
              <w:tc>
                <w:tcPr>
                  <w:tcW w:w="2029" w:type="dxa"/>
                  <w:tcBorders>
                    <w:tl2br w:val="nil"/>
                    <w:tr2bl w:val="nil"/>
                  </w:tcBorders>
                  <w:shd w:val="clear" w:color="auto" w:fill="auto"/>
                  <w:vAlign w:val="center"/>
                </w:tcPr>
                <w:p w14:paraId="1347230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颗粒物（含炭黑尘）</w:t>
                  </w:r>
                </w:p>
              </w:tc>
              <w:tc>
                <w:tcPr>
                  <w:tcW w:w="2226" w:type="dxa"/>
                  <w:tcBorders>
                    <w:tl2br w:val="nil"/>
                    <w:tr2bl w:val="nil"/>
                  </w:tcBorders>
                  <w:shd w:val="clear" w:color="auto" w:fill="auto"/>
                  <w:vAlign w:val="center"/>
                </w:tcPr>
                <w:p w14:paraId="2E0A6D5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Style w:val="67"/>
                      <w:rFonts w:hint="default" w:ascii="Times New Roman" w:hAnsi="Times New Roman" w:cs="Times New Roman"/>
                      <w:b w:val="0"/>
                      <w:bCs w:val="0"/>
                      <w:sz w:val="21"/>
                      <w:szCs w:val="21"/>
                      <w:lang w:val="en-US" w:eastAsia="zh-CN" w:bidi="ar"/>
                    </w:rPr>
                    <w:t>《大气污染物综合排放标准》（</w:t>
                  </w:r>
                  <w:r>
                    <w:rPr>
                      <w:rStyle w:val="83"/>
                      <w:rFonts w:hint="default" w:ascii="Times New Roman" w:hAnsi="Times New Roman" w:eastAsia="宋体" w:cs="Times New Roman"/>
                      <w:b w:val="0"/>
                      <w:bCs w:val="0"/>
                      <w:sz w:val="21"/>
                      <w:szCs w:val="21"/>
                      <w:lang w:val="en-US" w:eastAsia="zh-CN" w:bidi="ar"/>
                    </w:rPr>
                    <w:t>GB16297-1996</w:t>
                  </w:r>
                  <w:r>
                    <w:rPr>
                      <w:rStyle w:val="67"/>
                      <w:rFonts w:hint="default" w:ascii="Times New Roman" w:hAnsi="Times New Roman" w:cs="Times New Roman"/>
                      <w:b w:val="0"/>
                      <w:bCs w:val="0"/>
                      <w:sz w:val="21"/>
                      <w:szCs w:val="21"/>
                      <w:lang w:val="en-US" w:eastAsia="zh-CN" w:bidi="ar"/>
                    </w:rPr>
                    <w:t>）</w:t>
                  </w:r>
                </w:p>
              </w:tc>
              <w:tc>
                <w:tcPr>
                  <w:tcW w:w="1681" w:type="dxa"/>
                  <w:tcBorders>
                    <w:tl2br w:val="nil"/>
                    <w:tr2bl w:val="nil"/>
                  </w:tcBorders>
                  <w:shd w:val="clear" w:color="auto" w:fill="auto"/>
                  <w:vAlign w:val="center"/>
                </w:tcPr>
                <w:p w14:paraId="29B8D7F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18</w:t>
                  </w:r>
                </w:p>
              </w:tc>
              <w:tc>
                <w:tcPr>
                  <w:tcW w:w="1583" w:type="dxa"/>
                  <w:tcBorders>
                    <w:tl2br w:val="nil"/>
                    <w:tr2bl w:val="nil"/>
                  </w:tcBorders>
                  <w:shd w:val="clear" w:color="auto" w:fill="auto"/>
                  <w:vAlign w:val="center"/>
                </w:tcPr>
                <w:p w14:paraId="13236D7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eastAsia" w:cs="Times New Roman"/>
                      <w:b w:val="0"/>
                      <w:bCs w:val="0"/>
                      <w:i w:val="0"/>
                      <w:iCs w:val="0"/>
                      <w:color w:val="000000"/>
                      <w:spacing w:val="0"/>
                      <w:kern w:val="0"/>
                      <w:sz w:val="21"/>
                      <w:szCs w:val="21"/>
                      <w:u w:val="none"/>
                      <w:lang w:val="en-US" w:eastAsia="zh-CN" w:bidi="ar"/>
                    </w:rPr>
                    <w:t>0.255</w:t>
                  </w:r>
                </w:p>
              </w:tc>
            </w:tr>
            <w:tr w14:paraId="2FE59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7933BD3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vMerge w:val="restart"/>
                  <w:tcBorders>
                    <w:tl2br w:val="nil"/>
                    <w:tr2bl w:val="nil"/>
                  </w:tcBorders>
                  <w:shd w:val="clear" w:color="auto" w:fill="auto"/>
                  <w:vAlign w:val="center"/>
                </w:tcPr>
                <w:p w14:paraId="4942F3B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eastAsia" w:cs="Times New Roman"/>
                      <w:b w:val="0"/>
                      <w:bCs w:val="0"/>
                      <w:i w:val="0"/>
                      <w:iCs w:val="0"/>
                      <w:color w:val="000000"/>
                      <w:spacing w:val="0"/>
                      <w:kern w:val="0"/>
                      <w:sz w:val="21"/>
                      <w:szCs w:val="21"/>
                      <w:u w:val="none"/>
                      <w:lang w:val="en-US" w:eastAsia="zh-CN" w:bidi="ar"/>
                    </w:rPr>
                    <w:t>DA003</w:t>
                  </w:r>
                </w:p>
              </w:tc>
              <w:tc>
                <w:tcPr>
                  <w:tcW w:w="2029" w:type="dxa"/>
                  <w:tcBorders>
                    <w:tl2br w:val="nil"/>
                    <w:tr2bl w:val="nil"/>
                  </w:tcBorders>
                  <w:shd w:val="clear" w:color="auto" w:fill="auto"/>
                  <w:vAlign w:val="center"/>
                </w:tcPr>
                <w:p w14:paraId="7D6974F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二氧化硫</w:t>
                  </w:r>
                </w:p>
              </w:tc>
              <w:tc>
                <w:tcPr>
                  <w:tcW w:w="2226" w:type="dxa"/>
                  <w:vMerge w:val="restart"/>
                  <w:tcBorders>
                    <w:tl2br w:val="nil"/>
                    <w:tr2bl w:val="nil"/>
                  </w:tcBorders>
                  <w:shd w:val="clear" w:color="auto" w:fill="auto"/>
                  <w:vAlign w:val="center"/>
                </w:tcPr>
                <w:p w14:paraId="50E4B85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Style w:val="83"/>
                      <w:rFonts w:hint="default" w:ascii="Times New Roman" w:hAnsi="Times New Roman" w:eastAsia="宋体" w:cs="Times New Roman"/>
                      <w:b w:val="0"/>
                      <w:bCs w:val="0"/>
                      <w:sz w:val="21"/>
                      <w:szCs w:val="21"/>
                      <w:lang w:val="en-US" w:eastAsia="zh-CN" w:bidi="ar"/>
                    </w:rPr>
                    <w:t>《危险废物焚烧污染控制标准》（GB18484-2020</w:t>
                  </w:r>
                  <w:r>
                    <w:rPr>
                      <w:rStyle w:val="67"/>
                      <w:rFonts w:hint="default" w:ascii="Times New Roman" w:hAnsi="Times New Roman" w:cs="Times New Roman"/>
                      <w:b w:val="0"/>
                      <w:bCs w:val="0"/>
                      <w:sz w:val="21"/>
                      <w:szCs w:val="21"/>
                      <w:lang w:val="en-US" w:eastAsia="zh-CN" w:bidi="ar"/>
                    </w:rPr>
                    <w:t>）、《大气污染物综合排放标准》（GB16297-1996）</w:t>
                  </w:r>
                </w:p>
              </w:tc>
              <w:tc>
                <w:tcPr>
                  <w:tcW w:w="1681" w:type="dxa"/>
                  <w:tcBorders>
                    <w:tl2br w:val="nil"/>
                    <w:tr2bl w:val="nil"/>
                  </w:tcBorders>
                  <w:shd w:val="clear" w:color="auto" w:fill="auto"/>
                  <w:vAlign w:val="center"/>
                </w:tcPr>
                <w:p w14:paraId="3B4FEA2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100</w:t>
                  </w:r>
                </w:p>
              </w:tc>
              <w:tc>
                <w:tcPr>
                  <w:tcW w:w="1583" w:type="dxa"/>
                  <w:tcBorders>
                    <w:tl2br w:val="nil"/>
                    <w:tr2bl w:val="nil"/>
                  </w:tcBorders>
                  <w:shd w:val="clear" w:color="auto" w:fill="auto"/>
                  <w:vAlign w:val="center"/>
                </w:tcPr>
                <w:p w14:paraId="061EE05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12226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0C54EC2F">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610B8F6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5E6B1F7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氮氧化物</w:t>
                  </w:r>
                </w:p>
              </w:tc>
              <w:tc>
                <w:tcPr>
                  <w:tcW w:w="2226" w:type="dxa"/>
                  <w:vMerge w:val="continue"/>
                  <w:tcBorders>
                    <w:tl2br w:val="nil"/>
                    <w:tr2bl w:val="nil"/>
                  </w:tcBorders>
                  <w:shd w:val="clear" w:color="auto" w:fill="auto"/>
                  <w:vAlign w:val="center"/>
                </w:tcPr>
                <w:p w14:paraId="5A80315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7C5CA36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300</w:t>
                  </w:r>
                </w:p>
              </w:tc>
              <w:tc>
                <w:tcPr>
                  <w:tcW w:w="1583" w:type="dxa"/>
                  <w:tcBorders>
                    <w:tl2br w:val="nil"/>
                    <w:tr2bl w:val="nil"/>
                  </w:tcBorders>
                  <w:shd w:val="clear" w:color="auto" w:fill="auto"/>
                  <w:vAlign w:val="center"/>
                </w:tcPr>
                <w:p w14:paraId="7CE99B3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7C744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39" w:hRule="atLeast"/>
                <w:jc w:val="center"/>
              </w:trPr>
              <w:tc>
                <w:tcPr>
                  <w:tcW w:w="704" w:type="dxa"/>
                  <w:vMerge w:val="continue"/>
                  <w:tcBorders>
                    <w:tl2br w:val="nil"/>
                    <w:tr2bl w:val="nil"/>
                  </w:tcBorders>
                  <w:shd w:val="clear" w:color="auto" w:fill="auto"/>
                  <w:vAlign w:val="center"/>
                </w:tcPr>
                <w:p w14:paraId="2B2A67C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4F8B467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3A87C09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颗粒物（</w:t>
                  </w:r>
                  <w:r>
                    <w:rPr>
                      <w:rFonts w:hint="eastAsia" w:cs="Times New Roman"/>
                      <w:b w:val="0"/>
                      <w:bCs w:val="0"/>
                      <w:i w:val="0"/>
                      <w:iCs w:val="0"/>
                      <w:color w:val="000000"/>
                      <w:spacing w:val="0"/>
                      <w:kern w:val="0"/>
                      <w:sz w:val="21"/>
                      <w:szCs w:val="21"/>
                      <w:u w:val="none"/>
                      <w:lang w:val="en-US" w:eastAsia="zh-CN" w:bidi="ar"/>
                    </w:rPr>
                    <w:t>含炭黑尘、铜、锡等</w:t>
                  </w: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c>
                <w:tcPr>
                  <w:tcW w:w="2226" w:type="dxa"/>
                  <w:vMerge w:val="continue"/>
                  <w:tcBorders>
                    <w:tl2br w:val="nil"/>
                    <w:tr2bl w:val="nil"/>
                  </w:tcBorders>
                  <w:shd w:val="clear" w:color="auto" w:fill="auto"/>
                  <w:vAlign w:val="center"/>
                </w:tcPr>
                <w:p w14:paraId="54970EA6">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28D1C0A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18</w:t>
                  </w:r>
                </w:p>
              </w:tc>
              <w:tc>
                <w:tcPr>
                  <w:tcW w:w="1583" w:type="dxa"/>
                  <w:tcBorders>
                    <w:tl2br w:val="nil"/>
                    <w:tr2bl w:val="nil"/>
                  </w:tcBorders>
                  <w:shd w:val="clear" w:color="auto" w:fill="auto"/>
                  <w:vAlign w:val="center"/>
                </w:tcPr>
                <w:p w14:paraId="646AF19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eastAsia" w:cs="Times New Roman"/>
                      <w:b w:val="0"/>
                      <w:bCs w:val="0"/>
                      <w:i w:val="0"/>
                      <w:iCs w:val="0"/>
                      <w:color w:val="000000"/>
                      <w:spacing w:val="0"/>
                      <w:kern w:val="0"/>
                      <w:sz w:val="21"/>
                      <w:szCs w:val="21"/>
                      <w:u w:val="none"/>
                      <w:lang w:val="en-US" w:eastAsia="zh-CN" w:bidi="ar"/>
                    </w:rPr>
                    <w:t>0.255</w:t>
                  </w:r>
                </w:p>
              </w:tc>
            </w:tr>
            <w:tr w14:paraId="62091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3A45695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732415E5">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33CF67B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锡及其化合物</w:t>
                  </w:r>
                </w:p>
              </w:tc>
              <w:tc>
                <w:tcPr>
                  <w:tcW w:w="2226" w:type="dxa"/>
                  <w:vMerge w:val="continue"/>
                  <w:tcBorders>
                    <w:tl2br w:val="nil"/>
                    <w:tr2bl w:val="nil"/>
                  </w:tcBorders>
                  <w:shd w:val="clear" w:color="auto" w:fill="auto"/>
                  <w:vAlign w:val="center"/>
                </w:tcPr>
                <w:p w14:paraId="47020F24">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136B118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z w:val="21"/>
                      <w:szCs w:val="21"/>
                      <w:u w:val="none"/>
                      <w:lang w:val="en-US" w:eastAsia="zh-CN"/>
                    </w:rPr>
                    <w:t>2.0</w:t>
                  </w:r>
                </w:p>
              </w:tc>
              <w:tc>
                <w:tcPr>
                  <w:tcW w:w="1583" w:type="dxa"/>
                  <w:tcBorders>
                    <w:tl2br w:val="nil"/>
                    <w:tr2bl w:val="nil"/>
                  </w:tcBorders>
                  <w:shd w:val="clear" w:color="auto" w:fill="auto"/>
                  <w:vAlign w:val="center"/>
                </w:tcPr>
                <w:p w14:paraId="4F98403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5A037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6D09471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3438991F">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4DE5642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eastAsia" w:cs="Times New Roman"/>
                      <w:i w:val="0"/>
                      <w:iCs w:val="0"/>
                      <w:color w:val="000000"/>
                      <w:kern w:val="0"/>
                      <w:sz w:val="21"/>
                      <w:szCs w:val="21"/>
                      <w:u w:val="none"/>
                      <w:lang w:val="en-US" w:eastAsia="zh-CN" w:bidi="ar"/>
                    </w:rPr>
                    <w:t>铜</w:t>
                  </w:r>
                  <w:r>
                    <w:rPr>
                      <w:rFonts w:hint="default" w:ascii="Times New Roman" w:hAnsi="Times New Roman" w:eastAsia="宋体" w:cs="Times New Roman"/>
                      <w:i w:val="0"/>
                      <w:iCs w:val="0"/>
                      <w:color w:val="000000"/>
                      <w:kern w:val="0"/>
                      <w:sz w:val="21"/>
                      <w:szCs w:val="21"/>
                      <w:u w:val="none"/>
                      <w:lang w:val="en-US" w:eastAsia="zh-CN" w:bidi="ar"/>
                    </w:rPr>
                    <w:t>及其化合物</w:t>
                  </w:r>
                </w:p>
              </w:tc>
              <w:tc>
                <w:tcPr>
                  <w:tcW w:w="2226" w:type="dxa"/>
                  <w:vMerge w:val="continue"/>
                  <w:tcBorders>
                    <w:tl2br w:val="nil"/>
                    <w:tr2bl w:val="nil"/>
                  </w:tcBorders>
                  <w:shd w:val="clear" w:color="auto" w:fill="auto"/>
                  <w:vAlign w:val="center"/>
                </w:tcPr>
                <w:p w14:paraId="7783847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26C8608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sz w:val="21"/>
                      <w:szCs w:val="21"/>
                      <w:u w:val="none"/>
                      <w:lang w:val="en-US" w:eastAsia="zh-CN"/>
                    </w:rPr>
                    <w:t>2.0</w:t>
                  </w:r>
                </w:p>
              </w:tc>
              <w:tc>
                <w:tcPr>
                  <w:tcW w:w="1583" w:type="dxa"/>
                  <w:tcBorders>
                    <w:tl2br w:val="nil"/>
                    <w:tr2bl w:val="nil"/>
                  </w:tcBorders>
                  <w:shd w:val="clear" w:color="auto" w:fill="auto"/>
                  <w:vAlign w:val="center"/>
                </w:tcPr>
                <w:p w14:paraId="63F500F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5D19F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27D15C2A">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5AA3988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383DCAC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氟化物</w:t>
                  </w:r>
                </w:p>
              </w:tc>
              <w:tc>
                <w:tcPr>
                  <w:tcW w:w="2226" w:type="dxa"/>
                  <w:vMerge w:val="continue"/>
                  <w:tcBorders>
                    <w:tl2br w:val="nil"/>
                    <w:tr2bl w:val="nil"/>
                  </w:tcBorders>
                  <w:shd w:val="clear" w:color="auto" w:fill="auto"/>
                  <w:vAlign w:val="center"/>
                </w:tcPr>
                <w:p w14:paraId="3C79AF4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2DD0F71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4</w:t>
                  </w:r>
                </w:p>
              </w:tc>
              <w:tc>
                <w:tcPr>
                  <w:tcW w:w="1583" w:type="dxa"/>
                  <w:tcBorders>
                    <w:tl2br w:val="nil"/>
                    <w:tr2bl w:val="nil"/>
                  </w:tcBorders>
                  <w:shd w:val="clear" w:color="auto" w:fill="auto"/>
                  <w:vAlign w:val="center"/>
                </w:tcPr>
                <w:p w14:paraId="731039D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33563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7F738C7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835" w:type="dxa"/>
                  <w:vMerge w:val="continue"/>
                  <w:tcBorders>
                    <w:tl2br w:val="nil"/>
                    <w:tr2bl w:val="nil"/>
                  </w:tcBorders>
                  <w:shd w:val="clear" w:color="auto" w:fill="auto"/>
                  <w:vAlign w:val="center"/>
                </w:tcPr>
                <w:p w14:paraId="4B7429C7">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2029" w:type="dxa"/>
                  <w:tcBorders>
                    <w:tl2br w:val="nil"/>
                    <w:tr2bl w:val="nil"/>
                  </w:tcBorders>
                  <w:shd w:val="clear" w:color="auto" w:fill="auto"/>
                  <w:vAlign w:val="center"/>
                </w:tcPr>
                <w:p w14:paraId="34847F0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非甲烷总烃</w:t>
                  </w:r>
                </w:p>
              </w:tc>
              <w:tc>
                <w:tcPr>
                  <w:tcW w:w="2226" w:type="dxa"/>
                  <w:vMerge w:val="continue"/>
                  <w:tcBorders>
                    <w:tl2br w:val="nil"/>
                    <w:tr2bl w:val="nil"/>
                  </w:tcBorders>
                  <w:shd w:val="clear" w:color="auto" w:fill="auto"/>
                  <w:vAlign w:val="center"/>
                </w:tcPr>
                <w:p w14:paraId="00FD11E6">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val="0"/>
                      <w:bCs w:val="0"/>
                      <w:i w:val="0"/>
                      <w:iCs w:val="0"/>
                      <w:color w:val="000000"/>
                      <w:sz w:val="21"/>
                      <w:szCs w:val="21"/>
                      <w:u w:val="none"/>
                    </w:rPr>
                  </w:pPr>
                </w:p>
              </w:tc>
              <w:tc>
                <w:tcPr>
                  <w:tcW w:w="1681" w:type="dxa"/>
                  <w:tcBorders>
                    <w:tl2br w:val="nil"/>
                    <w:tr2bl w:val="nil"/>
                  </w:tcBorders>
                  <w:shd w:val="clear" w:color="auto" w:fill="auto"/>
                  <w:vAlign w:val="center"/>
                </w:tcPr>
                <w:p w14:paraId="2161A67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120</w:t>
                  </w:r>
                </w:p>
              </w:tc>
              <w:tc>
                <w:tcPr>
                  <w:tcW w:w="1583" w:type="dxa"/>
                  <w:tcBorders>
                    <w:tl2br w:val="nil"/>
                    <w:tr2bl w:val="nil"/>
                  </w:tcBorders>
                  <w:shd w:val="clear" w:color="auto" w:fill="auto"/>
                  <w:vAlign w:val="center"/>
                </w:tcPr>
                <w:p w14:paraId="6BBBA1F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eastAsia" w:cs="Times New Roman"/>
                      <w:b w:val="0"/>
                      <w:bCs w:val="0"/>
                      <w:i w:val="0"/>
                      <w:iCs w:val="0"/>
                      <w:color w:val="000000"/>
                      <w:spacing w:val="0"/>
                      <w:kern w:val="0"/>
                      <w:sz w:val="21"/>
                      <w:szCs w:val="21"/>
                      <w:u w:val="none"/>
                      <w:lang w:val="en-US" w:eastAsia="zh-CN" w:bidi="ar"/>
                    </w:rPr>
                    <w:t>5</w:t>
                  </w:r>
                </w:p>
              </w:tc>
            </w:tr>
            <w:tr w14:paraId="24187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5" w:hRule="atLeast"/>
                <w:jc w:val="center"/>
              </w:trPr>
              <w:tc>
                <w:tcPr>
                  <w:tcW w:w="704" w:type="dxa"/>
                  <w:vMerge w:val="continue"/>
                  <w:tcBorders>
                    <w:tl2br w:val="nil"/>
                    <w:tr2bl w:val="nil"/>
                  </w:tcBorders>
                  <w:shd w:val="clear" w:color="auto" w:fill="auto"/>
                  <w:vAlign w:val="center"/>
                </w:tcPr>
                <w:p w14:paraId="12804DF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tcBorders>
                    <w:tl2br w:val="nil"/>
                    <w:tr2bl w:val="nil"/>
                  </w:tcBorders>
                  <w:shd w:val="clear" w:color="auto" w:fill="auto"/>
                  <w:vAlign w:val="center"/>
                </w:tcPr>
                <w:p w14:paraId="7FDB22D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eastAsia" w:cs="Times New Roman"/>
                      <w:b w:val="0"/>
                      <w:bCs w:val="0"/>
                      <w:i w:val="0"/>
                      <w:iCs w:val="0"/>
                      <w:color w:val="000000"/>
                      <w:spacing w:val="0"/>
                      <w:kern w:val="0"/>
                      <w:sz w:val="21"/>
                      <w:szCs w:val="21"/>
                      <w:u w:val="none"/>
                      <w:lang w:val="en-US" w:eastAsia="zh-CN" w:bidi="ar"/>
                    </w:rPr>
                    <w:t>DA004</w:t>
                  </w:r>
                </w:p>
              </w:tc>
              <w:tc>
                <w:tcPr>
                  <w:tcW w:w="2029" w:type="dxa"/>
                  <w:tcBorders>
                    <w:tl2br w:val="nil"/>
                    <w:tr2bl w:val="nil"/>
                  </w:tcBorders>
                  <w:shd w:val="clear" w:color="auto" w:fill="auto"/>
                  <w:vAlign w:val="center"/>
                </w:tcPr>
                <w:p w14:paraId="262EE3E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颗粒物（含炭黑尘）</w:t>
                  </w:r>
                </w:p>
              </w:tc>
              <w:tc>
                <w:tcPr>
                  <w:tcW w:w="2226" w:type="dxa"/>
                  <w:tcBorders>
                    <w:tl2br w:val="nil"/>
                    <w:tr2bl w:val="nil"/>
                  </w:tcBorders>
                  <w:shd w:val="clear" w:color="auto" w:fill="auto"/>
                  <w:vAlign w:val="center"/>
                </w:tcPr>
                <w:p w14:paraId="4FE04CF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Style w:val="67"/>
                      <w:rFonts w:hint="default" w:ascii="Times New Roman" w:hAnsi="Times New Roman" w:cs="Times New Roman"/>
                      <w:b w:val="0"/>
                      <w:bCs w:val="0"/>
                      <w:sz w:val="21"/>
                      <w:szCs w:val="21"/>
                      <w:lang w:val="en-US" w:eastAsia="zh-CN" w:bidi="ar"/>
                    </w:rPr>
                    <w:t>《大气污染物综合排放标准》（</w:t>
                  </w:r>
                  <w:r>
                    <w:rPr>
                      <w:rStyle w:val="83"/>
                      <w:rFonts w:hint="default" w:ascii="Times New Roman" w:hAnsi="Times New Roman" w:eastAsia="宋体" w:cs="Times New Roman"/>
                      <w:b w:val="0"/>
                      <w:bCs w:val="0"/>
                      <w:sz w:val="21"/>
                      <w:szCs w:val="21"/>
                      <w:lang w:val="en-US" w:eastAsia="zh-CN" w:bidi="ar"/>
                    </w:rPr>
                    <w:t>GB16297-1996</w:t>
                  </w:r>
                  <w:r>
                    <w:rPr>
                      <w:rStyle w:val="67"/>
                      <w:rFonts w:hint="default" w:ascii="Times New Roman" w:hAnsi="Times New Roman" w:cs="Times New Roman"/>
                      <w:b w:val="0"/>
                      <w:bCs w:val="0"/>
                      <w:sz w:val="21"/>
                      <w:szCs w:val="21"/>
                      <w:lang w:val="en-US" w:eastAsia="zh-CN" w:bidi="ar"/>
                    </w:rPr>
                    <w:t>）</w:t>
                  </w:r>
                </w:p>
              </w:tc>
              <w:tc>
                <w:tcPr>
                  <w:tcW w:w="1681" w:type="dxa"/>
                  <w:tcBorders>
                    <w:tl2br w:val="nil"/>
                    <w:tr2bl w:val="nil"/>
                  </w:tcBorders>
                  <w:shd w:val="clear" w:color="auto" w:fill="auto"/>
                  <w:vAlign w:val="center"/>
                </w:tcPr>
                <w:p w14:paraId="607FC9E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18</w:t>
                  </w:r>
                </w:p>
              </w:tc>
              <w:tc>
                <w:tcPr>
                  <w:tcW w:w="1583" w:type="dxa"/>
                  <w:tcBorders>
                    <w:tl2br w:val="nil"/>
                    <w:tr2bl w:val="nil"/>
                  </w:tcBorders>
                  <w:shd w:val="clear" w:color="auto" w:fill="auto"/>
                  <w:vAlign w:val="center"/>
                </w:tcPr>
                <w:p w14:paraId="53015FC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eastAsia" w:cs="Times New Roman"/>
                      <w:b w:val="0"/>
                      <w:bCs w:val="0"/>
                      <w:i w:val="0"/>
                      <w:iCs w:val="0"/>
                      <w:color w:val="000000"/>
                      <w:spacing w:val="0"/>
                      <w:kern w:val="0"/>
                      <w:sz w:val="21"/>
                      <w:szCs w:val="21"/>
                      <w:u w:val="none"/>
                      <w:lang w:val="en-US" w:eastAsia="zh-CN" w:bidi="ar"/>
                    </w:rPr>
                    <w:t>0.255</w:t>
                  </w:r>
                </w:p>
              </w:tc>
            </w:tr>
            <w:tr w14:paraId="276E5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restart"/>
                  <w:tcBorders>
                    <w:tl2br w:val="nil"/>
                    <w:tr2bl w:val="nil"/>
                  </w:tcBorders>
                  <w:shd w:val="clear" w:color="auto" w:fill="auto"/>
                  <w:vAlign w:val="center"/>
                </w:tcPr>
                <w:p w14:paraId="69FE8D1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无组织废气</w:t>
                  </w:r>
                </w:p>
              </w:tc>
              <w:tc>
                <w:tcPr>
                  <w:tcW w:w="835" w:type="dxa"/>
                  <w:vMerge w:val="restart"/>
                  <w:tcBorders>
                    <w:tl2br w:val="nil"/>
                    <w:tr2bl w:val="nil"/>
                  </w:tcBorders>
                  <w:shd w:val="clear" w:color="auto" w:fill="auto"/>
                  <w:vAlign w:val="center"/>
                </w:tcPr>
                <w:p w14:paraId="6068BA7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厂界</w:t>
                  </w:r>
                </w:p>
              </w:tc>
              <w:tc>
                <w:tcPr>
                  <w:tcW w:w="2029" w:type="dxa"/>
                  <w:tcBorders>
                    <w:tl2br w:val="nil"/>
                    <w:tr2bl w:val="nil"/>
                  </w:tcBorders>
                  <w:shd w:val="clear" w:color="auto" w:fill="auto"/>
                  <w:vAlign w:val="center"/>
                </w:tcPr>
                <w:p w14:paraId="3AF09B1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二氧化硫</w:t>
                  </w:r>
                </w:p>
              </w:tc>
              <w:tc>
                <w:tcPr>
                  <w:tcW w:w="2226" w:type="dxa"/>
                  <w:vMerge w:val="restart"/>
                  <w:tcBorders>
                    <w:tl2br w:val="nil"/>
                    <w:tr2bl w:val="nil"/>
                  </w:tcBorders>
                  <w:shd w:val="clear" w:color="auto" w:fill="auto"/>
                  <w:vAlign w:val="center"/>
                </w:tcPr>
                <w:p w14:paraId="4CAA10F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Style w:val="67"/>
                      <w:rFonts w:hint="default" w:ascii="Times New Roman" w:hAnsi="Times New Roman" w:cs="Times New Roman"/>
                      <w:b w:val="0"/>
                      <w:bCs w:val="0"/>
                      <w:sz w:val="21"/>
                      <w:szCs w:val="21"/>
                      <w:lang w:val="en-US" w:eastAsia="zh-CN" w:bidi="ar"/>
                    </w:rPr>
                    <w:t>《大气污染物综合排放标准》（</w:t>
                  </w:r>
                  <w:r>
                    <w:rPr>
                      <w:rStyle w:val="83"/>
                      <w:rFonts w:hint="default" w:ascii="Times New Roman" w:hAnsi="Times New Roman" w:eastAsia="宋体" w:cs="Times New Roman"/>
                      <w:b w:val="0"/>
                      <w:bCs w:val="0"/>
                      <w:sz w:val="21"/>
                      <w:szCs w:val="21"/>
                      <w:lang w:val="en-US" w:eastAsia="zh-CN" w:bidi="ar"/>
                    </w:rPr>
                    <w:t>GB16297-1996</w:t>
                  </w:r>
                  <w:r>
                    <w:rPr>
                      <w:rStyle w:val="67"/>
                      <w:rFonts w:hint="default" w:ascii="Times New Roman" w:hAnsi="Times New Roman" w:cs="Times New Roman"/>
                      <w:b w:val="0"/>
                      <w:bCs w:val="0"/>
                      <w:sz w:val="21"/>
                      <w:szCs w:val="21"/>
                      <w:lang w:val="en-US" w:eastAsia="zh-CN" w:bidi="ar"/>
                    </w:rPr>
                    <w:t>）</w:t>
                  </w:r>
                </w:p>
              </w:tc>
              <w:tc>
                <w:tcPr>
                  <w:tcW w:w="1681" w:type="dxa"/>
                  <w:tcBorders>
                    <w:tl2br w:val="nil"/>
                    <w:tr2bl w:val="nil"/>
                  </w:tcBorders>
                  <w:shd w:val="clear" w:color="auto" w:fill="auto"/>
                  <w:vAlign w:val="center"/>
                </w:tcPr>
                <w:p w14:paraId="6B5A980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0.4</w:t>
                  </w:r>
                </w:p>
              </w:tc>
              <w:tc>
                <w:tcPr>
                  <w:tcW w:w="1583" w:type="dxa"/>
                  <w:tcBorders>
                    <w:tl2br w:val="nil"/>
                    <w:tr2bl w:val="nil"/>
                  </w:tcBorders>
                  <w:shd w:val="clear" w:color="auto" w:fill="auto"/>
                  <w:vAlign w:val="center"/>
                </w:tcPr>
                <w:p w14:paraId="0447B5C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70339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2326574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vMerge w:val="continue"/>
                  <w:tcBorders>
                    <w:tl2br w:val="nil"/>
                    <w:tr2bl w:val="nil"/>
                  </w:tcBorders>
                  <w:shd w:val="clear" w:color="auto" w:fill="auto"/>
                  <w:vAlign w:val="center"/>
                </w:tcPr>
                <w:p w14:paraId="506F54C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2029" w:type="dxa"/>
                  <w:tcBorders>
                    <w:tl2br w:val="nil"/>
                    <w:tr2bl w:val="nil"/>
                  </w:tcBorders>
                  <w:shd w:val="clear" w:color="auto" w:fill="auto"/>
                  <w:vAlign w:val="center"/>
                </w:tcPr>
                <w:p w14:paraId="2498E46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氮氧化物</w:t>
                  </w:r>
                </w:p>
              </w:tc>
              <w:tc>
                <w:tcPr>
                  <w:tcW w:w="2226" w:type="dxa"/>
                  <w:vMerge w:val="continue"/>
                  <w:tcBorders>
                    <w:tl2br w:val="nil"/>
                    <w:tr2bl w:val="nil"/>
                  </w:tcBorders>
                  <w:shd w:val="clear" w:color="auto" w:fill="auto"/>
                  <w:vAlign w:val="center"/>
                </w:tcPr>
                <w:p w14:paraId="4667FC9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1681" w:type="dxa"/>
                  <w:tcBorders>
                    <w:tl2br w:val="nil"/>
                    <w:tr2bl w:val="nil"/>
                  </w:tcBorders>
                  <w:shd w:val="clear" w:color="auto" w:fill="auto"/>
                  <w:vAlign w:val="center"/>
                </w:tcPr>
                <w:p w14:paraId="6E274FF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0.12</w:t>
                  </w:r>
                </w:p>
              </w:tc>
              <w:tc>
                <w:tcPr>
                  <w:tcW w:w="1583" w:type="dxa"/>
                  <w:tcBorders>
                    <w:tl2br w:val="nil"/>
                    <w:tr2bl w:val="nil"/>
                  </w:tcBorders>
                  <w:shd w:val="clear" w:color="auto" w:fill="auto"/>
                  <w:vAlign w:val="center"/>
                </w:tcPr>
                <w:p w14:paraId="5E2A47B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6C5E1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39" w:hRule="atLeast"/>
                <w:jc w:val="center"/>
              </w:trPr>
              <w:tc>
                <w:tcPr>
                  <w:tcW w:w="704" w:type="dxa"/>
                  <w:vMerge w:val="continue"/>
                  <w:tcBorders>
                    <w:tl2br w:val="nil"/>
                    <w:tr2bl w:val="nil"/>
                  </w:tcBorders>
                  <w:shd w:val="clear" w:color="auto" w:fill="auto"/>
                  <w:vAlign w:val="center"/>
                </w:tcPr>
                <w:p w14:paraId="47284C5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vMerge w:val="continue"/>
                  <w:tcBorders>
                    <w:tl2br w:val="nil"/>
                    <w:tr2bl w:val="nil"/>
                  </w:tcBorders>
                  <w:shd w:val="clear" w:color="auto" w:fill="auto"/>
                  <w:vAlign w:val="center"/>
                </w:tcPr>
                <w:p w14:paraId="4DA0B48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2029" w:type="dxa"/>
                  <w:tcBorders>
                    <w:tl2br w:val="nil"/>
                    <w:tr2bl w:val="nil"/>
                  </w:tcBorders>
                  <w:shd w:val="clear" w:color="auto" w:fill="auto"/>
                  <w:vAlign w:val="center"/>
                </w:tcPr>
                <w:p w14:paraId="5FDE118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颗粒物（</w:t>
                  </w:r>
                  <w:r>
                    <w:rPr>
                      <w:rFonts w:hint="eastAsia" w:cs="Times New Roman"/>
                      <w:b w:val="0"/>
                      <w:bCs w:val="0"/>
                      <w:i w:val="0"/>
                      <w:iCs w:val="0"/>
                      <w:color w:val="000000"/>
                      <w:spacing w:val="0"/>
                      <w:kern w:val="0"/>
                      <w:sz w:val="21"/>
                      <w:szCs w:val="21"/>
                      <w:u w:val="none"/>
                      <w:lang w:val="en-US" w:eastAsia="zh-CN" w:bidi="ar"/>
                    </w:rPr>
                    <w:t>含炭黑尘、铜、锡等</w:t>
                  </w: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c>
                <w:tcPr>
                  <w:tcW w:w="2226" w:type="dxa"/>
                  <w:vMerge w:val="continue"/>
                  <w:tcBorders>
                    <w:tl2br w:val="nil"/>
                    <w:tr2bl w:val="nil"/>
                  </w:tcBorders>
                  <w:shd w:val="clear" w:color="auto" w:fill="auto"/>
                  <w:vAlign w:val="center"/>
                </w:tcPr>
                <w:p w14:paraId="019F2F4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1681" w:type="dxa"/>
                  <w:tcBorders>
                    <w:tl2br w:val="nil"/>
                    <w:tr2bl w:val="nil"/>
                  </w:tcBorders>
                  <w:shd w:val="clear" w:color="auto" w:fill="auto"/>
                  <w:vAlign w:val="center"/>
                </w:tcPr>
                <w:p w14:paraId="564251D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1</w:t>
                  </w:r>
                </w:p>
              </w:tc>
              <w:tc>
                <w:tcPr>
                  <w:tcW w:w="1583" w:type="dxa"/>
                  <w:tcBorders>
                    <w:tl2br w:val="nil"/>
                    <w:tr2bl w:val="nil"/>
                  </w:tcBorders>
                  <w:shd w:val="clear" w:color="auto" w:fill="auto"/>
                  <w:vAlign w:val="center"/>
                </w:tcPr>
                <w:p w14:paraId="61A3242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14996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7D9A50B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vMerge w:val="continue"/>
                  <w:tcBorders>
                    <w:tl2br w:val="nil"/>
                    <w:tr2bl w:val="nil"/>
                  </w:tcBorders>
                  <w:shd w:val="clear" w:color="auto" w:fill="auto"/>
                  <w:vAlign w:val="center"/>
                </w:tcPr>
                <w:p w14:paraId="1FCD67F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2029" w:type="dxa"/>
                  <w:tcBorders>
                    <w:tl2br w:val="nil"/>
                    <w:tr2bl w:val="nil"/>
                  </w:tcBorders>
                  <w:shd w:val="clear" w:color="auto" w:fill="auto"/>
                  <w:vAlign w:val="center"/>
                </w:tcPr>
                <w:p w14:paraId="108C344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锡及其化合物</w:t>
                  </w:r>
                </w:p>
              </w:tc>
              <w:tc>
                <w:tcPr>
                  <w:tcW w:w="2226" w:type="dxa"/>
                  <w:vMerge w:val="continue"/>
                  <w:tcBorders>
                    <w:tl2br w:val="nil"/>
                    <w:tr2bl w:val="nil"/>
                  </w:tcBorders>
                  <w:shd w:val="clear" w:color="auto" w:fill="auto"/>
                  <w:vAlign w:val="center"/>
                </w:tcPr>
                <w:p w14:paraId="7883DA5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1681" w:type="dxa"/>
                  <w:tcBorders>
                    <w:tl2br w:val="nil"/>
                    <w:tr2bl w:val="nil"/>
                  </w:tcBorders>
                  <w:shd w:val="clear" w:color="auto" w:fill="auto"/>
                  <w:vAlign w:val="center"/>
                </w:tcPr>
                <w:p w14:paraId="4DF0406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0.02</w:t>
                  </w:r>
                </w:p>
              </w:tc>
              <w:tc>
                <w:tcPr>
                  <w:tcW w:w="1583" w:type="dxa"/>
                  <w:tcBorders>
                    <w:tl2br w:val="nil"/>
                    <w:tr2bl w:val="nil"/>
                  </w:tcBorders>
                  <w:shd w:val="clear" w:color="auto" w:fill="auto"/>
                  <w:vAlign w:val="center"/>
                </w:tcPr>
                <w:p w14:paraId="2A8FE73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4E517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2BCEB98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vMerge w:val="continue"/>
                  <w:tcBorders>
                    <w:tl2br w:val="nil"/>
                    <w:tr2bl w:val="nil"/>
                  </w:tcBorders>
                  <w:shd w:val="clear" w:color="auto" w:fill="auto"/>
                  <w:vAlign w:val="center"/>
                </w:tcPr>
                <w:p w14:paraId="748BA24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2029" w:type="dxa"/>
                  <w:tcBorders>
                    <w:tl2br w:val="nil"/>
                    <w:tr2bl w:val="nil"/>
                  </w:tcBorders>
                  <w:shd w:val="clear" w:color="auto" w:fill="auto"/>
                  <w:vAlign w:val="center"/>
                </w:tcPr>
                <w:p w14:paraId="1668D30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eastAsia" w:cs="Times New Roman"/>
                      <w:i w:val="0"/>
                      <w:iCs w:val="0"/>
                      <w:color w:val="000000"/>
                      <w:kern w:val="0"/>
                      <w:sz w:val="21"/>
                      <w:szCs w:val="21"/>
                      <w:u w:val="none"/>
                      <w:lang w:val="en-US" w:eastAsia="zh-CN" w:bidi="ar"/>
                    </w:rPr>
                    <w:t>铜</w:t>
                  </w:r>
                  <w:r>
                    <w:rPr>
                      <w:rFonts w:hint="default" w:ascii="Times New Roman" w:hAnsi="Times New Roman" w:eastAsia="宋体" w:cs="Times New Roman"/>
                      <w:i w:val="0"/>
                      <w:iCs w:val="0"/>
                      <w:color w:val="000000"/>
                      <w:kern w:val="0"/>
                      <w:sz w:val="21"/>
                      <w:szCs w:val="21"/>
                      <w:u w:val="none"/>
                      <w:lang w:val="en-US" w:eastAsia="zh-CN" w:bidi="ar"/>
                    </w:rPr>
                    <w:t>及其化合物</w:t>
                  </w:r>
                </w:p>
              </w:tc>
              <w:tc>
                <w:tcPr>
                  <w:tcW w:w="2226" w:type="dxa"/>
                  <w:vMerge w:val="continue"/>
                  <w:tcBorders>
                    <w:tl2br w:val="nil"/>
                    <w:tr2bl w:val="nil"/>
                  </w:tcBorders>
                  <w:shd w:val="clear" w:color="auto" w:fill="auto"/>
                  <w:vAlign w:val="center"/>
                </w:tcPr>
                <w:p w14:paraId="5B45A20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1681" w:type="dxa"/>
                  <w:tcBorders>
                    <w:tl2br w:val="nil"/>
                    <w:tr2bl w:val="nil"/>
                  </w:tcBorders>
                  <w:shd w:val="clear" w:color="auto" w:fill="auto"/>
                  <w:vAlign w:val="center"/>
                </w:tcPr>
                <w:p w14:paraId="75D3F24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eastAsia" w:cs="Times New Roman"/>
                      <w:b w:val="0"/>
                      <w:bCs w:val="0"/>
                      <w:i w:val="0"/>
                      <w:iCs w:val="0"/>
                      <w:color w:val="000000"/>
                      <w:spacing w:val="0"/>
                      <w:kern w:val="0"/>
                      <w:sz w:val="21"/>
                      <w:szCs w:val="21"/>
                      <w:u w:val="none"/>
                      <w:lang w:val="en-US" w:eastAsia="zh-CN" w:bidi="ar"/>
                    </w:rPr>
                    <w:t>/</w:t>
                  </w:r>
                </w:p>
              </w:tc>
              <w:tc>
                <w:tcPr>
                  <w:tcW w:w="1583" w:type="dxa"/>
                  <w:tcBorders>
                    <w:tl2br w:val="nil"/>
                    <w:tr2bl w:val="nil"/>
                  </w:tcBorders>
                  <w:shd w:val="clear" w:color="auto" w:fill="auto"/>
                  <w:vAlign w:val="center"/>
                </w:tcPr>
                <w:p w14:paraId="7DDD14D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eastAsia" w:cs="Times New Roman"/>
                      <w:b w:val="0"/>
                      <w:bCs w:val="0"/>
                      <w:i w:val="0"/>
                      <w:iCs w:val="0"/>
                      <w:color w:val="000000"/>
                      <w:spacing w:val="0"/>
                      <w:kern w:val="0"/>
                      <w:sz w:val="21"/>
                      <w:szCs w:val="21"/>
                      <w:u w:val="none"/>
                      <w:lang w:val="en-US" w:eastAsia="zh-CN" w:bidi="ar"/>
                    </w:rPr>
                    <w:t>/</w:t>
                  </w:r>
                </w:p>
              </w:tc>
            </w:tr>
            <w:tr w14:paraId="3B9CD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083EA5E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vMerge w:val="continue"/>
                  <w:tcBorders>
                    <w:tl2br w:val="nil"/>
                    <w:tr2bl w:val="nil"/>
                  </w:tcBorders>
                  <w:shd w:val="clear" w:color="auto" w:fill="auto"/>
                  <w:vAlign w:val="center"/>
                </w:tcPr>
                <w:p w14:paraId="37A01D9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2029" w:type="dxa"/>
                  <w:tcBorders>
                    <w:tl2br w:val="nil"/>
                    <w:tr2bl w:val="nil"/>
                  </w:tcBorders>
                  <w:shd w:val="clear" w:color="auto" w:fill="auto"/>
                  <w:vAlign w:val="center"/>
                </w:tcPr>
                <w:p w14:paraId="785E907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氟化物</w:t>
                  </w:r>
                </w:p>
              </w:tc>
              <w:tc>
                <w:tcPr>
                  <w:tcW w:w="2226" w:type="dxa"/>
                  <w:vMerge w:val="continue"/>
                  <w:tcBorders>
                    <w:tl2br w:val="nil"/>
                    <w:tr2bl w:val="nil"/>
                  </w:tcBorders>
                  <w:shd w:val="clear" w:color="auto" w:fill="auto"/>
                  <w:vAlign w:val="center"/>
                </w:tcPr>
                <w:p w14:paraId="160C93F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1681" w:type="dxa"/>
                  <w:tcBorders>
                    <w:tl2br w:val="nil"/>
                    <w:tr2bl w:val="nil"/>
                  </w:tcBorders>
                  <w:shd w:val="clear" w:color="auto" w:fill="auto"/>
                  <w:vAlign w:val="center"/>
                </w:tcPr>
                <w:p w14:paraId="65F8432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0.02</w:t>
                  </w:r>
                </w:p>
              </w:tc>
              <w:tc>
                <w:tcPr>
                  <w:tcW w:w="1583" w:type="dxa"/>
                  <w:tcBorders>
                    <w:tl2br w:val="nil"/>
                    <w:tr2bl w:val="nil"/>
                  </w:tcBorders>
                  <w:shd w:val="clear" w:color="auto" w:fill="auto"/>
                  <w:vAlign w:val="center"/>
                </w:tcPr>
                <w:p w14:paraId="5FE1635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7D6CB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4" w:hRule="atLeast"/>
                <w:jc w:val="center"/>
              </w:trPr>
              <w:tc>
                <w:tcPr>
                  <w:tcW w:w="704" w:type="dxa"/>
                  <w:vMerge w:val="continue"/>
                  <w:tcBorders>
                    <w:tl2br w:val="nil"/>
                    <w:tr2bl w:val="nil"/>
                  </w:tcBorders>
                  <w:shd w:val="clear" w:color="auto" w:fill="auto"/>
                  <w:vAlign w:val="center"/>
                </w:tcPr>
                <w:p w14:paraId="0F33405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vMerge w:val="continue"/>
                  <w:tcBorders>
                    <w:tl2br w:val="nil"/>
                    <w:tr2bl w:val="nil"/>
                  </w:tcBorders>
                  <w:shd w:val="clear" w:color="auto" w:fill="auto"/>
                  <w:vAlign w:val="center"/>
                </w:tcPr>
                <w:p w14:paraId="365A1E9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2029" w:type="dxa"/>
                  <w:tcBorders>
                    <w:tl2br w:val="nil"/>
                    <w:tr2bl w:val="nil"/>
                  </w:tcBorders>
                  <w:shd w:val="clear" w:color="auto" w:fill="auto"/>
                  <w:vAlign w:val="center"/>
                </w:tcPr>
                <w:p w14:paraId="3E4D308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非甲烷总烃</w:t>
                  </w:r>
                </w:p>
              </w:tc>
              <w:tc>
                <w:tcPr>
                  <w:tcW w:w="2226" w:type="dxa"/>
                  <w:vMerge w:val="continue"/>
                  <w:tcBorders>
                    <w:tl2br w:val="nil"/>
                    <w:tr2bl w:val="nil"/>
                  </w:tcBorders>
                  <w:shd w:val="clear" w:color="auto" w:fill="auto"/>
                  <w:vAlign w:val="center"/>
                </w:tcPr>
                <w:p w14:paraId="02A6313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1681" w:type="dxa"/>
                  <w:tcBorders>
                    <w:tl2br w:val="nil"/>
                    <w:tr2bl w:val="nil"/>
                  </w:tcBorders>
                  <w:shd w:val="clear" w:color="auto" w:fill="auto"/>
                  <w:vAlign w:val="center"/>
                </w:tcPr>
                <w:p w14:paraId="15D4CC6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4</w:t>
                  </w:r>
                </w:p>
              </w:tc>
              <w:tc>
                <w:tcPr>
                  <w:tcW w:w="1583" w:type="dxa"/>
                  <w:tcBorders>
                    <w:tl2br w:val="nil"/>
                    <w:tr2bl w:val="nil"/>
                  </w:tcBorders>
                  <w:shd w:val="clear" w:color="auto" w:fill="auto"/>
                  <w:vAlign w:val="center"/>
                </w:tcPr>
                <w:p w14:paraId="00E6B92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w:t>
                  </w:r>
                </w:p>
              </w:tc>
            </w:tr>
            <w:tr w14:paraId="50086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704" w:type="dxa"/>
                  <w:vMerge w:val="continue"/>
                  <w:tcBorders>
                    <w:tl2br w:val="nil"/>
                    <w:tr2bl w:val="nil"/>
                  </w:tcBorders>
                  <w:shd w:val="clear" w:color="auto" w:fill="auto"/>
                  <w:vAlign w:val="center"/>
                </w:tcPr>
                <w:p w14:paraId="660D48D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vMerge w:val="restart"/>
                  <w:tcBorders>
                    <w:tl2br w:val="nil"/>
                    <w:tr2bl w:val="nil"/>
                  </w:tcBorders>
                  <w:shd w:val="clear" w:color="auto" w:fill="auto"/>
                  <w:vAlign w:val="center"/>
                </w:tcPr>
                <w:p w14:paraId="424C1DB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厂区内</w:t>
                  </w:r>
                </w:p>
              </w:tc>
              <w:tc>
                <w:tcPr>
                  <w:tcW w:w="2029" w:type="dxa"/>
                  <w:vMerge w:val="restart"/>
                  <w:tcBorders>
                    <w:tl2br w:val="nil"/>
                    <w:tr2bl w:val="nil"/>
                  </w:tcBorders>
                  <w:shd w:val="clear" w:color="auto" w:fill="auto"/>
                  <w:vAlign w:val="center"/>
                </w:tcPr>
                <w:p w14:paraId="1B820F5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eastAsia="宋体" w:cs="Times New Roman"/>
                      <w:b w:val="0"/>
                      <w:bCs w:val="0"/>
                      <w:i w:val="0"/>
                      <w:iCs w:val="0"/>
                      <w:color w:val="000000"/>
                      <w:spacing w:val="0"/>
                      <w:kern w:val="0"/>
                      <w:sz w:val="21"/>
                      <w:szCs w:val="21"/>
                      <w:u w:val="none"/>
                      <w:lang w:val="en-US" w:eastAsia="zh-CN" w:bidi="ar"/>
                    </w:rPr>
                    <w:t>非甲烷总烃</w:t>
                  </w:r>
                </w:p>
              </w:tc>
              <w:tc>
                <w:tcPr>
                  <w:tcW w:w="2226" w:type="dxa"/>
                  <w:vMerge w:val="restart"/>
                  <w:tcBorders>
                    <w:tl2br w:val="nil"/>
                    <w:tr2bl w:val="nil"/>
                  </w:tcBorders>
                  <w:shd w:val="clear" w:color="auto" w:fill="auto"/>
                  <w:vAlign w:val="center"/>
                </w:tcPr>
                <w:p w14:paraId="77E091BB">
                  <w:pPr>
                    <w:pStyle w:val="4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cs="Times New Roman"/>
                      <w:b w:val="0"/>
                      <w:bCs w:val="0"/>
                      <w:color w:val="auto"/>
                      <w:kern w:val="0"/>
                      <w:sz w:val="21"/>
                      <w:szCs w:val="21"/>
                      <w:lang w:val="en-US" w:eastAsia="zh-CN"/>
                    </w:rPr>
                    <w:t>《挥发性有机物无组织排放控制标准》（GB37822-2019）</w:t>
                  </w:r>
                </w:p>
              </w:tc>
              <w:tc>
                <w:tcPr>
                  <w:tcW w:w="1681" w:type="dxa"/>
                  <w:tcBorders>
                    <w:tl2br w:val="nil"/>
                    <w:tr2bl w:val="nil"/>
                  </w:tcBorders>
                  <w:shd w:val="clear" w:color="auto" w:fill="auto"/>
                  <w:vAlign w:val="center"/>
                </w:tcPr>
                <w:p w14:paraId="54BB3675">
                  <w:pPr>
                    <w:pStyle w:val="4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cs="Times New Roman"/>
                      <w:b w:val="0"/>
                      <w:bCs w:val="0"/>
                      <w:color w:val="auto"/>
                      <w:sz w:val="21"/>
                      <w:szCs w:val="21"/>
                      <w:lang w:val="en-US" w:eastAsia="zh-CN"/>
                    </w:rPr>
                    <w:t>6（监控点处1h平均浓度值）</w:t>
                  </w:r>
                </w:p>
              </w:tc>
              <w:tc>
                <w:tcPr>
                  <w:tcW w:w="1583" w:type="dxa"/>
                  <w:tcBorders>
                    <w:tl2br w:val="nil"/>
                    <w:tr2bl w:val="nil"/>
                  </w:tcBorders>
                  <w:shd w:val="clear" w:color="auto" w:fill="auto"/>
                  <w:vAlign w:val="center"/>
                </w:tcPr>
                <w:p w14:paraId="13D51F53">
                  <w:pPr>
                    <w:pStyle w:val="4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cs="Times New Roman"/>
                      <w:b w:val="0"/>
                      <w:bCs w:val="0"/>
                      <w:color w:val="auto"/>
                      <w:sz w:val="21"/>
                      <w:szCs w:val="21"/>
                      <w:lang w:val="en-US" w:eastAsia="zh-CN"/>
                    </w:rPr>
                    <w:t>/</w:t>
                  </w:r>
                </w:p>
              </w:tc>
            </w:tr>
            <w:tr w14:paraId="63AA9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7" w:hRule="atLeast"/>
                <w:jc w:val="center"/>
              </w:trPr>
              <w:tc>
                <w:tcPr>
                  <w:tcW w:w="704" w:type="dxa"/>
                  <w:vMerge w:val="continue"/>
                  <w:tcBorders>
                    <w:tl2br w:val="nil"/>
                    <w:tr2bl w:val="nil"/>
                  </w:tcBorders>
                  <w:shd w:val="clear" w:color="auto" w:fill="auto"/>
                  <w:vAlign w:val="center"/>
                </w:tcPr>
                <w:p w14:paraId="3462CF8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835" w:type="dxa"/>
                  <w:vMerge w:val="continue"/>
                  <w:tcBorders>
                    <w:tl2br w:val="nil"/>
                    <w:tr2bl w:val="nil"/>
                  </w:tcBorders>
                  <w:shd w:val="clear" w:color="auto" w:fill="auto"/>
                  <w:vAlign w:val="center"/>
                </w:tcPr>
                <w:p w14:paraId="7E03799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2029" w:type="dxa"/>
                  <w:vMerge w:val="continue"/>
                  <w:tcBorders>
                    <w:tl2br w:val="nil"/>
                    <w:tr2bl w:val="nil"/>
                  </w:tcBorders>
                  <w:shd w:val="clear" w:color="auto" w:fill="auto"/>
                  <w:vAlign w:val="center"/>
                </w:tcPr>
                <w:p w14:paraId="37C888F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2226" w:type="dxa"/>
                  <w:vMerge w:val="continue"/>
                  <w:tcBorders>
                    <w:tl2br w:val="nil"/>
                    <w:tr2bl w:val="nil"/>
                  </w:tcBorders>
                  <w:shd w:val="clear" w:color="auto" w:fill="auto"/>
                  <w:vAlign w:val="center"/>
                </w:tcPr>
                <w:p w14:paraId="055C0A2C">
                  <w:pPr>
                    <w:pStyle w:val="4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b w:val="0"/>
                      <w:bCs w:val="0"/>
                      <w:i w:val="0"/>
                      <w:iCs w:val="0"/>
                      <w:color w:val="000000"/>
                      <w:spacing w:val="0"/>
                      <w:kern w:val="0"/>
                      <w:sz w:val="21"/>
                      <w:szCs w:val="21"/>
                      <w:u w:val="none"/>
                      <w:lang w:val="en-US" w:eastAsia="zh-CN" w:bidi="ar"/>
                    </w:rPr>
                  </w:pPr>
                </w:p>
              </w:tc>
              <w:tc>
                <w:tcPr>
                  <w:tcW w:w="1681" w:type="dxa"/>
                  <w:tcBorders>
                    <w:tl2br w:val="nil"/>
                    <w:tr2bl w:val="nil"/>
                  </w:tcBorders>
                  <w:shd w:val="clear" w:color="auto" w:fill="auto"/>
                  <w:vAlign w:val="center"/>
                </w:tcPr>
                <w:p w14:paraId="6B2041F1">
                  <w:pPr>
                    <w:pStyle w:val="4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cs="Times New Roman"/>
                      <w:b w:val="0"/>
                      <w:bCs w:val="0"/>
                      <w:color w:val="auto"/>
                      <w:sz w:val="21"/>
                      <w:szCs w:val="21"/>
                      <w:lang w:val="en-US" w:eastAsia="zh-CN"/>
                    </w:rPr>
                    <w:t>20（监控点处任意一次浓度值）</w:t>
                  </w:r>
                </w:p>
              </w:tc>
              <w:tc>
                <w:tcPr>
                  <w:tcW w:w="1583" w:type="dxa"/>
                  <w:tcBorders>
                    <w:tl2br w:val="nil"/>
                    <w:tr2bl w:val="nil"/>
                  </w:tcBorders>
                  <w:shd w:val="clear" w:color="auto" w:fill="auto"/>
                  <w:vAlign w:val="center"/>
                </w:tcPr>
                <w:p w14:paraId="2124EE47">
                  <w:pPr>
                    <w:pStyle w:val="4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b w:val="0"/>
                      <w:bCs w:val="0"/>
                      <w:i w:val="0"/>
                      <w:iCs w:val="0"/>
                      <w:color w:val="000000"/>
                      <w:spacing w:val="0"/>
                      <w:kern w:val="0"/>
                      <w:sz w:val="21"/>
                      <w:szCs w:val="21"/>
                      <w:u w:val="none"/>
                      <w:lang w:val="en-US" w:eastAsia="zh-CN" w:bidi="ar"/>
                    </w:rPr>
                  </w:pPr>
                  <w:r>
                    <w:rPr>
                      <w:rFonts w:hint="default" w:ascii="Times New Roman" w:hAnsi="Times New Roman" w:cs="Times New Roman"/>
                      <w:b w:val="0"/>
                      <w:bCs w:val="0"/>
                      <w:color w:val="auto"/>
                      <w:sz w:val="21"/>
                      <w:szCs w:val="21"/>
                      <w:lang w:val="en-US" w:eastAsia="zh-CN"/>
                    </w:rPr>
                    <w:t>/</w:t>
                  </w:r>
                </w:p>
              </w:tc>
            </w:tr>
            <w:tr w14:paraId="36AF4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9058" w:type="dxa"/>
                  <w:gridSpan w:val="6"/>
                  <w:tcBorders>
                    <w:tl2br w:val="nil"/>
                    <w:tr2bl w:val="nil"/>
                  </w:tcBorders>
                  <w:shd w:val="clear" w:color="auto" w:fill="auto"/>
                  <w:vAlign w:val="center"/>
                </w:tcPr>
                <w:p w14:paraId="179B48F9">
                  <w:pPr>
                    <w:pStyle w:val="45"/>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b w:val="0"/>
                      <w:bCs w:val="0"/>
                      <w:color w:val="auto"/>
                      <w:sz w:val="21"/>
                      <w:szCs w:val="21"/>
                      <w:lang w:val="en-US" w:eastAsia="zh-CN"/>
                    </w:rPr>
                  </w:pPr>
                  <w:r>
                    <w:rPr>
                      <w:rFonts w:hint="eastAsia" w:cs="Times New Roman"/>
                      <w:b w:val="0"/>
                      <w:bCs w:val="0"/>
                      <w:color w:val="auto"/>
                      <w:sz w:val="21"/>
                      <w:szCs w:val="21"/>
                      <w:lang w:val="en-US" w:eastAsia="zh-CN"/>
                    </w:rPr>
                    <w:t>注：排气筒高度无法满足高出周围200m范围内建筑物5m以上，因此执行</w:t>
                  </w:r>
                  <w:r>
                    <w:rPr>
                      <w:rStyle w:val="67"/>
                      <w:rFonts w:hint="default" w:ascii="Times New Roman" w:hAnsi="Times New Roman" w:cs="Times New Roman"/>
                      <w:b w:val="0"/>
                      <w:bCs w:val="0"/>
                      <w:sz w:val="21"/>
                      <w:szCs w:val="21"/>
                      <w:lang w:val="en-US" w:eastAsia="zh-CN" w:bidi="ar"/>
                    </w:rPr>
                    <w:t>《大气污染物综合排放标准》（GB16297-1996）</w:t>
                  </w:r>
                  <w:r>
                    <w:rPr>
                      <w:rFonts w:hint="eastAsia" w:cs="Times New Roman"/>
                      <w:b w:val="0"/>
                      <w:bCs w:val="0"/>
                      <w:color w:val="auto"/>
                      <w:sz w:val="21"/>
                      <w:szCs w:val="21"/>
                      <w:lang w:val="en-US" w:eastAsia="zh-CN"/>
                    </w:rPr>
                    <w:t>污染物，其排放速率严格50%执行。</w:t>
                  </w:r>
                </w:p>
              </w:tc>
            </w:tr>
          </w:tbl>
          <w:p w14:paraId="32EE7569">
            <w:pPr>
              <w:spacing w:line="480" w:lineRule="atLeast"/>
              <w:rPr>
                <w:rFonts w:hint="default" w:ascii="Times New Roman" w:hAnsi="Times New Roman" w:eastAsia="宋体" w:cs="Times New Roman"/>
                <w:b/>
                <w:bCs/>
                <w:color w:val="auto"/>
                <w:spacing w:val="0"/>
                <w:position w:val="0"/>
                <w:sz w:val="24"/>
              </w:rPr>
            </w:pPr>
            <w:r>
              <w:rPr>
                <w:rFonts w:hint="default" w:ascii="Times New Roman" w:hAnsi="Times New Roman" w:eastAsia="宋体" w:cs="Times New Roman"/>
                <w:b/>
                <w:bCs/>
                <w:color w:val="auto"/>
                <w:spacing w:val="0"/>
                <w:position w:val="0"/>
                <w:sz w:val="24"/>
              </w:rPr>
              <w:t>2、废水</w:t>
            </w:r>
          </w:p>
          <w:p w14:paraId="5899582A">
            <w:pPr>
              <w:spacing w:line="480" w:lineRule="atLeast"/>
              <w:ind w:firstLine="480" w:firstLineChars="200"/>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项目废水</w:t>
            </w:r>
            <w:r>
              <w:rPr>
                <w:rFonts w:hint="eastAsia" w:cs="Times New Roman"/>
                <w:color w:val="auto"/>
                <w:sz w:val="24"/>
                <w:highlight w:val="none"/>
                <w:lang w:val="en-US" w:eastAsia="zh-CN"/>
              </w:rPr>
              <w:t>排放</w:t>
            </w:r>
            <w:r>
              <w:rPr>
                <w:rFonts w:hint="eastAsia" w:ascii="Times New Roman" w:hAnsi="Times New Roman" w:cs="Times New Roman"/>
                <w:color w:val="auto"/>
                <w:sz w:val="24"/>
                <w:szCs w:val="24"/>
                <w:lang w:val="en-US" w:eastAsia="zh-CN"/>
              </w:rPr>
              <w:t>满足</w:t>
            </w:r>
            <w:r>
              <w:rPr>
                <w:rFonts w:hint="default" w:ascii="Times New Roman" w:hAnsi="Times New Roman" w:cs="Times New Roman"/>
                <w:color w:val="auto"/>
                <w:sz w:val="24"/>
                <w:szCs w:val="24"/>
                <w:lang w:val="en-US" w:eastAsia="zh-CN"/>
              </w:rPr>
              <w:t>皖江江南新兴产业集中区第一污水处理厂接管</w:t>
            </w:r>
            <w:r>
              <w:rPr>
                <w:rFonts w:hint="eastAsia" w:cs="Times New Roman"/>
                <w:color w:val="auto"/>
                <w:sz w:val="24"/>
                <w:szCs w:val="24"/>
                <w:lang w:val="en-US" w:eastAsia="zh-CN"/>
              </w:rPr>
              <w:t>限值及</w:t>
            </w:r>
            <w:r>
              <w:rPr>
                <w:rFonts w:hint="default" w:ascii="Times New Roman" w:hAnsi="Times New Roman" w:cs="Times New Roman"/>
                <w:color w:val="auto"/>
                <w:sz w:val="24"/>
                <w:szCs w:val="24"/>
                <w:lang w:val="en-US" w:eastAsia="zh-CN"/>
              </w:rPr>
              <w:t>《污水综合排放标准》（GB8978-1996）表4中三级标</w:t>
            </w:r>
            <w:r>
              <w:rPr>
                <w:rFonts w:hint="default" w:ascii="Times New Roman" w:hAnsi="Times New Roman" w:eastAsia="宋体" w:cs="Times New Roman"/>
                <w:color w:val="auto"/>
                <w:sz w:val="24"/>
                <w:szCs w:val="24"/>
                <w:lang w:val="en-US" w:eastAsia="zh-CN"/>
              </w:rPr>
              <w:t>准</w:t>
            </w:r>
            <w:r>
              <w:rPr>
                <w:rFonts w:hint="eastAsia" w:ascii="Times New Roman" w:hAnsi="Times New Roman" w:eastAsia="宋体" w:cs="Times New Roman"/>
                <w:color w:val="auto"/>
                <w:sz w:val="24"/>
                <w:szCs w:val="24"/>
                <w:lang w:val="en-US" w:eastAsia="zh-CN"/>
              </w:rPr>
              <w:t>。</w:t>
            </w:r>
          </w:p>
          <w:p w14:paraId="51FE0967">
            <w:pPr>
              <w:spacing w:line="480" w:lineRule="exact"/>
              <w:ind w:firstLine="422"/>
              <w:jc w:val="center"/>
              <w:rPr>
                <w:rFonts w:cs="Times New Roman"/>
                <w:b/>
                <w:bCs/>
                <w:caps w:val="0"/>
                <w:smallCaps w:val="0"/>
                <w:color w:val="auto"/>
                <w:spacing w:val="0"/>
                <w:position w:val="0"/>
                <w:sz w:val="21"/>
                <w:szCs w:val="21"/>
              </w:rPr>
            </w:pPr>
            <w:r>
              <w:rPr>
                <w:rFonts w:hint="eastAsia" w:cs="Times New Roman"/>
                <w:b/>
                <w:bCs/>
                <w:caps w:val="0"/>
                <w:smallCaps w:val="0"/>
                <w:color w:val="auto"/>
                <w:spacing w:val="0"/>
                <w:position w:val="0"/>
                <w:sz w:val="21"/>
                <w:szCs w:val="21"/>
              </w:rPr>
              <w:t>表</w:t>
            </w:r>
            <w:r>
              <w:rPr>
                <w:rFonts w:hint="eastAsia" w:cs="Times New Roman"/>
                <w:b/>
                <w:bCs/>
                <w:caps w:val="0"/>
                <w:smallCaps w:val="0"/>
                <w:color w:val="auto"/>
                <w:spacing w:val="0"/>
                <w:position w:val="0"/>
                <w:sz w:val="21"/>
                <w:szCs w:val="21"/>
                <w:lang w:val="en-US" w:eastAsia="zh-CN"/>
              </w:rPr>
              <w:t>3-12</w:t>
            </w:r>
            <w:r>
              <w:rPr>
                <w:rFonts w:cs="Times New Roman"/>
                <w:b/>
                <w:bCs/>
                <w:caps w:val="0"/>
                <w:smallCaps w:val="0"/>
                <w:color w:val="auto"/>
                <w:spacing w:val="0"/>
                <w:position w:val="0"/>
                <w:sz w:val="21"/>
                <w:szCs w:val="21"/>
              </w:rPr>
              <w:t xml:space="preserve">  </w:t>
            </w:r>
            <w:r>
              <w:rPr>
                <w:rFonts w:hint="eastAsia" w:cs="Times New Roman"/>
                <w:b/>
                <w:bCs/>
                <w:caps w:val="0"/>
                <w:smallCaps w:val="0"/>
                <w:color w:val="auto"/>
                <w:spacing w:val="0"/>
                <w:position w:val="0"/>
                <w:sz w:val="21"/>
                <w:szCs w:val="21"/>
              </w:rPr>
              <w:t>项目废水</w:t>
            </w:r>
            <w:r>
              <w:rPr>
                <w:rFonts w:cs="Times New Roman"/>
                <w:b/>
                <w:bCs/>
                <w:caps w:val="0"/>
                <w:smallCaps w:val="0"/>
                <w:color w:val="auto"/>
                <w:spacing w:val="0"/>
                <w:position w:val="0"/>
                <w:sz w:val="21"/>
                <w:szCs w:val="21"/>
              </w:rPr>
              <w:t>排放标准   单位：mg/L</w:t>
            </w:r>
            <w:r>
              <w:rPr>
                <w:rFonts w:hint="eastAsia" w:cs="Times New Roman"/>
                <w:b/>
                <w:bCs/>
                <w:caps w:val="0"/>
                <w:smallCaps w:val="0"/>
                <w:color w:val="auto"/>
                <w:spacing w:val="0"/>
                <w:position w:val="0"/>
                <w:sz w:val="21"/>
                <w:szCs w:val="21"/>
                <w:lang w:eastAsia="zh-CN"/>
              </w:rPr>
              <w:t>（</w:t>
            </w:r>
            <w:r>
              <w:rPr>
                <w:rFonts w:cs="Times New Roman"/>
                <w:b/>
                <w:bCs/>
                <w:caps w:val="0"/>
                <w:smallCaps w:val="0"/>
                <w:color w:val="auto"/>
                <w:spacing w:val="0"/>
                <w:position w:val="0"/>
                <w:sz w:val="21"/>
                <w:szCs w:val="21"/>
              </w:rPr>
              <w:t>pH值除外）</w:t>
            </w:r>
          </w:p>
          <w:tbl>
            <w:tblPr>
              <w:tblStyle w:val="27"/>
              <w:tblW w:w="49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18"/>
              <w:gridCol w:w="2650"/>
              <w:gridCol w:w="2232"/>
              <w:gridCol w:w="2355"/>
            </w:tblGrid>
            <w:tr w14:paraId="49A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378" w:type="pct"/>
                  <w:vAlign w:val="center"/>
                </w:tcPr>
                <w:p w14:paraId="75471365">
                  <w:pPr>
                    <w:spacing w:line="240" w:lineRule="auto"/>
                    <w:ind w:firstLine="0" w:firstLineChars="0"/>
                    <w:jc w:val="center"/>
                    <w:rPr>
                      <w:rFonts w:hint="default" w:ascii="Times New Roman" w:hAnsi="Times New Roman" w:eastAsia="宋体" w:cs="Times New Roman"/>
                      <w:b/>
                      <w:bCs w:val="0"/>
                      <w:color w:val="auto"/>
                      <w:spacing w:val="0"/>
                      <w:sz w:val="21"/>
                      <w:szCs w:val="21"/>
                      <w:lang w:val="en-US" w:eastAsia="zh-CN" w:bidi="ar-SA"/>
                    </w:rPr>
                  </w:pPr>
                  <w:r>
                    <w:rPr>
                      <w:rFonts w:hint="default" w:ascii="Times New Roman" w:hAnsi="Times New Roman" w:eastAsia="宋体" w:cs="Times New Roman"/>
                      <w:b/>
                      <w:bCs w:val="0"/>
                      <w:color w:val="auto"/>
                      <w:sz w:val="21"/>
                      <w:szCs w:val="21"/>
                      <w:lang w:val="en-US" w:eastAsia="zh-CN"/>
                    </w:rPr>
                    <w:t>序号</w:t>
                  </w:r>
                </w:p>
              </w:tc>
              <w:tc>
                <w:tcPr>
                  <w:tcW w:w="618" w:type="pct"/>
                  <w:vAlign w:val="center"/>
                </w:tcPr>
                <w:p w14:paraId="392DE58E">
                  <w:pPr>
                    <w:spacing w:line="240" w:lineRule="auto"/>
                    <w:ind w:firstLine="0" w:firstLineChars="0"/>
                    <w:jc w:val="center"/>
                    <w:rPr>
                      <w:rFonts w:hint="default" w:ascii="Times New Roman" w:hAnsi="Times New Roman" w:eastAsia="宋体" w:cs="Times New Roman"/>
                      <w:b/>
                      <w:bCs w:val="0"/>
                      <w:color w:val="auto"/>
                      <w:spacing w:val="0"/>
                      <w:sz w:val="21"/>
                      <w:szCs w:val="21"/>
                      <w:lang w:val="en-US" w:eastAsia="zh-CN" w:bidi="ar-SA"/>
                    </w:rPr>
                  </w:pPr>
                  <w:r>
                    <w:rPr>
                      <w:rFonts w:hint="default" w:ascii="Times New Roman" w:hAnsi="Times New Roman" w:eastAsia="宋体" w:cs="Times New Roman"/>
                      <w:b/>
                      <w:bCs w:val="0"/>
                      <w:color w:val="auto"/>
                      <w:sz w:val="21"/>
                      <w:szCs w:val="21"/>
                    </w:rPr>
                    <w:t>污染物</w:t>
                  </w:r>
                </w:p>
              </w:tc>
              <w:tc>
                <w:tcPr>
                  <w:tcW w:w="1465" w:type="pct"/>
                  <w:vAlign w:val="center"/>
                </w:tcPr>
                <w:p w14:paraId="6AC1E88E">
                  <w:pPr>
                    <w:spacing w:line="240" w:lineRule="auto"/>
                    <w:ind w:firstLine="0" w:firstLineChars="0"/>
                    <w:jc w:val="center"/>
                    <w:rPr>
                      <w:rFonts w:hint="eastAsia" w:ascii="Times New Roman" w:hAnsi="Times New Roman" w:eastAsia="宋体" w:cs="Times New Roman"/>
                      <w:b/>
                      <w:bCs w:val="0"/>
                      <w:color w:val="auto"/>
                      <w:sz w:val="21"/>
                      <w:szCs w:val="21"/>
                      <w:lang w:val="en-US" w:eastAsia="zh-CN"/>
                    </w:rPr>
                  </w:pPr>
                  <w:r>
                    <w:rPr>
                      <w:rFonts w:hint="eastAsia" w:cs="Times New Roman"/>
                      <w:b/>
                      <w:bCs w:val="0"/>
                      <w:color w:val="auto"/>
                      <w:sz w:val="21"/>
                      <w:szCs w:val="21"/>
                      <w:lang w:eastAsia="zh-CN"/>
                    </w:rPr>
                    <w:t>（</w:t>
                  </w:r>
                  <w:r>
                    <w:rPr>
                      <w:rFonts w:hint="default" w:ascii="Times New Roman" w:hAnsi="Times New Roman" w:eastAsia="宋体" w:cs="Times New Roman"/>
                      <w:b/>
                      <w:bCs w:val="0"/>
                      <w:color w:val="auto"/>
                      <w:sz w:val="21"/>
                      <w:szCs w:val="21"/>
                    </w:rPr>
                    <w:t>GB8978-1996）</w:t>
                  </w:r>
                  <w:r>
                    <w:rPr>
                      <w:rFonts w:hint="eastAsia" w:cs="Times New Roman"/>
                      <w:b/>
                      <w:bCs w:val="0"/>
                      <w:color w:val="auto"/>
                      <w:sz w:val="21"/>
                      <w:szCs w:val="21"/>
                      <w:lang w:val="en-US" w:eastAsia="zh-CN"/>
                    </w:rPr>
                    <w:t>三级标准</w:t>
                  </w:r>
                </w:p>
              </w:tc>
              <w:tc>
                <w:tcPr>
                  <w:tcW w:w="1234" w:type="pct"/>
                  <w:vAlign w:val="center"/>
                </w:tcPr>
                <w:p w14:paraId="7A8907EF">
                  <w:pPr>
                    <w:spacing w:line="240" w:lineRule="auto"/>
                    <w:ind w:firstLine="0" w:firstLineChars="0"/>
                    <w:jc w:val="center"/>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lang w:eastAsia="zh-CN"/>
                    </w:rPr>
                    <w:t>污水处理厂</w:t>
                  </w:r>
                  <w:r>
                    <w:rPr>
                      <w:rFonts w:hint="eastAsia" w:cs="Times New Roman"/>
                      <w:b/>
                      <w:bCs w:val="0"/>
                      <w:color w:val="auto"/>
                      <w:sz w:val="21"/>
                      <w:szCs w:val="21"/>
                      <w:lang w:eastAsia="zh-CN"/>
                    </w:rPr>
                    <w:t>接管限值</w:t>
                  </w:r>
                </w:p>
              </w:tc>
              <w:tc>
                <w:tcPr>
                  <w:tcW w:w="1302" w:type="pct"/>
                  <w:vAlign w:val="center"/>
                </w:tcPr>
                <w:p w14:paraId="6DA23D52">
                  <w:pPr>
                    <w:spacing w:line="240" w:lineRule="auto"/>
                    <w:ind w:firstLine="0" w:firstLineChars="0"/>
                    <w:jc w:val="center"/>
                    <w:rPr>
                      <w:rFonts w:hint="default" w:ascii="Times New Roman" w:hAnsi="Times New Roman" w:eastAsia="宋体" w:cs="Times New Roman"/>
                      <w:b/>
                      <w:bCs w:val="0"/>
                      <w:color w:val="auto"/>
                      <w:sz w:val="21"/>
                      <w:szCs w:val="21"/>
                      <w:lang w:val="en-US" w:eastAsia="zh-CN"/>
                    </w:rPr>
                  </w:pPr>
                  <w:r>
                    <w:rPr>
                      <w:rFonts w:hint="eastAsia" w:ascii="Times New Roman" w:hAnsi="Times New Roman" w:eastAsia="宋体" w:cs="Times New Roman"/>
                      <w:b/>
                      <w:bCs w:val="0"/>
                      <w:color w:val="auto"/>
                      <w:sz w:val="21"/>
                      <w:szCs w:val="21"/>
                      <w:lang w:val="en-US" w:eastAsia="zh-CN"/>
                    </w:rPr>
                    <w:t>本项目执行标准</w:t>
                  </w:r>
                </w:p>
              </w:tc>
            </w:tr>
            <w:tr w14:paraId="7DF10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378" w:type="pct"/>
                  <w:vAlign w:val="center"/>
                </w:tcPr>
                <w:p w14:paraId="23A6C85B">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1</w:t>
                  </w:r>
                </w:p>
              </w:tc>
              <w:tc>
                <w:tcPr>
                  <w:tcW w:w="618" w:type="pct"/>
                  <w:vAlign w:val="center"/>
                </w:tcPr>
                <w:p w14:paraId="2492802D">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pH</w:t>
                  </w:r>
                </w:p>
              </w:tc>
              <w:tc>
                <w:tcPr>
                  <w:tcW w:w="1465" w:type="pct"/>
                  <w:vAlign w:val="center"/>
                </w:tcPr>
                <w:p w14:paraId="20032291">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6~9</w:t>
                  </w:r>
                </w:p>
              </w:tc>
              <w:tc>
                <w:tcPr>
                  <w:tcW w:w="1234" w:type="pct"/>
                  <w:vAlign w:val="center"/>
                </w:tcPr>
                <w:p w14:paraId="107C514B">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w:t>
                  </w:r>
                </w:p>
              </w:tc>
              <w:tc>
                <w:tcPr>
                  <w:tcW w:w="1302" w:type="pct"/>
                  <w:vAlign w:val="center"/>
                </w:tcPr>
                <w:p w14:paraId="52041A38">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6~9</w:t>
                  </w:r>
                </w:p>
              </w:tc>
            </w:tr>
            <w:tr w14:paraId="31A66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378" w:type="pct"/>
                  <w:vAlign w:val="center"/>
                </w:tcPr>
                <w:p w14:paraId="45B16265">
                  <w:pPr>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2</w:t>
                  </w:r>
                </w:p>
              </w:tc>
              <w:tc>
                <w:tcPr>
                  <w:tcW w:w="618" w:type="pct"/>
                  <w:vAlign w:val="center"/>
                </w:tcPr>
                <w:p w14:paraId="2442F239">
                  <w:pPr>
                    <w:spacing w:line="240" w:lineRule="auto"/>
                    <w:ind w:firstLine="0" w:firstLineChars="0"/>
                    <w:jc w:val="center"/>
                    <w:rPr>
                      <w:rFonts w:hint="eastAsia" w:ascii="Times New Roman" w:hAnsi="Times New Roman" w:eastAsia="宋体" w:cs="Times New Roman"/>
                      <w:bCs/>
                      <w:color w:val="auto"/>
                      <w:sz w:val="21"/>
                      <w:szCs w:val="21"/>
                      <w:lang w:eastAsia="zh-CN"/>
                    </w:rPr>
                  </w:pPr>
                  <w:r>
                    <w:rPr>
                      <w:rFonts w:hint="eastAsia" w:cs="Times New Roman"/>
                      <w:bCs/>
                      <w:color w:val="auto"/>
                      <w:sz w:val="21"/>
                      <w:szCs w:val="21"/>
                      <w:lang w:val="en-US" w:eastAsia="zh-CN"/>
                    </w:rPr>
                    <w:t>色度</w:t>
                  </w:r>
                </w:p>
              </w:tc>
              <w:tc>
                <w:tcPr>
                  <w:tcW w:w="1465" w:type="pct"/>
                  <w:shd w:val="clear" w:color="auto" w:fill="auto"/>
                  <w:vAlign w:val="center"/>
                </w:tcPr>
                <w:p w14:paraId="043EA53A">
                  <w:pPr>
                    <w:spacing w:line="240" w:lineRule="auto"/>
                    <w:ind w:firstLine="0" w:firstLineChars="0"/>
                    <w:jc w:val="center"/>
                    <w:rPr>
                      <w:rFonts w:hint="eastAsia" w:ascii="Times New Roman" w:hAnsi="Times New Roman" w:eastAsia="宋体" w:cs="Times New Roman"/>
                      <w:bCs/>
                      <w:color w:val="auto"/>
                      <w:kern w:val="2"/>
                      <w:sz w:val="21"/>
                      <w:szCs w:val="21"/>
                      <w:lang w:val="en-US" w:eastAsia="zh-CN" w:bidi="ar-SA"/>
                    </w:rPr>
                  </w:pPr>
                  <w:r>
                    <w:rPr>
                      <w:rFonts w:hint="eastAsia" w:cs="Times New Roman"/>
                      <w:bCs/>
                      <w:color w:val="auto"/>
                      <w:sz w:val="21"/>
                      <w:szCs w:val="21"/>
                      <w:lang w:val="en-US" w:eastAsia="zh-CN"/>
                    </w:rPr>
                    <w:t>/</w:t>
                  </w:r>
                </w:p>
              </w:tc>
              <w:tc>
                <w:tcPr>
                  <w:tcW w:w="1234" w:type="pct"/>
                  <w:shd w:val="clear" w:color="auto" w:fill="auto"/>
                  <w:vAlign w:val="center"/>
                </w:tcPr>
                <w:p w14:paraId="22BA165E">
                  <w:pPr>
                    <w:spacing w:line="240" w:lineRule="auto"/>
                    <w:ind w:firstLine="0" w:firstLineChars="0"/>
                    <w:jc w:val="center"/>
                    <w:rPr>
                      <w:rFonts w:hint="eastAsia" w:ascii="Times New Roman" w:hAnsi="Times New Roman" w:eastAsia="宋体" w:cs="Times New Roman"/>
                      <w:bCs/>
                      <w:color w:val="auto"/>
                      <w:kern w:val="2"/>
                      <w:sz w:val="21"/>
                      <w:szCs w:val="21"/>
                      <w:lang w:val="en-US" w:eastAsia="zh-CN" w:bidi="ar-SA"/>
                    </w:rPr>
                  </w:pPr>
                  <w:r>
                    <w:rPr>
                      <w:rFonts w:hint="eastAsia" w:cs="Times New Roman"/>
                      <w:bCs/>
                      <w:color w:val="auto"/>
                      <w:sz w:val="21"/>
                      <w:szCs w:val="21"/>
                      <w:lang w:val="en-US" w:eastAsia="zh-CN"/>
                    </w:rPr>
                    <w:t>/</w:t>
                  </w:r>
                </w:p>
              </w:tc>
              <w:tc>
                <w:tcPr>
                  <w:tcW w:w="1302" w:type="pct"/>
                  <w:vAlign w:val="center"/>
                </w:tcPr>
                <w:p w14:paraId="29113A0A">
                  <w:pPr>
                    <w:spacing w:line="240" w:lineRule="auto"/>
                    <w:ind w:firstLine="0" w:firstLineChars="0"/>
                    <w:jc w:val="center"/>
                    <w:rPr>
                      <w:rFonts w:hint="eastAsia" w:ascii="Times New Roman" w:hAnsi="Times New Roman" w:eastAsia="宋体" w:cs="Times New Roman"/>
                      <w:bCs/>
                      <w:color w:val="auto"/>
                      <w:sz w:val="21"/>
                      <w:szCs w:val="21"/>
                      <w:lang w:eastAsia="zh-CN"/>
                    </w:rPr>
                  </w:pPr>
                  <w:r>
                    <w:rPr>
                      <w:rFonts w:hint="eastAsia" w:cs="Times New Roman"/>
                      <w:bCs/>
                      <w:color w:val="auto"/>
                      <w:sz w:val="21"/>
                      <w:szCs w:val="21"/>
                      <w:lang w:val="en-US" w:eastAsia="zh-CN"/>
                    </w:rPr>
                    <w:t>/</w:t>
                  </w:r>
                </w:p>
              </w:tc>
            </w:tr>
            <w:tr w14:paraId="680D5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378" w:type="pct"/>
                  <w:shd w:val="clear" w:color="auto" w:fill="auto"/>
                  <w:vAlign w:val="center"/>
                </w:tcPr>
                <w:p w14:paraId="1D1955CE">
                  <w:pPr>
                    <w:spacing w:line="240" w:lineRule="auto"/>
                    <w:ind w:firstLine="0" w:firstLineChars="0"/>
                    <w:jc w:val="center"/>
                    <w:rPr>
                      <w:rFonts w:hint="default" w:ascii="Times New Roman" w:hAnsi="Times New Roman" w:eastAsia="宋体" w:cs="Times New Roman"/>
                      <w:bCs/>
                      <w:color w:val="auto"/>
                      <w:spacing w:val="0"/>
                      <w:kern w:val="2"/>
                      <w:sz w:val="21"/>
                      <w:szCs w:val="21"/>
                      <w:lang w:val="en-US" w:eastAsia="zh-CN" w:bidi="ar-SA"/>
                    </w:rPr>
                  </w:pPr>
                  <w:r>
                    <w:rPr>
                      <w:rFonts w:hint="default" w:ascii="Times New Roman" w:hAnsi="Times New Roman" w:eastAsia="宋体" w:cs="Times New Roman"/>
                      <w:bCs/>
                      <w:color w:val="auto"/>
                      <w:sz w:val="21"/>
                      <w:szCs w:val="21"/>
                      <w:lang w:val="en-US" w:eastAsia="zh-CN"/>
                    </w:rPr>
                    <w:t>3</w:t>
                  </w:r>
                </w:p>
              </w:tc>
              <w:tc>
                <w:tcPr>
                  <w:tcW w:w="618" w:type="pct"/>
                  <w:vAlign w:val="center"/>
                </w:tcPr>
                <w:p w14:paraId="752F15AB">
                  <w:pPr>
                    <w:spacing w:line="240" w:lineRule="auto"/>
                    <w:ind w:firstLine="0" w:firstLineChars="0"/>
                    <w:jc w:val="center"/>
                    <w:rPr>
                      <w:rFonts w:hint="default" w:cs="Times New Roman"/>
                      <w:bCs/>
                      <w:color w:val="auto"/>
                      <w:sz w:val="21"/>
                      <w:szCs w:val="21"/>
                      <w:lang w:val="en-US" w:eastAsia="zh-CN"/>
                    </w:rPr>
                  </w:pPr>
                  <w:r>
                    <w:rPr>
                      <w:rFonts w:hint="eastAsia" w:cs="Times New Roman"/>
                      <w:bCs/>
                      <w:color w:val="auto"/>
                      <w:sz w:val="21"/>
                      <w:szCs w:val="21"/>
                      <w:lang w:val="en-US" w:eastAsia="zh-CN"/>
                    </w:rPr>
                    <w:t>TOC</w:t>
                  </w:r>
                </w:p>
              </w:tc>
              <w:tc>
                <w:tcPr>
                  <w:tcW w:w="1465" w:type="pct"/>
                  <w:shd w:val="clear" w:color="auto" w:fill="auto"/>
                  <w:vAlign w:val="center"/>
                </w:tcPr>
                <w:p w14:paraId="47EA0A4E">
                  <w:pPr>
                    <w:spacing w:line="240" w:lineRule="auto"/>
                    <w:ind w:firstLine="0" w:firstLineChars="0"/>
                    <w:jc w:val="center"/>
                    <w:rPr>
                      <w:rFonts w:hint="eastAsia" w:ascii="Times New Roman" w:hAnsi="Times New Roman" w:eastAsia="宋体" w:cs="Times New Roman"/>
                      <w:bCs/>
                      <w:color w:val="auto"/>
                      <w:kern w:val="2"/>
                      <w:sz w:val="21"/>
                      <w:szCs w:val="21"/>
                      <w:lang w:val="en-US" w:eastAsia="zh-CN" w:bidi="ar-SA"/>
                    </w:rPr>
                  </w:pPr>
                  <w:r>
                    <w:rPr>
                      <w:rFonts w:hint="eastAsia" w:cs="Times New Roman"/>
                      <w:bCs/>
                      <w:color w:val="auto"/>
                      <w:sz w:val="21"/>
                      <w:szCs w:val="21"/>
                      <w:lang w:val="en-US" w:eastAsia="zh-CN"/>
                    </w:rPr>
                    <w:t>/</w:t>
                  </w:r>
                </w:p>
              </w:tc>
              <w:tc>
                <w:tcPr>
                  <w:tcW w:w="1234" w:type="pct"/>
                  <w:shd w:val="clear" w:color="auto" w:fill="auto"/>
                  <w:vAlign w:val="center"/>
                </w:tcPr>
                <w:p w14:paraId="2A86D8F6">
                  <w:pPr>
                    <w:spacing w:line="240" w:lineRule="auto"/>
                    <w:ind w:firstLine="0" w:firstLineChars="0"/>
                    <w:jc w:val="center"/>
                    <w:rPr>
                      <w:rFonts w:hint="eastAsia" w:ascii="Times New Roman" w:hAnsi="Times New Roman" w:eastAsia="宋体" w:cs="Times New Roman"/>
                      <w:bCs/>
                      <w:color w:val="auto"/>
                      <w:kern w:val="2"/>
                      <w:sz w:val="21"/>
                      <w:szCs w:val="21"/>
                      <w:lang w:val="en-US" w:eastAsia="zh-CN" w:bidi="ar-SA"/>
                    </w:rPr>
                  </w:pPr>
                  <w:r>
                    <w:rPr>
                      <w:rFonts w:hint="eastAsia" w:cs="Times New Roman"/>
                      <w:bCs/>
                      <w:color w:val="auto"/>
                      <w:sz w:val="21"/>
                      <w:szCs w:val="21"/>
                      <w:lang w:val="en-US" w:eastAsia="zh-CN"/>
                    </w:rPr>
                    <w:t>/</w:t>
                  </w:r>
                </w:p>
              </w:tc>
              <w:tc>
                <w:tcPr>
                  <w:tcW w:w="1302" w:type="pct"/>
                  <w:vAlign w:val="center"/>
                </w:tcPr>
                <w:p w14:paraId="42D4C36E">
                  <w:pPr>
                    <w:spacing w:line="240" w:lineRule="auto"/>
                    <w:ind w:firstLine="0" w:firstLineChars="0"/>
                    <w:jc w:val="center"/>
                    <w:rPr>
                      <w:rFonts w:hint="default" w:cs="Times New Roman"/>
                      <w:bCs/>
                      <w:color w:val="auto"/>
                      <w:sz w:val="21"/>
                      <w:szCs w:val="21"/>
                      <w:lang w:val="en-US" w:eastAsia="zh-CN"/>
                    </w:rPr>
                  </w:pPr>
                  <w:r>
                    <w:rPr>
                      <w:rFonts w:hint="eastAsia" w:cs="Times New Roman"/>
                      <w:bCs/>
                      <w:color w:val="auto"/>
                      <w:sz w:val="21"/>
                      <w:szCs w:val="21"/>
                      <w:lang w:val="en-US" w:eastAsia="zh-CN"/>
                    </w:rPr>
                    <w:t>/</w:t>
                  </w:r>
                </w:p>
              </w:tc>
            </w:tr>
            <w:tr w14:paraId="58680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378" w:type="pct"/>
                  <w:shd w:val="clear" w:color="auto" w:fill="auto"/>
                  <w:vAlign w:val="center"/>
                </w:tcPr>
                <w:p w14:paraId="463E750E">
                  <w:pPr>
                    <w:spacing w:line="240" w:lineRule="auto"/>
                    <w:ind w:firstLine="0" w:firstLineChars="0"/>
                    <w:jc w:val="center"/>
                    <w:rPr>
                      <w:rFonts w:hint="default" w:ascii="Times New Roman" w:hAnsi="Times New Roman" w:eastAsia="宋体" w:cs="Times New Roman"/>
                      <w:bCs/>
                      <w:color w:val="auto"/>
                      <w:spacing w:val="0"/>
                      <w:kern w:val="2"/>
                      <w:sz w:val="21"/>
                      <w:szCs w:val="21"/>
                      <w:lang w:val="en-US" w:eastAsia="zh-CN" w:bidi="ar-SA"/>
                    </w:rPr>
                  </w:pPr>
                  <w:r>
                    <w:rPr>
                      <w:rFonts w:hint="default" w:ascii="Times New Roman" w:hAnsi="Times New Roman" w:eastAsia="宋体" w:cs="Times New Roman"/>
                      <w:bCs/>
                      <w:color w:val="auto"/>
                      <w:sz w:val="21"/>
                      <w:szCs w:val="21"/>
                      <w:lang w:val="en-US" w:eastAsia="zh-CN"/>
                    </w:rPr>
                    <w:t>4</w:t>
                  </w:r>
                </w:p>
              </w:tc>
              <w:tc>
                <w:tcPr>
                  <w:tcW w:w="618" w:type="pct"/>
                  <w:vAlign w:val="center"/>
                </w:tcPr>
                <w:p w14:paraId="2A1E04E9">
                  <w:pPr>
                    <w:spacing w:line="240" w:lineRule="auto"/>
                    <w:ind w:firstLine="0" w:firstLineChars="0"/>
                    <w:jc w:val="center"/>
                    <w:rPr>
                      <w:rFonts w:hint="default" w:ascii="Times New Roman" w:hAnsi="Times New Roman" w:eastAsia="宋体" w:cs="Times New Roman"/>
                      <w:bCs/>
                      <w:color w:val="auto"/>
                      <w:spacing w:val="0"/>
                      <w:sz w:val="21"/>
                      <w:szCs w:val="21"/>
                      <w:lang w:val="en-US" w:eastAsia="zh-CN" w:bidi="ar-SA"/>
                    </w:rPr>
                  </w:pPr>
                  <w:r>
                    <w:rPr>
                      <w:rFonts w:hint="default" w:ascii="Times New Roman" w:hAnsi="Times New Roman" w:eastAsia="宋体" w:cs="Times New Roman"/>
                      <w:bCs/>
                      <w:color w:val="auto"/>
                      <w:sz w:val="21"/>
                      <w:szCs w:val="21"/>
                    </w:rPr>
                    <w:t>COD</w:t>
                  </w:r>
                </w:p>
              </w:tc>
              <w:tc>
                <w:tcPr>
                  <w:tcW w:w="1465" w:type="pct"/>
                  <w:vAlign w:val="center"/>
                </w:tcPr>
                <w:p w14:paraId="0537D552">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500</w:t>
                  </w:r>
                </w:p>
              </w:tc>
              <w:tc>
                <w:tcPr>
                  <w:tcW w:w="1234" w:type="pct"/>
                  <w:vAlign w:val="center"/>
                </w:tcPr>
                <w:p w14:paraId="66047E24">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500</w:t>
                  </w:r>
                </w:p>
              </w:tc>
              <w:tc>
                <w:tcPr>
                  <w:tcW w:w="1302" w:type="pct"/>
                  <w:vAlign w:val="center"/>
                </w:tcPr>
                <w:p w14:paraId="7B35DBAF">
                  <w:pPr>
                    <w:spacing w:line="240" w:lineRule="auto"/>
                    <w:ind w:firstLine="0" w:firstLineChars="0"/>
                    <w:jc w:val="center"/>
                    <w:rPr>
                      <w:rFonts w:hint="default" w:ascii="Times New Roman" w:hAnsi="Times New Roman" w:eastAsia="宋体" w:cs="Times New Roman"/>
                      <w:bCs/>
                      <w:color w:val="auto"/>
                      <w:spacing w:val="0"/>
                      <w:sz w:val="21"/>
                      <w:szCs w:val="21"/>
                      <w:lang w:val="en-US" w:eastAsia="zh-CN" w:bidi="ar-SA"/>
                    </w:rPr>
                  </w:pPr>
                  <w:r>
                    <w:rPr>
                      <w:rFonts w:hint="eastAsia" w:cs="Times New Roman"/>
                      <w:bCs/>
                      <w:color w:val="auto"/>
                      <w:sz w:val="21"/>
                      <w:szCs w:val="21"/>
                      <w:lang w:val="en-US" w:eastAsia="zh-CN"/>
                    </w:rPr>
                    <w:t>5</w:t>
                  </w:r>
                  <w:r>
                    <w:rPr>
                      <w:rFonts w:hint="default" w:ascii="Times New Roman" w:hAnsi="Times New Roman" w:eastAsia="宋体" w:cs="Times New Roman"/>
                      <w:bCs/>
                      <w:color w:val="auto"/>
                      <w:sz w:val="21"/>
                      <w:szCs w:val="21"/>
                    </w:rPr>
                    <w:t>00</w:t>
                  </w:r>
                </w:p>
              </w:tc>
            </w:tr>
            <w:tr w14:paraId="03D03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378" w:type="pct"/>
                  <w:shd w:val="clear" w:color="auto" w:fill="auto"/>
                  <w:vAlign w:val="center"/>
                </w:tcPr>
                <w:p w14:paraId="3FB2E326">
                  <w:pPr>
                    <w:spacing w:line="240" w:lineRule="auto"/>
                    <w:ind w:firstLine="0" w:firstLineChars="0"/>
                    <w:jc w:val="center"/>
                    <w:rPr>
                      <w:rFonts w:hint="default" w:ascii="Times New Roman" w:hAnsi="Times New Roman" w:eastAsia="宋体" w:cs="Times New Roman"/>
                      <w:bCs/>
                      <w:color w:val="auto"/>
                      <w:spacing w:val="0"/>
                      <w:kern w:val="2"/>
                      <w:sz w:val="21"/>
                      <w:szCs w:val="21"/>
                      <w:lang w:val="en-US" w:eastAsia="zh-CN" w:bidi="ar-SA"/>
                    </w:rPr>
                  </w:pPr>
                  <w:r>
                    <w:rPr>
                      <w:rFonts w:hint="default" w:ascii="Times New Roman" w:hAnsi="Times New Roman" w:eastAsia="宋体" w:cs="Times New Roman"/>
                      <w:bCs/>
                      <w:color w:val="auto"/>
                      <w:sz w:val="21"/>
                      <w:szCs w:val="21"/>
                      <w:lang w:val="en-US" w:eastAsia="zh-CN"/>
                    </w:rPr>
                    <w:t>5</w:t>
                  </w:r>
                </w:p>
              </w:tc>
              <w:tc>
                <w:tcPr>
                  <w:tcW w:w="618" w:type="pct"/>
                  <w:vAlign w:val="center"/>
                </w:tcPr>
                <w:p w14:paraId="0352EF03">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BOD</w:t>
                  </w:r>
                  <w:r>
                    <w:rPr>
                      <w:rFonts w:hint="default" w:ascii="Times New Roman" w:hAnsi="Times New Roman" w:eastAsia="宋体" w:cs="Times New Roman"/>
                      <w:bCs/>
                      <w:color w:val="auto"/>
                      <w:sz w:val="21"/>
                      <w:szCs w:val="21"/>
                      <w:vertAlign w:val="subscript"/>
                      <w:lang w:val="en-US" w:eastAsia="zh-CN"/>
                    </w:rPr>
                    <w:t>5</w:t>
                  </w:r>
                </w:p>
              </w:tc>
              <w:tc>
                <w:tcPr>
                  <w:tcW w:w="1465" w:type="pct"/>
                  <w:vAlign w:val="center"/>
                </w:tcPr>
                <w:p w14:paraId="6930610E">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300</w:t>
                  </w:r>
                </w:p>
              </w:tc>
              <w:tc>
                <w:tcPr>
                  <w:tcW w:w="1234" w:type="pct"/>
                  <w:vAlign w:val="center"/>
                </w:tcPr>
                <w:p w14:paraId="690CCDE5">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150</w:t>
                  </w:r>
                </w:p>
              </w:tc>
              <w:tc>
                <w:tcPr>
                  <w:tcW w:w="1302" w:type="pct"/>
                  <w:vAlign w:val="center"/>
                </w:tcPr>
                <w:p w14:paraId="4CFE5A3E">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150</w:t>
                  </w:r>
                </w:p>
              </w:tc>
            </w:tr>
            <w:tr w14:paraId="764E2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378" w:type="pct"/>
                  <w:shd w:val="clear" w:color="auto" w:fill="auto"/>
                  <w:vAlign w:val="center"/>
                </w:tcPr>
                <w:p w14:paraId="46463F96">
                  <w:pPr>
                    <w:spacing w:line="240" w:lineRule="auto"/>
                    <w:ind w:firstLine="0" w:firstLineChars="0"/>
                    <w:jc w:val="center"/>
                    <w:rPr>
                      <w:rFonts w:hint="default" w:ascii="Times New Roman" w:hAnsi="Times New Roman" w:eastAsia="宋体" w:cs="Times New Roman"/>
                      <w:bCs/>
                      <w:color w:val="auto"/>
                      <w:spacing w:val="0"/>
                      <w:kern w:val="2"/>
                      <w:sz w:val="21"/>
                      <w:szCs w:val="21"/>
                      <w:lang w:val="en-US" w:eastAsia="zh-CN" w:bidi="ar-SA"/>
                    </w:rPr>
                  </w:pPr>
                  <w:r>
                    <w:rPr>
                      <w:rFonts w:hint="default" w:ascii="Times New Roman" w:hAnsi="Times New Roman" w:eastAsia="宋体" w:cs="Times New Roman"/>
                      <w:bCs/>
                      <w:color w:val="auto"/>
                      <w:sz w:val="21"/>
                      <w:szCs w:val="21"/>
                      <w:lang w:val="en-US" w:eastAsia="zh-CN"/>
                    </w:rPr>
                    <w:t>6</w:t>
                  </w:r>
                </w:p>
              </w:tc>
              <w:tc>
                <w:tcPr>
                  <w:tcW w:w="618" w:type="pct"/>
                  <w:vAlign w:val="center"/>
                </w:tcPr>
                <w:p w14:paraId="30DE80EE">
                  <w:pPr>
                    <w:spacing w:line="240" w:lineRule="auto"/>
                    <w:ind w:firstLine="0" w:firstLineChars="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氨氮</w:t>
                  </w:r>
                </w:p>
              </w:tc>
              <w:tc>
                <w:tcPr>
                  <w:tcW w:w="1465" w:type="pct"/>
                  <w:vAlign w:val="center"/>
                </w:tcPr>
                <w:p w14:paraId="40ABB5C3">
                  <w:pPr>
                    <w:spacing w:line="240" w:lineRule="auto"/>
                    <w:ind w:firstLine="0" w:firstLineChars="0"/>
                    <w:jc w:val="center"/>
                    <w:rPr>
                      <w:rFonts w:hint="eastAsia"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w:t>
                  </w:r>
                </w:p>
              </w:tc>
              <w:tc>
                <w:tcPr>
                  <w:tcW w:w="1234" w:type="pct"/>
                  <w:vAlign w:val="center"/>
                </w:tcPr>
                <w:p w14:paraId="3273EBE1">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25</w:t>
                  </w:r>
                </w:p>
              </w:tc>
              <w:tc>
                <w:tcPr>
                  <w:tcW w:w="1302" w:type="pct"/>
                  <w:vAlign w:val="center"/>
                </w:tcPr>
                <w:p w14:paraId="3EDF985B">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25</w:t>
                  </w:r>
                </w:p>
              </w:tc>
            </w:tr>
            <w:tr w14:paraId="7E55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378" w:type="pct"/>
                  <w:shd w:val="clear" w:color="auto" w:fill="auto"/>
                  <w:vAlign w:val="center"/>
                </w:tcPr>
                <w:p w14:paraId="199DFC24">
                  <w:pPr>
                    <w:spacing w:line="240" w:lineRule="auto"/>
                    <w:ind w:firstLine="0" w:firstLineChars="0"/>
                    <w:jc w:val="center"/>
                    <w:rPr>
                      <w:rFonts w:hint="default" w:ascii="Times New Roman" w:hAnsi="Times New Roman" w:eastAsia="宋体" w:cs="Times New Roman"/>
                      <w:bCs/>
                      <w:color w:val="auto"/>
                      <w:spacing w:val="0"/>
                      <w:kern w:val="2"/>
                      <w:sz w:val="21"/>
                      <w:szCs w:val="21"/>
                      <w:lang w:val="en-US" w:eastAsia="zh-CN" w:bidi="ar-SA"/>
                    </w:rPr>
                  </w:pPr>
                  <w:r>
                    <w:rPr>
                      <w:rFonts w:hint="default" w:ascii="Times New Roman" w:hAnsi="Times New Roman" w:eastAsia="宋体" w:cs="Times New Roman"/>
                      <w:bCs/>
                      <w:color w:val="auto"/>
                      <w:sz w:val="21"/>
                      <w:szCs w:val="21"/>
                      <w:lang w:val="en-US" w:eastAsia="zh-CN"/>
                    </w:rPr>
                    <w:t>7</w:t>
                  </w:r>
                </w:p>
              </w:tc>
              <w:tc>
                <w:tcPr>
                  <w:tcW w:w="618" w:type="pct"/>
                  <w:vAlign w:val="center"/>
                </w:tcPr>
                <w:p w14:paraId="49B384E2">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SS</w:t>
                  </w:r>
                </w:p>
              </w:tc>
              <w:tc>
                <w:tcPr>
                  <w:tcW w:w="1465" w:type="pct"/>
                  <w:vAlign w:val="center"/>
                </w:tcPr>
                <w:p w14:paraId="75FE6801">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400</w:t>
                  </w:r>
                </w:p>
              </w:tc>
              <w:tc>
                <w:tcPr>
                  <w:tcW w:w="1234" w:type="pct"/>
                  <w:vAlign w:val="center"/>
                </w:tcPr>
                <w:p w14:paraId="6B58590C">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240</w:t>
                  </w:r>
                </w:p>
              </w:tc>
              <w:tc>
                <w:tcPr>
                  <w:tcW w:w="1302" w:type="pct"/>
                  <w:vAlign w:val="center"/>
                </w:tcPr>
                <w:p w14:paraId="0727B133">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2</w:t>
                  </w:r>
                  <w:r>
                    <w:rPr>
                      <w:rFonts w:hint="eastAsia" w:cs="Times New Roman"/>
                      <w:bCs/>
                      <w:color w:val="auto"/>
                      <w:sz w:val="21"/>
                      <w:szCs w:val="21"/>
                      <w:lang w:val="en-US" w:eastAsia="zh-CN"/>
                    </w:rPr>
                    <w:t>4</w:t>
                  </w:r>
                  <w:r>
                    <w:rPr>
                      <w:rFonts w:hint="default" w:ascii="Times New Roman" w:hAnsi="Times New Roman" w:eastAsia="宋体" w:cs="Times New Roman"/>
                      <w:bCs/>
                      <w:color w:val="auto"/>
                      <w:sz w:val="21"/>
                      <w:szCs w:val="21"/>
                      <w:lang w:val="en-US" w:eastAsia="zh-CN"/>
                    </w:rPr>
                    <w:t>0</w:t>
                  </w:r>
                </w:p>
              </w:tc>
            </w:tr>
            <w:tr w14:paraId="1C963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378" w:type="pct"/>
                  <w:shd w:val="clear" w:color="auto" w:fill="auto"/>
                  <w:vAlign w:val="center"/>
                </w:tcPr>
                <w:p w14:paraId="56F05BB6">
                  <w:pPr>
                    <w:spacing w:line="240" w:lineRule="auto"/>
                    <w:ind w:firstLine="0" w:firstLineChars="0"/>
                    <w:jc w:val="center"/>
                    <w:rPr>
                      <w:rFonts w:hint="default" w:ascii="Times New Roman" w:hAnsi="Times New Roman" w:eastAsia="宋体" w:cs="Times New Roman"/>
                      <w:bCs/>
                      <w:color w:val="auto"/>
                      <w:spacing w:val="0"/>
                      <w:kern w:val="2"/>
                      <w:sz w:val="21"/>
                      <w:szCs w:val="21"/>
                      <w:lang w:val="en-US" w:eastAsia="zh-CN" w:bidi="ar-SA"/>
                    </w:rPr>
                  </w:pPr>
                  <w:r>
                    <w:rPr>
                      <w:rFonts w:hint="default" w:ascii="Times New Roman" w:hAnsi="Times New Roman" w:eastAsia="宋体" w:cs="Times New Roman"/>
                      <w:bCs/>
                      <w:color w:val="auto"/>
                      <w:sz w:val="21"/>
                      <w:szCs w:val="21"/>
                      <w:lang w:val="en-US" w:eastAsia="zh-CN"/>
                    </w:rPr>
                    <w:t>8</w:t>
                  </w:r>
                </w:p>
              </w:tc>
              <w:tc>
                <w:tcPr>
                  <w:tcW w:w="618" w:type="pct"/>
                  <w:vAlign w:val="center"/>
                </w:tcPr>
                <w:p w14:paraId="7B01C1B9">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TP</w:t>
                  </w:r>
                </w:p>
              </w:tc>
              <w:tc>
                <w:tcPr>
                  <w:tcW w:w="1465" w:type="pct"/>
                  <w:vAlign w:val="center"/>
                </w:tcPr>
                <w:p w14:paraId="45836219">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w:t>
                  </w:r>
                </w:p>
              </w:tc>
              <w:tc>
                <w:tcPr>
                  <w:tcW w:w="1234" w:type="pct"/>
                  <w:vAlign w:val="center"/>
                </w:tcPr>
                <w:p w14:paraId="06B47F56">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3</w:t>
                  </w:r>
                </w:p>
              </w:tc>
              <w:tc>
                <w:tcPr>
                  <w:tcW w:w="1302" w:type="pct"/>
                  <w:vAlign w:val="center"/>
                </w:tcPr>
                <w:p w14:paraId="4EED10BF">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3</w:t>
                  </w:r>
                </w:p>
              </w:tc>
            </w:tr>
            <w:tr w14:paraId="7C36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378" w:type="pct"/>
                  <w:shd w:val="clear" w:color="auto" w:fill="auto"/>
                  <w:vAlign w:val="center"/>
                </w:tcPr>
                <w:p w14:paraId="041E1C64">
                  <w:pPr>
                    <w:spacing w:line="240" w:lineRule="auto"/>
                    <w:ind w:firstLine="0" w:firstLineChars="0"/>
                    <w:jc w:val="center"/>
                    <w:rPr>
                      <w:rFonts w:hint="default" w:ascii="Times New Roman" w:hAnsi="Times New Roman" w:eastAsia="宋体" w:cs="Times New Roman"/>
                      <w:bCs/>
                      <w:color w:val="auto"/>
                      <w:spacing w:val="0"/>
                      <w:kern w:val="2"/>
                      <w:sz w:val="21"/>
                      <w:szCs w:val="21"/>
                      <w:lang w:val="en-US" w:eastAsia="zh-CN" w:bidi="ar-SA"/>
                    </w:rPr>
                  </w:pPr>
                  <w:r>
                    <w:rPr>
                      <w:rFonts w:hint="default" w:ascii="Times New Roman" w:hAnsi="Times New Roman" w:eastAsia="宋体" w:cs="Times New Roman"/>
                      <w:bCs/>
                      <w:color w:val="auto"/>
                      <w:sz w:val="21"/>
                      <w:szCs w:val="21"/>
                      <w:lang w:val="en-US" w:eastAsia="zh-CN"/>
                    </w:rPr>
                    <w:t>9</w:t>
                  </w:r>
                </w:p>
              </w:tc>
              <w:tc>
                <w:tcPr>
                  <w:tcW w:w="618" w:type="pct"/>
                  <w:vAlign w:val="center"/>
                </w:tcPr>
                <w:p w14:paraId="040939E9">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TN</w:t>
                  </w:r>
                </w:p>
              </w:tc>
              <w:tc>
                <w:tcPr>
                  <w:tcW w:w="1465" w:type="pct"/>
                  <w:vAlign w:val="center"/>
                </w:tcPr>
                <w:p w14:paraId="58DD1C7E">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w:t>
                  </w:r>
                </w:p>
              </w:tc>
              <w:tc>
                <w:tcPr>
                  <w:tcW w:w="1234" w:type="pct"/>
                  <w:vAlign w:val="center"/>
                </w:tcPr>
                <w:p w14:paraId="3FC60049">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30</w:t>
                  </w:r>
                </w:p>
              </w:tc>
              <w:tc>
                <w:tcPr>
                  <w:tcW w:w="1302" w:type="pct"/>
                  <w:vAlign w:val="center"/>
                </w:tcPr>
                <w:p w14:paraId="550CB2DF">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3</w:t>
                  </w:r>
                  <w:r>
                    <w:rPr>
                      <w:rFonts w:hint="eastAsia" w:cs="Times New Roman"/>
                      <w:bCs/>
                      <w:color w:val="auto"/>
                      <w:sz w:val="21"/>
                      <w:szCs w:val="21"/>
                      <w:lang w:val="en-US" w:eastAsia="zh-CN"/>
                    </w:rPr>
                    <w:t>0</w:t>
                  </w:r>
                </w:p>
              </w:tc>
            </w:tr>
            <w:tr w14:paraId="0713F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378" w:type="pct"/>
                  <w:shd w:val="clear" w:color="auto" w:fill="auto"/>
                  <w:vAlign w:val="center"/>
                </w:tcPr>
                <w:p w14:paraId="338D420D">
                  <w:pPr>
                    <w:spacing w:line="240" w:lineRule="auto"/>
                    <w:ind w:firstLine="0" w:firstLineChars="0"/>
                    <w:jc w:val="center"/>
                    <w:rPr>
                      <w:rFonts w:hint="default" w:ascii="Times New Roman" w:hAnsi="Times New Roman" w:eastAsia="宋体" w:cs="Times New Roman"/>
                      <w:bCs/>
                      <w:color w:val="auto"/>
                      <w:spacing w:val="0"/>
                      <w:kern w:val="2"/>
                      <w:sz w:val="21"/>
                      <w:szCs w:val="21"/>
                      <w:lang w:val="en-US" w:eastAsia="zh-CN" w:bidi="ar-SA"/>
                    </w:rPr>
                  </w:pPr>
                  <w:r>
                    <w:rPr>
                      <w:rFonts w:hint="eastAsia" w:cs="Times New Roman"/>
                      <w:bCs/>
                      <w:color w:val="auto"/>
                      <w:sz w:val="21"/>
                      <w:szCs w:val="21"/>
                      <w:lang w:val="en-US" w:eastAsia="zh-CN"/>
                    </w:rPr>
                    <w:t>10</w:t>
                  </w:r>
                </w:p>
              </w:tc>
              <w:tc>
                <w:tcPr>
                  <w:tcW w:w="618" w:type="pct"/>
                  <w:vAlign w:val="center"/>
                </w:tcPr>
                <w:p w14:paraId="57763050">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氟化物</w:t>
                  </w:r>
                </w:p>
              </w:tc>
              <w:tc>
                <w:tcPr>
                  <w:tcW w:w="1465" w:type="pct"/>
                  <w:vAlign w:val="center"/>
                </w:tcPr>
                <w:p w14:paraId="391D9CEE">
                  <w:pPr>
                    <w:spacing w:line="240" w:lineRule="auto"/>
                    <w:ind w:firstLine="0" w:firstLineChars="0"/>
                    <w:jc w:val="center"/>
                    <w:rPr>
                      <w:rFonts w:hint="default" w:cs="Times New Roman"/>
                      <w:bCs/>
                      <w:color w:val="auto"/>
                      <w:sz w:val="21"/>
                      <w:szCs w:val="21"/>
                      <w:lang w:val="en-US" w:eastAsia="zh-CN"/>
                    </w:rPr>
                  </w:pPr>
                  <w:r>
                    <w:rPr>
                      <w:rFonts w:hint="eastAsia" w:cs="Times New Roman"/>
                      <w:bCs/>
                      <w:color w:val="auto"/>
                      <w:sz w:val="21"/>
                      <w:szCs w:val="21"/>
                      <w:lang w:val="en-US" w:eastAsia="zh-CN"/>
                    </w:rPr>
                    <w:t>20</w:t>
                  </w:r>
                </w:p>
              </w:tc>
              <w:tc>
                <w:tcPr>
                  <w:tcW w:w="1234" w:type="pct"/>
                  <w:shd w:val="clear" w:color="auto" w:fill="auto"/>
                  <w:vAlign w:val="center"/>
                </w:tcPr>
                <w:p w14:paraId="21F079D1">
                  <w:pPr>
                    <w:spacing w:line="240" w:lineRule="auto"/>
                    <w:ind w:firstLine="0" w:firstLineChars="0"/>
                    <w:jc w:val="center"/>
                    <w:rPr>
                      <w:rFonts w:hint="eastAsia" w:ascii="Times New Roman" w:hAnsi="Times New Roman" w:eastAsia="宋体" w:cs="Times New Roman"/>
                      <w:bCs/>
                      <w:color w:val="auto"/>
                      <w:kern w:val="2"/>
                      <w:sz w:val="21"/>
                      <w:szCs w:val="21"/>
                      <w:lang w:val="en-US" w:eastAsia="zh-CN" w:bidi="ar-SA"/>
                    </w:rPr>
                  </w:pPr>
                  <w:r>
                    <w:rPr>
                      <w:rFonts w:hint="eastAsia" w:cs="Times New Roman"/>
                      <w:bCs/>
                      <w:color w:val="auto"/>
                      <w:sz w:val="21"/>
                      <w:szCs w:val="21"/>
                      <w:lang w:val="en-US" w:eastAsia="zh-CN"/>
                    </w:rPr>
                    <w:t>/</w:t>
                  </w:r>
                </w:p>
              </w:tc>
              <w:tc>
                <w:tcPr>
                  <w:tcW w:w="1302" w:type="pct"/>
                  <w:vAlign w:val="center"/>
                </w:tcPr>
                <w:p w14:paraId="2361B1B9">
                  <w:pPr>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20</w:t>
                  </w:r>
                </w:p>
              </w:tc>
            </w:tr>
          </w:tbl>
          <w:p w14:paraId="0B75E3F0">
            <w:pPr>
              <w:spacing w:line="480" w:lineRule="atLeast"/>
              <w:rPr>
                <w:rFonts w:hint="default" w:ascii="Times New Roman" w:hAnsi="Times New Roman" w:eastAsia="宋体" w:cs="Times New Roman"/>
                <w:b/>
                <w:bCs/>
                <w:color w:val="auto"/>
                <w:spacing w:val="0"/>
                <w:position w:val="0"/>
                <w:sz w:val="24"/>
              </w:rPr>
            </w:pPr>
            <w:r>
              <w:rPr>
                <w:rFonts w:hint="default" w:ascii="Times New Roman" w:hAnsi="Times New Roman" w:eastAsia="宋体" w:cs="Times New Roman"/>
                <w:b/>
                <w:bCs/>
                <w:color w:val="auto"/>
                <w:spacing w:val="0"/>
                <w:position w:val="0"/>
                <w:sz w:val="24"/>
              </w:rPr>
              <w:t>3、噪声执行标准</w:t>
            </w:r>
          </w:p>
          <w:p w14:paraId="6A156E76">
            <w:pPr>
              <w:spacing w:line="480" w:lineRule="exact"/>
              <w:ind w:firstLine="480"/>
              <w:rPr>
                <w:rFonts w:hint="default" w:eastAsia="宋体" w:cs="Times New Roman"/>
                <w:caps w:val="0"/>
                <w:smallCaps w:val="0"/>
                <w:color w:val="auto"/>
                <w:spacing w:val="0"/>
                <w:position w:val="0"/>
                <w:sz w:val="24"/>
                <w:szCs w:val="32"/>
                <w:lang w:val="en-US" w:eastAsia="zh-CN"/>
              </w:rPr>
            </w:pPr>
            <w:r>
              <w:rPr>
                <w:caps w:val="0"/>
                <w:smallCaps w:val="0"/>
                <w:color w:val="auto"/>
                <w:spacing w:val="0"/>
                <w:position w:val="0"/>
                <w:sz w:val="24"/>
                <w:szCs w:val="32"/>
              </w:rPr>
              <w:t>本项目所在区域为</w:t>
            </w:r>
            <w:r>
              <w:rPr>
                <w:rFonts w:hint="eastAsia"/>
                <w:caps w:val="0"/>
                <w:smallCaps w:val="0"/>
                <w:color w:val="auto"/>
                <w:spacing w:val="0"/>
                <w:position w:val="0"/>
                <w:sz w:val="24"/>
                <w:szCs w:val="32"/>
                <w:lang w:val="en-US" w:eastAsia="zh-CN"/>
              </w:rPr>
              <w:t>3类</w:t>
            </w:r>
            <w:r>
              <w:rPr>
                <w:caps w:val="0"/>
                <w:smallCaps w:val="0"/>
                <w:color w:val="auto"/>
                <w:spacing w:val="0"/>
                <w:position w:val="0"/>
                <w:sz w:val="24"/>
                <w:szCs w:val="32"/>
              </w:rPr>
              <w:t>区，运营期厂界噪声执行 《工业企业厂界环境噪声排放标准》</w:t>
            </w:r>
            <w:r>
              <w:rPr>
                <w:rFonts w:hint="eastAsia"/>
                <w:caps w:val="0"/>
                <w:smallCaps w:val="0"/>
                <w:color w:val="auto"/>
                <w:spacing w:val="0"/>
                <w:position w:val="0"/>
                <w:sz w:val="24"/>
                <w:szCs w:val="32"/>
                <w:lang w:eastAsia="zh-CN"/>
              </w:rPr>
              <w:t>（</w:t>
            </w:r>
            <w:r>
              <w:rPr>
                <w:rFonts w:eastAsia="Times New Roman"/>
                <w:caps w:val="0"/>
                <w:smallCaps w:val="0"/>
                <w:color w:val="auto"/>
                <w:spacing w:val="0"/>
                <w:position w:val="0"/>
                <w:sz w:val="24"/>
                <w:szCs w:val="32"/>
              </w:rPr>
              <w:t>GB12348—2008</w:t>
            </w:r>
            <w:r>
              <w:rPr>
                <w:rFonts w:hint="eastAsia"/>
                <w:caps w:val="0"/>
                <w:smallCaps w:val="0"/>
                <w:color w:val="auto"/>
                <w:spacing w:val="0"/>
                <w:position w:val="0"/>
                <w:sz w:val="24"/>
                <w:szCs w:val="32"/>
              </w:rPr>
              <w:t>）</w:t>
            </w:r>
            <w:r>
              <w:rPr>
                <w:caps w:val="0"/>
                <w:smallCaps w:val="0"/>
                <w:color w:val="auto"/>
                <w:spacing w:val="0"/>
                <w:position w:val="0"/>
                <w:sz w:val="24"/>
                <w:szCs w:val="32"/>
              </w:rPr>
              <w:t>中的</w:t>
            </w:r>
            <w:r>
              <w:rPr>
                <w:rFonts w:hint="eastAsia"/>
                <w:caps w:val="0"/>
                <w:smallCaps w:val="0"/>
                <w:color w:val="auto"/>
                <w:spacing w:val="0"/>
                <w:position w:val="0"/>
                <w:sz w:val="24"/>
                <w:szCs w:val="32"/>
                <w:lang w:val="en-US" w:eastAsia="zh-CN"/>
              </w:rPr>
              <w:t>3类</w:t>
            </w:r>
            <w:r>
              <w:rPr>
                <w:caps w:val="0"/>
                <w:smallCaps w:val="0"/>
                <w:color w:val="auto"/>
                <w:spacing w:val="0"/>
                <w:position w:val="0"/>
                <w:sz w:val="24"/>
                <w:szCs w:val="32"/>
              </w:rPr>
              <w:t>标准</w:t>
            </w:r>
            <w:r>
              <w:rPr>
                <w:rFonts w:hint="eastAsia" w:cs="Times New Roman"/>
                <w:caps w:val="0"/>
                <w:smallCaps w:val="0"/>
                <w:color w:val="auto"/>
                <w:spacing w:val="0"/>
                <w:position w:val="0"/>
                <w:sz w:val="24"/>
                <w:szCs w:val="32"/>
                <w:lang w:eastAsia="zh-CN"/>
              </w:rPr>
              <w:t>，</w:t>
            </w:r>
            <w:r>
              <w:rPr>
                <w:rFonts w:cs="Times New Roman"/>
                <w:caps w:val="0"/>
                <w:smallCaps w:val="0"/>
                <w:color w:val="auto"/>
                <w:spacing w:val="0"/>
                <w:position w:val="0"/>
                <w:sz w:val="24"/>
                <w:szCs w:val="32"/>
              </w:rPr>
              <w:t>见表</w:t>
            </w:r>
            <w:r>
              <w:rPr>
                <w:rFonts w:hint="eastAsia" w:cs="Times New Roman"/>
                <w:caps w:val="0"/>
                <w:smallCaps w:val="0"/>
                <w:color w:val="auto"/>
                <w:spacing w:val="0"/>
                <w:position w:val="0"/>
                <w:sz w:val="24"/>
                <w:szCs w:val="32"/>
                <w:lang w:val="en-US" w:eastAsia="zh-CN"/>
              </w:rPr>
              <w:t>3-13。</w:t>
            </w:r>
          </w:p>
          <w:p w14:paraId="4BA2EB18">
            <w:pPr>
              <w:spacing w:line="480" w:lineRule="exact"/>
              <w:ind w:firstLine="422"/>
              <w:jc w:val="center"/>
              <w:rPr>
                <w:rFonts w:hint="eastAsia" w:eastAsia="宋体" w:cs="Times New Roman"/>
                <w:b/>
                <w:bCs/>
                <w:caps w:val="0"/>
                <w:smallCaps w:val="0"/>
                <w:color w:val="auto"/>
                <w:spacing w:val="0"/>
                <w:position w:val="0"/>
                <w:sz w:val="21"/>
                <w:szCs w:val="21"/>
                <w:lang w:eastAsia="zh-CN"/>
              </w:rPr>
            </w:pPr>
            <w:r>
              <w:rPr>
                <w:rFonts w:hint="eastAsia" w:cs="Times New Roman"/>
                <w:b/>
                <w:bCs/>
                <w:caps w:val="0"/>
                <w:smallCaps w:val="0"/>
                <w:color w:val="auto"/>
                <w:spacing w:val="0"/>
                <w:position w:val="0"/>
                <w:sz w:val="21"/>
                <w:szCs w:val="21"/>
              </w:rPr>
              <w:t>表</w:t>
            </w:r>
            <w:r>
              <w:rPr>
                <w:rFonts w:hint="eastAsia" w:cs="Times New Roman"/>
                <w:b/>
                <w:bCs/>
                <w:caps w:val="0"/>
                <w:smallCaps w:val="0"/>
                <w:color w:val="auto"/>
                <w:spacing w:val="0"/>
                <w:position w:val="0"/>
                <w:sz w:val="21"/>
                <w:szCs w:val="21"/>
                <w:lang w:val="en-US" w:eastAsia="zh-CN"/>
              </w:rPr>
              <w:t>3-13</w:t>
            </w:r>
            <w:r>
              <w:rPr>
                <w:rFonts w:cs="Times New Roman"/>
                <w:b/>
                <w:bCs/>
                <w:caps w:val="0"/>
                <w:smallCaps w:val="0"/>
                <w:color w:val="auto"/>
                <w:spacing w:val="0"/>
                <w:position w:val="0"/>
                <w:sz w:val="21"/>
                <w:szCs w:val="21"/>
              </w:rPr>
              <w:t xml:space="preserve">  厂界噪声限值  单位：dB</w:t>
            </w:r>
            <w:r>
              <w:rPr>
                <w:rFonts w:hint="eastAsia" w:cs="Times New Roman"/>
                <w:b/>
                <w:bCs/>
                <w:caps w:val="0"/>
                <w:smallCaps w:val="0"/>
                <w:color w:val="auto"/>
                <w:spacing w:val="0"/>
                <w:position w:val="0"/>
                <w:sz w:val="21"/>
                <w:szCs w:val="21"/>
                <w:lang w:eastAsia="zh-CN"/>
              </w:rPr>
              <w:t>（</w:t>
            </w:r>
            <w:r>
              <w:rPr>
                <w:rFonts w:cs="Times New Roman"/>
                <w:b/>
                <w:bCs/>
                <w:caps w:val="0"/>
                <w:smallCaps w:val="0"/>
                <w:color w:val="auto"/>
                <w:spacing w:val="0"/>
                <w:position w:val="0"/>
                <w:sz w:val="21"/>
                <w:szCs w:val="21"/>
              </w:rPr>
              <w:t>A</w:t>
            </w:r>
            <w:r>
              <w:rPr>
                <w:rFonts w:hint="eastAsia" w:cs="Times New Roman"/>
                <w:b/>
                <w:bCs/>
                <w:caps w:val="0"/>
                <w:smallCaps w:val="0"/>
                <w:color w:val="auto"/>
                <w:spacing w:val="0"/>
                <w:position w:val="0"/>
                <w:sz w:val="21"/>
                <w:szCs w:val="21"/>
                <w:lang w:eastAsia="zh-CN"/>
              </w:rPr>
              <w:t>）</w:t>
            </w:r>
          </w:p>
          <w:tbl>
            <w:tblPr>
              <w:tblStyle w:val="26"/>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0"/>
              <w:gridCol w:w="3423"/>
              <w:gridCol w:w="2330"/>
              <w:gridCol w:w="1536"/>
            </w:tblGrid>
            <w:tr w14:paraId="69A33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750" w:type="dxa"/>
                  <w:vMerge w:val="restart"/>
                  <w:noWrap w:val="0"/>
                  <w:vAlign w:val="center"/>
                </w:tcPr>
                <w:p w14:paraId="27DA079C">
                  <w:pPr>
                    <w:spacing w:line="240" w:lineRule="auto"/>
                    <w:ind w:firstLine="0" w:firstLineChars="0"/>
                    <w:jc w:val="center"/>
                    <w:rPr>
                      <w:rFonts w:cs="Times New Roman"/>
                      <w:b/>
                      <w:bCs/>
                      <w:caps w:val="0"/>
                      <w:smallCaps w:val="0"/>
                      <w:color w:val="auto"/>
                      <w:spacing w:val="0"/>
                      <w:position w:val="0"/>
                      <w:sz w:val="21"/>
                      <w:szCs w:val="21"/>
                    </w:rPr>
                  </w:pPr>
                  <w:r>
                    <w:rPr>
                      <w:rFonts w:cs="Times New Roman"/>
                      <w:b/>
                      <w:bCs/>
                      <w:caps w:val="0"/>
                      <w:smallCaps w:val="0"/>
                      <w:color w:val="auto"/>
                      <w:spacing w:val="0"/>
                      <w:position w:val="0"/>
                      <w:sz w:val="21"/>
                      <w:szCs w:val="21"/>
                    </w:rPr>
                    <w:t>阶段</w:t>
                  </w:r>
                </w:p>
              </w:tc>
              <w:tc>
                <w:tcPr>
                  <w:tcW w:w="3423" w:type="dxa"/>
                  <w:vMerge w:val="restart"/>
                  <w:noWrap w:val="0"/>
                  <w:vAlign w:val="center"/>
                </w:tcPr>
                <w:p w14:paraId="351C3ADB">
                  <w:pPr>
                    <w:spacing w:line="240" w:lineRule="auto"/>
                    <w:ind w:firstLine="0" w:firstLineChars="0"/>
                    <w:jc w:val="center"/>
                    <w:rPr>
                      <w:rFonts w:cs="Times New Roman"/>
                      <w:b/>
                      <w:bCs/>
                      <w:caps w:val="0"/>
                      <w:smallCaps w:val="0"/>
                      <w:color w:val="auto"/>
                      <w:spacing w:val="0"/>
                      <w:position w:val="0"/>
                      <w:sz w:val="21"/>
                      <w:szCs w:val="21"/>
                    </w:rPr>
                  </w:pPr>
                  <w:r>
                    <w:rPr>
                      <w:rFonts w:cs="Times New Roman"/>
                      <w:b/>
                      <w:bCs/>
                      <w:caps w:val="0"/>
                      <w:smallCaps w:val="0"/>
                      <w:color w:val="auto"/>
                      <w:spacing w:val="0"/>
                      <w:position w:val="0"/>
                      <w:sz w:val="21"/>
                      <w:szCs w:val="21"/>
                    </w:rPr>
                    <w:t>执行标准及级别</w:t>
                  </w:r>
                </w:p>
              </w:tc>
              <w:tc>
                <w:tcPr>
                  <w:tcW w:w="3866" w:type="dxa"/>
                  <w:gridSpan w:val="2"/>
                  <w:noWrap w:val="0"/>
                  <w:vAlign w:val="center"/>
                </w:tcPr>
                <w:p w14:paraId="6F4901BC">
                  <w:pPr>
                    <w:spacing w:line="240" w:lineRule="auto"/>
                    <w:ind w:firstLine="0" w:firstLineChars="0"/>
                    <w:jc w:val="center"/>
                    <w:rPr>
                      <w:rFonts w:cs="Times New Roman"/>
                      <w:b/>
                      <w:bCs/>
                      <w:caps w:val="0"/>
                      <w:smallCaps w:val="0"/>
                      <w:color w:val="auto"/>
                      <w:spacing w:val="0"/>
                      <w:position w:val="0"/>
                      <w:sz w:val="21"/>
                      <w:szCs w:val="21"/>
                    </w:rPr>
                  </w:pPr>
                  <w:r>
                    <w:rPr>
                      <w:rFonts w:cs="Times New Roman"/>
                      <w:b/>
                      <w:bCs/>
                      <w:caps w:val="0"/>
                      <w:smallCaps w:val="0"/>
                      <w:color w:val="auto"/>
                      <w:spacing w:val="0"/>
                      <w:position w:val="0"/>
                      <w:sz w:val="21"/>
                      <w:szCs w:val="21"/>
                    </w:rPr>
                    <w:t>等效声级 Leq</w:t>
                  </w:r>
                </w:p>
              </w:tc>
            </w:tr>
            <w:tr w14:paraId="4E872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750" w:type="dxa"/>
                  <w:vMerge w:val="continue"/>
                  <w:noWrap w:val="0"/>
                  <w:vAlign w:val="center"/>
                </w:tcPr>
                <w:p w14:paraId="280B8CDF">
                  <w:pPr>
                    <w:spacing w:line="240" w:lineRule="auto"/>
                    <w:ind w:firstLine="420"/>
                    <w:jc w:val="center"/>
                    <w:rPr>
                      <w:rFonts w:cs="Times New Roman"/>
                      <w:caps w:val="0"/>
                      <w:smallCaps w:val="0"/>
                      <w:color w:val="auto"/>
                      <w:spacing w:val="0"/>
                      <w:position w:val="0"/>
                      <w:sz w:val="21"/>
                      <w:szCs w:val="21"/>
                    </w:rPr>
                  </w:pPr>
                </w:p>
              </w:tc>
              <w:tc>
                <w:tcPr>
                  <w:tcW w:w="3423" w:type="dxa"/>
                  <w:vMerge w:val="continue"/>
                  <w:noWrap w:val="0"/>
                  <w:vAlign w:val="center"/>
                </w:tcPr>
                <w:p w14:paraId="0776E581">
                  <w:pPr>
                    <w:spacing w:line="240" w:lineRule="auto"/>
                    <w:ind w:firstLine="420"/>
                    <w:jc w:val="center"/>
                    <w:rPr>
                      <w:rFonts w:cs="Times New Roman"/>
                      <w:caps w:val="0"/>
                      <w:smallCaps w:val="0"/>
                      <w:color w:val="auto"/>
                      <w:spacing w:val="0"/>
                      <w:position w:val="0"/>
                      <w:sz w:val="21"/>
                      <w:szCs w:val="21"/>
                    </w:rPr>
                  </w:pPr>
                </w:p>
              </w:tc>
              <w:tc>
                <w:tcPr>
                  <w:tcW w:w="2330" w:type="dxa"/>
                  <w:noWrap w:val="0"/>
                  <w:vAlign w:val="center"/>
                </w:tcPr>
                <w:p w14:paraId="4A35AE45">
                  <w:pPr>
                    <w:spacing w:line="240" w:lineRule="auto"/>
                    <w:ind w:firstLine="0" w:firstLineChars="0"/>
                    <w:jc w:val="center"/>
                    <w:rPr>
                      <w:rFonts w:cs="Times New Roman"/>
                      <w:b/>
                      <w:bCs/>
                      <w:caps w:val="0"/>
                      <w:smallCaps w:val="0"/>
                      <w:color w:val="auto"/>
                      <w:spacing w:val="0"/>
                      <w:position w:val="0"/>
                      <w:sz w:val="21"/>
                      <w:szCs w:val="21"/>
                    </w:rPr>
                  </w:pPr>
                  <w:r>
                    <w:rPr>
                      <w:rFonts w:cs="Times New Roman"/>
                      <w:b/>
                      <w:bCs/>
                      <w:caps w:val="0"/>
                      <w:smallCaps w:val="0"/>
                      <w:color w:val="auto"/>
                      <w:spacing w:val="0"/>
                      <w:position w:val="0"/>
                      <w:sz w:val="21"/>
                      <w:szCs w:val="21"/>
                    </w:rPr>
                    <w:t>昼间</w:t>
                  </w:r>
                </w:p>
              </w:tc>
              <w:tc>
                <w:tcPr>
                  <w:tcW w:w="1536" w:type="dxa"/>
                  <w:noWrap w:val="0"/>
                  <w:vAlign w:val="center"/>
                </w:tcPr>
                <w:p w14:paraId="7610DB5F">
                  <w:pPr>
                    <w:spacing w:line="240" w:lineRule="auto"/>
                    <w:ind w:firstLine="0" w:firstLineChars="0"/>
                    <w:jc w:val="center"/>
                    <w:rPr>
                      <w:rFonts w:cs="Times New Roman"/>
                      <w:b/>
                      <w:bCs/>
                      <w:caps w:val="0"/>
                      <w:smallCaps w:val="0"/>
                      <w:color w:val="auto"/>
                      <w:spacing w:val="0"/>
                      <w:position w:val="0"/>
                      <w:sz w:val="21"/>
                      <w:szCs w:val="21"/>
                    </w:rPr>
                  </w:pPr>
                  <w:r>
                    <w:rPr>
                      <w:rFonts w:cs="Times New Roman"/>
                      <w:b/>
                      <w:bCs/>
                      <w:caps w:val="0"/>
                      <w:smallCaps w:val="0"/>
                      <w:color w:val="auto"/>
                      <w:spacing w:val="0"/>
                      <w:position w:val="0"/>
                      <w:sz w:val="21"/>
                      <w:szCs w:val="21"/>
                    </w:rPr>
                    <w:t>夜间</w:t>
                  </w:r>
                </w:p>
              </w:tc>
            </w:tr>
            <w:tr w14:paraId="05B8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750" w:type="dxa"/>
                  <w:shd w:val="clear" w:color="auto" w:fill="auto"/>
                  <w:noWrap w:val="0"/>
                  <w:vAlign w:val="center"/>
                </w:tcPr>
                <w:p w14:paraId="2D62BED7">
                  <w:pPr>
                    <w:spacing w:line="240" w:lineRule="auto"/>
                    <w:ind w:firstLine="0" w:firstLineChars="0"/>
                    <w:jc w:val="center"/>
                    <w:rPr>
                      <w:rFonts w:ascii="Times New Roman" w:hAnsi="Times New Roman" w:eastAsia="宋体" w:cs="Times New Roman"/>
                      <w:caps w:val="0"/>
                      <w:smallCaps w:val="0"/>
                      <w:color w:val="auto"/>
                      <w:spacing w:val="0"/>
                      <w:kern w:val="2"/>
                      <w:position w:val="0"/>
                      <w:sz w:val="21"/>
                      <w:szCs w:val="21"/>
                      <w:lang w:val="en-US" w:eastAsia="zh-CN" w:bidi="ar-SA"/>
                    </w:rPr>
                  </w:pPr>
                  <w:r>
                    <w:rPr>
                      <w:rFonts w:cs="Times New Roman"/>
                      <w:caps w:val="0"/>
                      <w:smallCaps w:val="0"/>
                      <w:color w:val="auto"/>
                      <w:spacing w:val="0"/>
                      <w:position w:val="0"/>
                      <w:sz w:val="21"/>
                      <w:szCs w:val="21"/>
                    </w:rPr>
                    <w:t>运营期</w:t>
                  </w:r>
                </w:p>
              </w:tc>
              <w:tc>
                <w:tcPr>
                  <w:tcW w:w="3423" w:type="dxa"/>
                  <w:shd w:val="clear" w:color="auto" w:fill="auto"/>
                  <w:noWrap w:val="0"/>
                  <w:vAlign w:val="center"/>
                </w:tcPr>
                <w:p w14:paraId="6C55624B">
                  <w:pPr>
                    <w:spacing w:line="240" w:lineRule="auto"/>
                    <w:ind w:firstLine="0" w:firstLineChars="0"/>
                    <w:jc w:val="center"/>
                    <w:rPr>
                      <w:rFonts w:ascii="Times New Roman" w:hAnsi="Times New Roman" w:eastAsia="宋体" w:cs="Times New Roman"/>
                      <w:caps w:val="0"/>
                      <w:smallCaps w:val="0"/>
                      <w:color w:val="auto"/>
                      <w:spacing w:val="0"/>
                      <w:kern w:val="2"/>
                      <w:position w:val="0"/>
                      <w:sz w:val="21"/>
                      <w:szCs w:val="21"/>
                      <w:lang w:val="en-US" w:eastAsia="zh-CN" w:bidi="ar-SA"/>
                    </w:rPr>
                  </w:pPr>
                  <w:r>
                    <w:rPr>
                      <w:rFonts w:hint="eastAsia" w:cs="Times New Roman"/>
                      <w:caps w:val="0"/>
                      <w:smallCaps w:val="0"/>
                      <w:color w:val="auto"/>
                      <w:spacing w:val="0"/>
                      <w:position w:val="0"/>
                      <w:sz w:val="21"/>
                      <w:szCs w:val="21"/>
                      <w:lang w:eastAsia="zh-CN"/>
                    </w:rPr>
                    <w:t>（</w:t>
                  </w:r>
                  <w:r>
                    <w:rPr>
                      <w:rFonts w:cs="Times New Roman"/>
                      <w:caps w:val="0"/>
                      <w:smallCaps w:val="0"/>
                      <w:color w:val="auto"/>
                      <w:spacing w:val="0"/>
                      <w:position w:val="0"/>
                      <w:sz w:val="21"/>
                      <w:szCs w:val="21"/>
                    </w:rPr>
                    <w:t>GB12348-2008</w:t>
                  </w:r>
                  <w:r>
                    <w:rPr>
                      <w:rFonts w:hint="eastAsia" w:cs="Times New Roman"/>
                      <w:caps w:val="0"/>
                      <w:smallCaps w:val="0"/>
                      <w:color w:val="auto"/>
                      <w:spacing w:val="0"/>
                      <w:position w:val="0"/>
                      <w:sz w:val="21"/>
                      <w:szCs w:val="21"/>
                    </w:rPr>
                    <w:t>）</w:t>
                  </w:r>
                  <w:r>
                    <w:rPr>
                      <w:rFonts w:hint="eastAsia" w:cs="Times New Roman"/>
                      <w:caps w:val="0"/>
                      <w:smallCaps w:val="0"/>
                      <w:color w:val="auto"/>
                      <w:spacing w:val="0"/>
                      <w:position w:val="0"/>
                      <w:sz w:val="21"/>
                      <w:szCs w:val="21"/>
                      <w:lang w:val="en-US" w:eastAsia="zh-CN"/>
                    </w:rPr>
                    <w:t>3类</w:t>
                  </w:r>
                  <w:r>
                    <w:rPr>
                      <w:rFonts w:cs="Times New Roman"/>
                      <w:caps w:val="0"/>
                      <w:smallCaps w:val="0"/>
                      <w:color w:val="auto"/>
                      <w:spacing w:val="0"/>
                      <w:position w:val="0"/>
                      <w:sz w:val="21"/>
                      <w:szCs w:val="21"/>
                    </w:rPr>
                    <w:t>标准</w:t>
                  </w:r>
                </w:p>
              </w:tc>
              <w:tc>
                <w:tcPr>
                  <w:tcW w:w="2330" w:type="dxa"/>
                  <w:shd w:val="clear" w:color="auto" w:fill="auto"/>
                  <w:noWrap w:val="0"/>
                  <w:vAlign w:val="center"/>
                </w:tcPr>
                <w:p w14:paraId="3615A27A">
                  <w:pPr>
                    <w:spacing w:line="240" w:lineRule="auto"/>
                    <w:ind w:firstLine="0" w:firstLineChars="0"/>
                    <w:jc w:val="center"/>
                    <w:rPr>
                      <w:rFonts w:hint="eastAsia" w:ascii="Times New Roman" w:hAnsi="Times New Roman" w:eastAsia="宋体" w:cs="Times New Roman"/>
                      <w:caps w:val="0"/>
                      <w:smallCaps w:val="0"/>
                      <w:color w:val="auto"/>
                      <w:spacing w:val="0"/>
                      <w:kern w:val="2"/>
                      <w:position w:val="0"/>
                      <w:sz w:val="21"/>
                      <w:szCs w:val="21"/>
                      <w:lang w:val="en-US" w:eastAsia="zh-CN" w:bidi="ar-SA"/>
                    </w:rPr>
                  </w:pPr>
                  <w:r>
                    <w:rPr>
                      <w:rFonts w:hint="eastAsia" w:cs="Times New Roman"/>
                      <w:caps w:val="0"/>
                      <w:smallCaps w:val="0"/>
                      <w:color w:val="auto"/>
                      <w:spacing w:val="0"/>
                      <w:position w:val="0"/>
                      <w:sz w:val="21"/>
                      <w:szCs w:val="21"/>
                      <w:lang w:val="en-US" w:eastAsia="zh-CN"/>
                    </w:rPr>
                    <w:t>65</w:t>
                  </w:r>
                </w:p>
              </w:tc>
              <w:tc>
                <w:tcPr>
                  <w:tcW w:w="1536" w:type="dxa"/>
                  <w:shd w:val="clear" w:color="auto" w:fill="auto"/>
                  <w:noWrap w:val="0"/>
                  <w:vAlign w:val="center"/>
                </w:tcPr>
                <w:p w14:paraId="7E8B90C1">
                  <w:pPr>
                    <w:spacing w:line="240" w:lineRule="auto"/>
                    <w:ind w:firstLine="0" w:firstLineChars="0"/>
                    <w:jc w:val="center"/>
                    <w:rPr>
                      <w:rFonts w:hint="default" w:ascii="Times New Roman" w:hAnsi="Times New Roman" w:eastAsia="宋体" w:cs="Times New Roman"/>
                      <w:caps w:val="0"/>
                      <w:smallCaps w:val="0"/>
                      <w:color w:val="auto"/>
                      <w:spacing w:val="0"/>
                      <w:kern w:val="2"/>
                      <w:position w:val="0"/>
                      <w:sz w:val="21"/>
                      <w:szCs w:val="21"/>
                      <w:lang w:val="en-US" w:eastAsia="zh-CN" w:bidi="ar-SA"/>
                    </w:rPr>
                  </w:pPr>
                  <w:r>
                    <w:rPr>
                      <w:rFonts w:hint="eastAsia" w:cs="Times New Roman"/>
                      <w:caps w:val="0"/>
                      <w:smallCaps w:val="0"/>
                      <w:color w:val="auto"/>
                      <w:spacing w:val="0"/>
                      <w:position w:val="0"/>
                      <w:sz w:val="21"/>
                      <w:szCs w:val="21"/>
                      <w:lang w:val="en-US" w:eastAsia="zh-CN"/>
                    </w:rPr>
                    <w:t>55</w:t>
                  </w:r>
                </w:p>
              </w:tc>
            </w:tr>
          </w:tbl>
          <w:p w14:paraId="42041E5B">
            <w:pPr>
              <w:keepNext w:val="0"/>
              <w:keepLines w:val="0"/>
              <w:pageBreakBefore w:val="0"/>
              <w:widowControl w:val="0"/>
              <w:kinsoku/>
              <w:wordWrap/>
              <w:overflowPunct/>
              <w:topLinePunct w:val="0"/>
              <w:autoSpaceDE/>
              <w:autoSpaceDN/>
              <w:bidi w:val="0"/>
              <w:snapToGrid/>
              <w:spacing w:line="480" w:lineRule="atLeast"/>
              <w:textAlignment w:val="auto"/>
              <w:rPr>
                <w:rFonts w:hint="default" w:ascii="Times New Roman" w:hAnsi="Times New Roman" w:eastAsia="宋体" w:cs="Times New Roman"/>
                <w:b/>
                <w:bCs/>
                <w:color w:val="auto"/>
                <w:spacing w:val="0"/>
                <w:position w:val="0"/>
                <w:sz w:val="24"/>
              </w:rPr>
            </w:pPr>
            <w:r>
              <w:rPr>
                <w:rFonts w:hint="default" w:ascii="Times New Roman" w:hAnsi="Times New Roman" w:eastAsia="宋体" w:cs="Times New Roman"/>
                <w:b/>
                <w:bCs/>
                <w:color w:val="auto"/>
                <w:spacing w:val="0"/>
                <w:position w:val="0"/>
                <w:sz w:val="24"/>
              </w:rPr>
              <w:t>4、固体废弃物执行标准</w:t>
            </w:r>
          </w:p>
          <w:p w14:paraId="77BEE691">
            <w:pPr>
              <w:keepNext w:val="0"/>
              <w:keepLines w:val="0"/>
              <w:pageBreakBefore w:val="0"/>
              <w:widowControl w:val="0"/>
              <w:kinsoku/>
              <w:wordWrap/>
              <w:overflowPunct/>
              <w:topLinePunct w:val="0"/>
              <w:autoSpaceDE/>
              <w:autoSpaceDN/>
              <w:bidi w:val="0"/>
              <w:adjustRightInd w:val="0"/>
              <w:snapToGrid/>
              <w:spacing w:line="480" w:lineRule="atLeast"/>
              <w:ind w:firstLine="480" w:firstLineChars="200"/>
              <w:textAlignment w:val="auto"/>
              <w:rPr>
                <w:rFonts w:hint="default"/>
                <w:color w:val="auto"/>
                <w:lang w:val="en-US" w:eastAsia="zh-CN"/>
              </w:rPr>
            </w:pPr>
            <w:r>
              <w:rPr>
                <w:rFonts w:hint="default" w:ascii="Times New Roman" w:hAnsi="Times New Roman" w:eastAsia="宋体" w:cs="Times New Roman"/>
                <w:color w:val="auto"/>
                <w:spacing w:val="0"/>
                <w:position w:val="0"/>
                <w:sz w:val="24"/>
              </w:rPr>
              <w:t>固体废物污染防治应严格按照《中华人民共和国固体废物污染环境防治法</w:t>
            </w:r>
            <w:r>
              <w:rPr>
                <w:rFonts w:hint="eastAsia" w:cs="Times New Roman"/>
                <w:color w:val="auto"/>
                <w:spacing w:val="0"/>
                <w:position w:val="0"/>
                <w:sz w:val="24"/>
                <w:lang w:eastAsia="zh-CN"/>
              </w:rPr>
              <w:t>（</w:t>
            </w:r>
            <w:r>
              <w:rPr>
                <w:rFonts w:hint="default" w:ascii="Times New Roman" w:hAnsi="Times New Roman" w:eastAsia="宋体" w:cs="Times New Roman"/>
                <w:color w:val="auto"/>
                <w:spacing w:val="0"/>
                <w:position w:val="0"/>
                <w:sz w:val="24"/>
              </w:rPr>
              <w:t>2020年新版）》执行。一般工业固体废物执行《一般工业固体废物贮存和填埋场污染控制标准》</w:t>
            </w:r>
            <w:r>
              <w:rPr>
                <w:rFonts w:hint="eastAsia" w:cs="Times New Roman"/>
                <w:color w:val="auto"/>
                <w:spacing w:val="0"/>
                <w:position w:val="0"/>
                <w:sz w:val="24"/>
                <w:lang w:eastAsia="zh-CN"/>
              </w:rPr>
              <w:t>（</w:t>
            </w:r>
            <w:r>
              <w:rPr>
                <w:rFonts w:hint="default" w:ascii="Times New Roman" w:hAnsi="Times New Roman" w:eastAsia="宋体" w:cs="Times New Roman"/>
                <w:color w:val="auto"/>
                <w:spacing w:val="0"/>
                <w:position w:val="0"/>
                <w:sz w:val="24"/>
              </w:rPr>
              <w:t>GB18599-2020）中的相关要求，危险废物按照《危险废物贮存污染控制标准》</w:t>
            </w:r>
            <w:r>
              <w:rPr>
                <w:rFonts w:hint="eastAsia" w:cs="Times New Roman"/>
                <w:color w:val="auto"/>
                <w:spacing w:val="0"/>
                <w:position w:val="0"/>
                <w:sz w:val="24"/>
                <w:lang w:eastAsia="zh-CN"/>
              </w:rPr>
              <w:t>（</w:t>
            </w:r>
            <w:r>
              <w:rPr>
                <w:rFonts w:hint="default" w:ascii="Times New Roman" w:hAnsi="Times New Roman" w:eastAsia="宋体" w:cs="Times New Roman"/>
                <w:color w:val="auto"/>
                <w:spacing w:val="0"/>
                <w:position w:val="0"/>
                <w:sz w:val="24"/>
              </w:rPr>
              <w:t>GB18597-2023）中的有关规定执行</w:t>
            </w:r>
            <w:r>
              <w:rPr>
                <w:rFonts w:hint="eastAsia" w:cs="Times New Roman"/>
                <w:color w:val="auto"/>
                <w:spacing w:val="0"/>
                <w:position w:val="0"/>
                <w:sz w:val="24"/>
                <w:lang w:eastAsia="zh-CN"/>
              </w:rPr>
              <w:t>。</w:t>
            </w:r>
          </w:p>
        </w:tc>
      </w:tr>
      <w:tr w14:paraId="0C4C57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74" w:hRule="atLeast"/>
          <w:jc w:val="center"/>
        </w:trPr>
        <w:tc>
          <w:tcPr>
            <w:tcW w:w="736" w:type="dxa"/>
            <w:vAlign w:val="center"/>
          </w:tcPr>
          <w:p w14:paraId="79973BAE">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总量</w:t>
            </w:r>
          </w:p>
          <w:p w14:paraId="4F40CDB0">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控制</w:t>
            </w:r>
          </w:p>
          <w:p w14:paraId="7D4C78D6">
            <w:pPr>
              <w:adjustRightInd w:val="0"/>
              <w:snapToGrid w:val="0"/>
              <w:jc w:val="center"/>
              <w:rPr>
                <w:rFonts w:hint="default" w:ascii="Times New Roman" w:hAnsi="Times New Roman" w:eastAsia="宋体" w:cs="Times New Roman"/>
                <w:b/>
                <w:bCs/>
                <w:color w:val="auto"/>
                <w:spacing w:val="0"/>
                <w:kern w:val="0"/>
                <w:position w:val="0"/>
                <w:sz w:val="24"/>
              </w:rPr>
            </w:pPr>
            <w:r>
              <w:rPr>
                <w:rFonts w:hint="default" w:ascii="Times New Roman" w:hAnsi="Times New Roman" w:eastAsia="宋体" w:cs="Times New Roman"/>
                <w:b/>
                <w:bCs/>
                <w:color w:val="auto"/>
                <w:spacing w:val="0"/>
                <w:kern w:val="0"/>
                <w:position w:val="0"/>
                <w:sz w:val="24"/>
              </w:rPr>
              <w:t>指标</w:t>
            </w:r>
          </w:p>
        </w:tc>
        <w:tc>
          <w:tcPr>
            <w:tcW w:w="9225" w:type="dxa"/>
            <w:vAlign w:val="top"/>
          </w:tcPr>
          <w:p w14:paraId="171EA731">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eastAsia="宋体" w:cs="Times New Roman"/>
                <w:bCs/>
                <w:caps w:val="0"/>
                <w:smallCaps w:val="0"/>
                <w:snapToGrid w:val="0"/>
                <w:color w:val="auto"/>
                <w:spacing w:val="0"/>
                <w:w w:val="100"/>
                <w:kern w:val="0"/>
                <w:position w:val="0"/>
                <w:sz w:val="24"/>
                <w:lang w:val="en-US" w:eastAsia="zh-CN"/>
              </w:rPr>
            </w:pP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根据《建设项目主要污染物排放总量指标审核及管理暂行办法》的通知</w:t>
            </w:r>
            <w:r>
              <w:rPr>
                <w:rFonts w:hint="eastAsia" w:cs="Times New Roman"/>
                <w:bCs/>
                <w:caps w:val="0"/>
                <w:smallCaps w:val="0"/>
                <w:snapToGrid w:val="0"/>
                <w:color w:val="auto"/>
                <w:spacing w:val="0"/>
                <w:w w:val="100"/>
                <w:kern w:val="0"/>
                <w:position w:val="0"/>
                <w:sz w:val="24"/>
                <w:lang w:val="en-US" w:eastAsia="zh-CN"/>
              </w:rPr>
              <w:t>（</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环发</w:t>
            </w:r>
            <w:r>
              <w:rPr>
                <w:rFonts w:hint="eastAsia" w:cs="Times New Roman"/>
                <w:bCs/>
                <w:caps w:val="0"/>
                <w:smallCaps w:val="0"/>
                <w:snapToGrid w:val="0"/>
                <w:color w:val="auto"/>
                <w:spacing w:val="0"/>
                <w:w w:val="100"/>
                <w:kern w:val="0"/>
                <w:position w:val="0"/>
                <w:sz w:val="24"/>
                <w:lang w:val="en-US" w:eastAsia="zh-CN"/>
              </w:rPr>
              <w:t>〔</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2014</w:t>
            </w:r>
            <w:r>
              <w:rPr>
                <w:rFonts w:hint="eastAsia" w:cs="Times New Roman"/>
                <w:bCs/>
                <w:caps w:val="0"/>
                <w:smallCaps w:val="0"/>
                <w:snapToGrid w:val="0"/>
                <w:color w:val="auto"/>
                <w:spacing w:val="0"/>
                <w:w w:val="100"/>
                <w:kern w:val="0"/>
                <w:position w:val="0"/>
                <w:sz w:val="24"/>
                <w:lang w:val="en-US" w:eastAsia="zh-CN"/>
              </w:rPr>
              <w:t>〕</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197</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号）及安徽省环保厅关于进一步加强建设项目新增大气主要污染物总量指标管理工作的通知</w:t>
            </w:r>
            <w:r>
              <w:rPr>
                <w:rFonts w:hint="eastAsia" w:cs="Times New Roman"/>
                <w:bCs/>
                <w:caps w:val="0"/>
                <w:smallCaps w:val="0"/>
                <w:snapToGrid w:val="0"/>
                <w:color w:val="auto"/>
                <w:spacing w:val="0"/>
                <w:w w:val="100"/>
                <w:kern w:val="0"/>
                <w:position w:val="0"/>
                <w:sz w:val="24"/>
                <w:lang w:val="en-US" w:eastAsia="zh-CN"/>
              </w:rPr>
              <w:t>（</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皖环发</w:t>
            </w:r>
            <w:r>
              <w:rPr>
                <w:rFonts w:hint="eastAsia" w:cs="Times New Roman"/>
                <w:bCs/>
                <w:caps w:val="0"/>
                <w:smallCaps w:val="0"/>
                <w:snapToGrid w:val="0"/>
                <w:color w:val="auto"/>
                <w:spacing w:val="0"/>
                <w:w w:val="100"/>
                <w:kern w:val="0"/>
                <w:position w:val="0"/>
                <w:sz w:val="24"/>
                <w:lang w:val="en-US" w:eastAsia="zh-CN"/>
              </w:rPr>
              <w:t>〔</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2017</w:t>
            </w:r>
            <w:r>
              <w:rPr>
                <w:rFonts w:hint="eastAsia" w:cs="Times New Roman"/>
                <w:bCs/>
                <w:caps w:val="0"/>
                <w:smallCaps w:val="0"/>
                <w:snapToGrid w:val="0"/>
                <w:color w:val="auto"/>
                <w:spacing w:val="0"/>
                <w:w w:val="100"/>
                <w:kern w:val="0"/>
                <w:position w:val="0"/>
                <w:sz w:val="24"/>
                <w:lang w:val="en-US" w:eastAsia="zh-CN"/>
              </w:rPr>
              <w:t>〕</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19</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 xml:space="preserve">号），项目总量控制指标主要为 </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COD</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、氨氮和二氧化硫、氮氧化物、</w:t>
            </w:r>
            <w:r>
              <w:rPr>
                <w:rFonts w:hint="eastAsia" w:ascii="Times New Roman" w:hAnsi="Times New Roman" w:eastAsia="宋体" w:cs="Times New Roman"/>
                <w:bCs/>
                <w:caps w:val="0"/>
                <w:smallCaps w:val="0"/>
                <w:snapToGrid w:val="0"/>
                <w:color w:val="auto"/>
                <w:spacing w:val="0"/>
                <w:w w:val="100"/>
                <w:kern w:val="0"/>
                <w:position w:val="0"/>
                <w:sz w:val="24"/>
                <w:szCs w:val="24"/>
                <w:lang w:val="en-US" w:eastAsia="zh-CN"/>
              </w:rPr>
              <w:t>烟</w:t>
            </w:r>
            <w:r>
              <w:rPr>
                <w:rFonts w:hint="eastAsia" w:cs="Times New Roman"/>
                <w:bCs/>
                <w:caps w:val="0"/>
                <w:smallCaps w:val="0"/>
                <w:snapToGrid w:val="0"/>
                <w:color w:val="auto"/>
                <w:spacing w:val="0"/>
                <w:w w:val="100"/>
                <w:kern w:val="0"/>
                <w:position w:val="0"/>
                <w:sz w:val="24"/>
                <w:szCs w:val="24"/>
                <w:lang w:val="en-US" w:eastAsia="zh-CN"/>
              </w:rPr>
              <w:t>（</w:t>
            </w:r>
            <w:r>
              <w:rPr>
                <w:rFonts w:hint="eastAsia" w:ascii="Times New Roman" w:hAnsi="Times New Roman" w:eastAsia="宋体" w:cs="Times New Roman"/>
                <w:bCs/>
                <w:caps w:val="0"/>
                <w:smallCaps w:val="0"/>
                <w:snapToGrid w:val="0"/>
                <w:color w:val="auto"/>
                <w:spacing w:val="0"/>
                <w:w w:val="100"/>
                <w:kern w:val="0"/>
                <w:position w:val="0"/>
                <w:sz w:val="24"/>
                <w:szCs w:val="24"/>
                <w:lang w:val="en-US" w:eastAsia="zh-CN"/>
              </w:rPr>
              <w:t>粉）尘</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VOCs。</w:t>
            </w:r>
          </w:p>
          <w:p w14:paraId="1D09EFD9">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default" w:ascii="Times New Roman" w:hAnsi="Times New Roman" w:eastAsia="宋体" w:cs="Times New Roman"/>
                <w:bCs/>
                <w:caps w:val="0"/>
                <w:smallCaps w:val="0"/>
                <w:snapToGrid w:val="0"/>
                <w:color w:val="auto"/>
                <w:spacing w:val="0"/>
                <w:w w:val="100"/>
                <w:kern w:val="0"/>
                <w:position w:val="0"/>
                <w:sz w:val="24"/>
                <w:lang w:val="en-US" w:eastAsia="zh-CN"/>
              </w:rPr>
            </w:pPr>
            <w:r>
              <w:rPr>
                <w:rFonts w:hint="eastAsia" w:cs="Times New Roman"/>
                <w:bCs/>
                <w:caps w:val="0"/>
                <w:smallCaps w:val="0"/>
                <w:snapToGrid w:val="0"/>
                <w:color w:val="auto"/>
                <w:spacing w:val="0"/>
                <w:w w:val="100"/>
                <w:kern w:val="0"/>
                <w:position w:val="0"/>
                <w:sz w:val="24"/>
                <w:lang w:val="en-US" w:eastAsia="zh-CN"/>
              </w:rPr>
              <w:t>（1）</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项目碱洗废水、洗砂废水经车间沉淀池沉淀后回用，不外排；</w:t>
            </w:r>
            <w:r>
              <w:rPr>
                <w:rFonts w:hint="eastAsia" w:cs="Times New Roman"/>
                <w:bCs/>
                <w:caps w:val="0"/>
                <w:smallCaps w:val="0"/>
                <w:snapToGrid w:val="0"/>
                <w:color w:val="auto"/>
                <w:spacing w:val="0"/>
                <w:w w:val="100"/>
                <w:kern w:val="0"/>
                <w:position w:val="0"/>
                <w:sz w:val="24"/>
                <w:lang w:val="en-US" w:eastAsia="zh-CN"/>
              </w:rPr>
              <w:t>地面冲洗废水、喷淋塔定期排水经沉淀池处理后与化粪池收集的生活污水一同纳管排放</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因此项目废水污染物纳入</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集中区第一</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污水处理厂控制指标内，无需申请总量控制指标。</w:t>
            </w:r>
          </w:p>
          <w:p w14:paraId="476F20EC">
            <w:pPr>
              <w:adjustRightInd w:val="0"/>
              <w:spacing w:line="480" w:lineRule="exact"/>
              <w:ind w:firstLine="480" w:firstLineChars="200"/>
              <w:jc w:val="both"/>
              <w:rPr>
                <w:rFonts w:hint="default" w:cs="Times New Roman"/>
                <w:bCs/>
                <w:caps w:val="0"/>
                <w:smallCaps w:val="0"/>
                <w:snapToGrid w:val="0"/>
                <w:color w:val="auto"/>
                <w:spacing w:val="0"/>
                <w:w w:val="100"/>
                <w:kern w:val="0"/>
                <w:position w:val="0"/>
                <w:sz w:val="24"/>
                <w:szCs w:val="24"/>
                <w:lang w:val="en-US" w:eastAsia="zh-CN"/>
              </w:rPr>
            </w:pP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（2）</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按照项目的原辅材料及生产工艺等相关材料计算，项目运行后排放的废气污染物中，二氧化硫、氮氧化物</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烟（粉）尘</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、VOCs</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有组织排放量分别6.02×</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10</w:t>
            </w:r>
            <w:r>
              <w:rPr>
                <w:rFonts w:hint="eastAsia" w:ascii="Times New Roman" w:hAnsi="Times New Roman" w:eastAsia="宋体" w:cs="Times New Roman"/>
                <w:bCs/>
                <w:caps w:val="0"/>
                <w:smallCaps w:val="0"/>
                <w:snapToGrid w:val="0"/>
                <w:color w:val="auto"/>
                <w:spacing w:val="0"/>
                <w:w w:val="100"/>
                <w:kern w:val="0"/>
                <w:position w:val="0"/>
                <w:sz w:val="24"/>
                <w:vertAlign w:val="superscript"/>
                <w:lang w:val="en-US" w:eastAsia="zh-CN"/>
              </w:rPr>
              <w:t>-6</w:t>
            </w:r>
            <w:r>
              <w:rPr>
                <w:rFonts w:hint="eastAsia" w:ascii="Times New Roman" w:hAnsi="Times New Roman" w:eastAsia="宋体" w:cs="Times New Roman"/>
                <w:bCs/>
                <w:caps w:val="0"/>
                <w:smallCaps w:val="0"/>
                <w:snapToGrid w:val="0"/>
                <w:color w:val="auto"/>
                <w:spacing w:val="0"/>
                <w:w w:val="100"/>
                <w:kern w:val="0"/>
                <w:position w:val="0"/>
                <w:sz w:val="24"/>
                <w:vertAlign w:val="baseline"/>
                <w:lang w:val="en-US" w:eastAsia="zh-CN"/>
              </w:rPr>
              <w:t xml:space="preserve"> </w:t>
            </w: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t/a、3</w:t>
            </w:r>
            <w:r>
              <w:rPr>
                <w:rFonts w:hint="eastAsia" w:cs="Times New Roman"/>
                <w:bCs/>
                <w:snapToGrid w:val="0"/>
                <w:color w:val="auto"/>
                <w:spacing w:val="0"/>
                <w:kern w:val="0"/>
                <w:position w:val="0"/>
                <w:sz w:val="24"/>
                <w:lang w:val="en-US" w:eastAsia="zh-CN"/>
              </w:rPr>
              <w:t>.684t/a、</w:t>
            </w:r>
            <w:r>
              <w:rPr>
                <w:rFonts w:hint="eastAsia" w:cs="Times New Roman"/>
                <w:bCs/>
                <w:caps w:val="0"/>
                <w:smallCaps w:val="0"/>
                <w:snapToGrid w:val="0"/>
                <w:color w:val="auto"/>
                <w:spacing w:val="0"/>
                <w:w w:val="100"/>
                <w:kern w:val="0"/>
                <w:position w:val="0"/>
                <w:sz w:val="24"/>
                <w:szCs w:val="24"/>
                <w:lang w:val="en-US" w:eastAsia="zh-CN"/>
              </w:rPr>
              <w:t xml:space="preserve">0.207 </w:t>
            </w:r>
            <w:r>
              <w:rPr>
                <w:rFonts w:hint="eastAsia" w:ascii="Times New Roman" w:hAnsi="Times New Roman" w:eastAsia="宋体" w:cs="Times New Roman"/>
                <w:bCs/>
                <w:caps w:val="0"/>
                <w:smallCaps w:val="0"/>
                <w:snapToGrid w:val="0"/>
                <w:color w:val="auto"/>
                <w:spacing w:val="0"/>
                <w:w w:val="100"/>
                <w:kern w:val="0"/>
                <w:position w:val="0"/>
                <w:sz w:val="24"/>
                <w:szCs w:val="24"/>
                <w:lang w:val="en-US" w:eastAsia="zh-CN"/>
              </w:rPr>
              <w:t>t/a</w:t>
            </w:r>
            <w:r>
              <w:rPr>
                <w:rFonts w:hint="eastAsia" w:cs="Times New Roman"/>
                <w:bCs/>
                <w:caps w:val="0"/>
                <w:smallCaps w:val="0"/>
                <w:snapToGrid w:val="0"/>
                <w:color w:val="auto"/>
                <w:spacing w:val="0"/>
                <w:w w:val="100"/>
                <w:kern w:val="0"/>
                <w:position w:val="0"/>
                <w:sz w:val="24"/>
                <w:szCs w:val="24"/>
                <w:lang w:val="en-US" w:eastAsia="zh-CN"/>
              </w:rPr>
              <w:t>、1.283 t/a，需申请总量控制。</w:t>
            </w:r>
          </w:p>
          <w:p w14:paraId="17640814">
            <w:pPr>
              <w:adjustRightInd w:val="0"/>
              <w:spacing w:line="480" w:lineRule="exact"/>
              <w:ind w:firstLine="480" w:firstLineChars="200"/>
              <w:jc w:val="both"/>
              <w:rPr>
                <w:rFonts w:hint="default" w:cs="Times New Roman"/>
                <w:bCs/>
                <w:caps w:val="0"/>
                <w:smallCaps w:val="0"/>
                <w:snapToGrid w:val="0"/>
                <w:color w:val="auto"/>
                <w:spacing w:val="0"/>
                <w:w w:val="100"/>
                <w:kern w:val="0"/>
                <w:position w:val="0"/>
                <w:sz w:val="24"/>
                <w:szCs w:val="24"/>
                <w:u w:val="single"/>
                <w:lang w:val="en-US" w:eastAsia="zh-CN"/>
              </w:rPr>
            </w:pPr>
            <w:r>
              <w:rPr>
                <w:rFonts w:hint="eastAsia" w:cs="Times New Roman"/>
                <w:bCs/>
                <w:caps w:val="0"/>
                <w:smallCaps w:val="0"/>
                <w:snapToGrid w:val="0"/>
                <w:color w:val="auto"/>
                <w:spacing w:val="0"/>
                <w:w w:val="100"/>
                <w:kern w:val="0"/>
                <w:position w:val="0"/>
                <w:sz w:val="24"/>
                <w:szCs w:val="24"/>
                <w:lang w:val="en-US" w:eastAsia="zh-CN"/>
              </w:rPr>
              <w:t>（3）根据</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排污</w:t>
            </w:r>
            <w:r>
              <w:rPr>
                <w:rFonts w:hint="eastAsia" w:ascii="Times New Roman" w:hAnsi="Times New Roman" w:eastAsia="宋体" w:cs="Times New Roman"/>
                <w:b w:val="0"/>
                <w:bCs w:val="0"/>
                <w:color w:val="auto"/>
                <w:kern w:val="0"/>
                <w:sz w:val="24"/>
                <w:szCs w:val="24"/>
                <w:lang w:val="en-US" w:eastAsia="zh-CN"/>
              </w:rPr>
              <w:t xml:space="preserve">许可证申请与核发技术规范 </w:t>
            </w:r>
            <w:r>
              <w:rPr>
                <w:rFonts w:hint="eastAsia" w:cs="Times New Roman"/>
                <w:b w:val="0"/>
                <w:bCs w:val="0"/>
                <w:color w:val="auto"/>
                <w:kern w:val="0"/>
                <w:sz w:val="24"/>
                <w:szCs w:val="24"/>
                <w:lang w:val="en-US" w:eastAsia="zh-CN"/>
              </w:rPr>
              <w:t>废弃资源加工工业</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w:t>
            </w:r>
            <w:r>
              <w:rPr>
                <w:rFonts w:hint="eastAsia" w:ascii="Times New Roman" w:hAnsi="Times New Roman" w:eastAsia="宋体" w:cs="Times New Roman"/>
                <w:b w:val="0"/>
                <w:bCs w:val="0"/>
                <w:color w:val="auto"/>
                <w:kern w:val="0"/>
                <w:sz w:val="24"/>
                <w:szCs w:val="24"/>
                <w:lang w:val="en-US" w:eastAsia="zh-CN"/>
              </w:rPr>
              <w:t>HJ1</w:t>
            </w:r>
            <w:r>
              <w:rPr>
                <w:rFonts w:hint="eastAsia" w:cs="Times New Roman"/>
                <w:b w:val="0"/>
                <w:bCs w:val="0"/>
                <w:color w:val="auto"/>
                <w:kern w:val="0"/>
                <w:sz w:val="24"/>
                <w:szCs w:val="24"/>
                <w:lang w:val="en-US" w:eastAsia="zh-CN"/>
              </w:rPr>
              <w:t>034</w:t>
            </w:r>
            <w:r>
              <w:rPr>
                <w:rFonts w:hint="eastAsia" w:ascii="Times New Roman" w:hAnsi="Times New Roman" w:eastAsia="宋体" w:cs="Times New Roman"/>
                <w:b w:val="0"/>
                <w:bCs w:val="0"/>
                <w:color w:val="auto"/>
                <w:kern w:val="0"/>
                <w:sz w:val="24"/>
                <w:szCs w:val="24"/>
                <w:lang w:val="en-US" w:eastAsia="zh-CN"/>
              </w:rPr>
              <w:t>-20</w:t>
            </w:r>
            <w:r>
              <w:rPr>
                <w:rFonts w:hint="eastAsia" w:cs="Times New Roman"/>
                <w:b w:val="0"/>
                <w:bCs w:val="0"/>
                <w:color w:val="auto"/>
                <w:kern w:val="0"/>
                <w:sz w:val="24"/>
                <w:szCs w:val="24"/>
                <w:lang w:val="en-US" w:eastAsia="zh-CN"/>
              </w:rPr>
              <w:t>19</w:t>
            </w:r>
            <w:r>
              <w:rPr>
                <w:rFonts w:hint="eastAsia" w:ascii="Times New Roman" w:hAnsi="Times New Roman" w:eastAsia="宋体" w:cs="Times New Roman"/>
                <w:b w:val="0"/>
                <w:bCs w:val="0"/>
                <w:color w:val="auto"/>
                <w:kern w:val="0"/>
                <w:sz w:val="24"/>
                <w:szCs w:val="24"/>
                <w:lang w:val="en-US" w:eastAsia="zh-CN"/>
              </w:rPr>
              <w:t>）：</w:t>
            </w:r>
            <w:r>
              <w:rPr>
                <w:rFonts w:hint="eastAsia" w:ascii="Times New Roman" w:hAnsi="Times New Roman" w:eastAsia="宋体" w:cs="Times New Roman"/>
                <w:b w:val="0"/>
                <w:bCs w:val="0"/>
                <w:color w:val="auto"/>
                <w:kern w:val="0"/>
                <w:sz w:val="24"/>
                <w:szCs w:val="24"/>
                <w:u w:val="single"/>
                <w:lang w:val="en-US" w:eastAsia="zh-CN"/>
              </w:rPr>
              <w:t>对于大气污染物，以排放口为单位确定主要排放口和一般排放口许可排放浓度（速率），以厂界监控点确定无组织许可排放浓度。按主要排放口许可排放量，各主要排放口许可排放量之和为排污单位的许可排放量。一般排放口和无组织废气排放生产单元不许可排放量。</w:t>
            </w:r>
          </w:p>
          <w:p w14:paraId="45D0C315">
            <w:pPr>
              <w:adjustRightInd w:val="0"/>
              <w:spacing w:line="480" w:lineRule="exact"/>
              <w:ind w:firstLine="480" w:firstLineChars="200"/>
              <w:jc w:val="both"/>
              <w:rPr>
                <w:rFonts w:hint="eastAsia" w:ascii="Times New Roman" w:hAnsi="Times New Roman" w:eastAsia="宋体" w:cs="Times New Roman"/>
                <w:bCs/>
                <w:caps w:val="0"/>
                <w:smallCaps w:val="0"/>
                <w:snapToGrid w:val="0"/>
                <w:color w:val="auto"/>
                <w:spacing w:val="0"/>
                <w:w w:val="100"/>
                <w:kern w:val="0"/>
                <w:position w:val="0"/>
                <w:sz w:val="24"/>
                <w:lang w:val="en-US" w:eastAsia="zh-CN"/>
              </w:rPr>
            </w:pP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（4）</w:t>
            </w:r>
            <w:r>
              <w:rPr>
                <w:rFonts w:hint="default" w:ascii="Times New Roman" w:hAnsi="Times New Roman" w:eastAsia="宋体" w:cs="Times New Roman"/>
                <w:bCs/>
                <w:caps w:val="0"/>
                <w:smallCaps w:val="0"/>
                <w:snapToGrid w:val="0"/>
                <w:color w:val="auto"/>
                <w:spacing w:val="0"/>
                <w:w w:val="100"/>
                <w:kern w:val="0"/>
                <w:position w:val="0"/>
                <w:sz w:val="24"/>
                <w:lang w:val="en-US" w:eastAsia="zh-CN"/>
              </w:rPr>
              <w:t>根据《安徽省排污权有偿使用和交易管理办法（试行）》第五条规定，现阶段实施排污权交易的排污单位为全省列入排污许可重点和简化管理范围内有污染物许可排放量要求的排污单位。因本项目二氧化硫、氮氧化物需要实施排污权交易。</w:t>
            </w:r>
          </w:p>
          <w:p w14:paraId="5FA0F35F">
            <w:pPr>
              <w:adjustRightInd w:val="0"/>
              <w:spacing w:line="480" w:lineRule="exact"/>
              <w:ind w:firstLine="480" w:firstLineChars="200"/>
              <w:jc w:val="both"/>
              <w:rPr>
                <w:rFonts w:hint="default" w:ascii="Times New Roman" w:hAnsi="Times New Roman" w:eastAsia="宋体" w:cs="Times New Roman"/>
                <w:bCs/>
                <w:caps w:val="0"/>
                <w:smallCaps w:val="0"/>
                <w:snapToGrid w:val="0"/>
                <w:color w:val="auto"/>
                <w:spacing w:val="0"/>
                <w:w w:val="100"/>
                <w:kern w:val="0"/>
                <w:position w:val="0"/>
                <w:sz w:val="24"/>
                <w:lang w:val="en-US" w:eastAsia="zh-CN"/>
              </w:rPr>
            </w:pPr>
            <w:r>
              <w:rPr>
                <w:rFonts w:hint="eastAsia" w:ascii="Times New Roman" w:hAnsi="Times New Roman" w:eastAsia="宋体" w:cs="Times New Roman"/>
                <w:bCs/>
                <w:caps w:val="0"/>
                <w:smallCaps w:val="0"/>
                <w:snapToGrid w:val="0"/>
                <w:color w:val="auto"/>
                <w:spacing w:val="0"/>
                <w:w w:val="100"/>
                <w:kern w:val="0"/>
                <w:position w:val="0"/>
                <w:sz w:val="24"/>
                <w:lang w:val="en-US" w:eastAsia="zh-CN"/>
              </w:rPr>
              <w:t>综上，项目总量控制指标情况如下：</w:t>
            </w:r>
          </w:p>
          <w:p w14:paraId="73443B15">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bCs/>
                <w:color w:val="auto"/>
                <w:sz w:val="21"/>
                <w:szCs w:val="21"/>
                <w:lang w:val="en-US" w:eastAsia="zh-CN"/>
              </w:rPr>
              <w:t>表3-14  本项目污染物排放量及总量指标</w:t>
            </w:r>
          </w:p>
          <w:tbl>
            <w:tblPr>
              <w:tblStyle w:val="27"/>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1014"/>
              <w:gridCol w:w="1636"/>
              <w:gridCol w:w="3088"/>
              <w:gridCol w:w="2429"/>
            </w:tblGrid>
            <w:tr w14:paraId="7C91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772" w:type="dxa"/>
                  <w:noWrap w:val="0"/>
                  <w:vAlign w:val="center"/>
                </w:tcPr>
                <w:p w14:paraId="4AA55C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pPr>
                  <w:r>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t>序号</w:t>
                  </w:r>
                </w:p>
              </w:tc>
              <w:tc>
                <w:tcPr>
                  <w:tcW w:w="1014" w:type="dxa"/>
                  <w:noWrap w:val="0"/>
                  <w:vAlign w:val="center"/>
                </w:tcPr>
                <w:p w14:paraId="0246D8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pPr>
                  <w:r>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t>类别</w:t>
                  </w:r>
                </w:p>
              </w:tc>
              <w:tc>
                <w:tcPr>
                  <w:tcW w:w="1636" w:type="dxa"/>
                  <w:noWrap w:val="0"/>
                  <w:vAlign w:val="center"/>
                </w:tcPr>
                <w:p w14:paraId="3ABDCF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pPr>
                  <w:r>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t>总量控制因子</w:t>
                  </w:r>
                </w:p>
              </w:tc>
              <w:tc>
                <w:tcPr>
                  <w:tcW w:w="3088" w:type="dxa"/>
                  <w:noWrap w:val="0"/>
                  <w:vAlign w:val="center"/>
                </w:tcPr>
                <w:p w14:paraId="750388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pPr>
                  <w:r>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t>总量控制指标</w:t>
                  </w:r>
                </w:p>
              </w:tc>
              <w:tc>
                <w:tcPr>
                  <w:tcW w:w="2429" w:type="dxa"/>
                  <w:noWrap w:val="0"/>
                  <w:vAlign w:val="center"/>
                </w:tcPr>
                <w:p w14:paraId="5CAC71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pPr>
                  <w:r>
                    <w:rPr>
                      <w:rFonts w:hint="default" w:ascii="Times New Roman" w:hAnsi="Times New Roman" w:eastAsia="宋体" w:cs="Times New Roman"/>
                      <w:b/>
                      <w:bCs/>
                      <w:caps w:val="0"/>
                      <w:smallCaps w:val="0"/>
                      <w:color w:val="auto"/>
                      <w:spacing w:val="0"/>
                      <w:w w:val="100"/>
                      <w:position w:val="0"/>
                      <w:sz w:val="21"/>
                      <w:szCs w:val="21"/>
                      <w:highlight w:val="none"/>
                      <w:vertAlign w:val="baseline"/>
                      <w:lang w:val="en-US" w:eastAsia="zh-CN"/>
                    </w:rPr>
                    <w:t>备注</w:t>
                  </w:r>
                </w:p>
              </w:tc>
            </w:tr>
            <w:tr w14:paraId="3D62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772" w:type="dxa"/>
                  <w:noWrap w:val="0"/>
                  <w:vAlign w:val="center"/>
                </w:tcPr>
                <w:p w14:paraId="152922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bidi="ar-SA"/>
                    </w:rPr>
                  </w:pPr>
                  <w:r>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rPr>
                    <w:t>1</w:t>
                  </w:r>
                </w:p>
              </w:tc>
              <w:tc>
                <w:tcPr>
                  <w:tcW w:w="1014" w:type="dxa"/>
                  <w:vMerge w:val="restart"/>
                  <w:noWrap w:val="0"/>
                  <w:vAlign w:val="center"/>
                </w:tcPr>
                <w:p w14:paraId="44D9A9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rPr>
                  </w:pPr>
                  <w:r>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rPr>
                    <w:t>废气</w:t>
                  </w:r>
                </w:p>
              </w:tc>
              <w:tc>
                <w:tcPr>
                  <w:tcW w:w="1636" w:type="dxa"/>
                  <w:shd w:val="clear" w:color="auto" w:fill="auto"/>
                  <w:noWrap w:val="0"/>
                  <w:vAlign w:val="center"/>
                </w:tcPr>
                <w:p w14:paraId="24960C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烟（粉）尘</w:t>
                  </w:r>
                </w:p>
              </w:tc>
              <w:tc>
                <w:tcPr>
                  <w:tcW w:w="3088" w:type="dxa"/>
                  <w:shd w:val="clear" w:color="auto" w:fill="auto"/>
                  <w:noWrap w:val="0"/>
                  <w:vAlign w:val="center"/>
                </w:tcPr>
                <w:p w14:paraId="05DC2D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0.207</w:t>
                  </w:r>
                </w:p>
              </w:tc>
              <w:tc>
                <w:tcPr>
                  <w:tcW w:w="2429" w:type="dxa"/>
                  <w:vMerge w:val="restart"/>
                  <w:noWrap w:val="0"/>
                  <w:vAlign w:val="center"/>
                </w:tcPr>
                <w:p w14:paraId="42E1799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lang w:val="en-US" w:eastAsia="zh-CN" w:bidi="ar"/>
                    </w:rPr>
                  </w:pPr>
                  <w:r>
                    <w:rPr>
                      <w:rFonts w:hint="eastAsia" w:ascii="Times New Roman" w:hAnsi="Times New Roman" w:eastAsia="宋体" w:cs="Times New Roman"/>
                      <w:i w:val="0"/>
                      <w:iCs w:val="0"/>
                      <w:caps w:val="0"/>
                      <w:smallCaps w:val="0"/>
                      <w:color w:val="auto"/>
                      <w:spacing w:val="0"/>
                      <w:w w:val="100"/>
                      <w:kern w:val="0"/>
                      <w:position w:val="0"/>
                      <w:sz w:val="21"/>
                      <w:szCs w:val="21"/>
                      <w:u w:val="none"/>
                      <w:lang w:val="en-US" w:eastAsia="zh-CN" w:bidi="ar"/>
                    </w:rPr>
                    <w:t>/</w:t>
                  </w:r>
                </w:p>
              </w:tc>
            </w:tr>
            <w:tr w14:paraId="713C3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772" w:type="dxa"/>
                  <w:noWrap w:val="0"/>
                  <w:vAlign w:val="center"/>
                </w:tcPr>
                <w:p w14:paraId="4E8FB4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rPr>
                  </w:pPr>
                  <w:r>
                    <w:rPr>
                      <w:rFonts w:hint="eastAsia" w:ascii="Times New Roman" w:hAnsi="Times New Roman" w:eastAsia="宋体" w:cs="Times New Roman"/>
                      <w:b w:val="0"/>
                      <w:bCs/>
                      <w:caps w:val="0"/>
                      <w:smallCaps w:val="0"/>
                      <w:color w:val="auto"/>
                      <w:spacing w:val="0"/>
                      <w:w w:val="100"/>
                      <w:position w:val="0"/>
                      <w:sz w:val="21"/>
                      <w:szCs w:val="21"/>
                      <w:vertAlign w:val="baseline"/>
                      <w:lang w:val="en-US" w:eastAsia="zh-CN"/>
                    </w:rPr>
                    <w:t>2</w:t>
                  </w:r>
                </w:p>
              </w:tc>
              <w:tc>
                <w:tcPr>
                  <w:tcW w:w="1014" w:type="dxa"/>
                  <w:vMerge w:val="continue"/>
                  <w:noWrap w:val="0"/>
                  <w:vAlign w:val="center"/>
                </w:tcPr>
                <w:p w14:paraId="59A8BC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rPr>
                  </w:pPr>
                </w:p>
              </w:tc>
              <w:tc>
                <w:tcPr>
                  <w:tcW w:w="1636" w:type="dxa"/>
                  <w:shd w:val="clear" w:color="auto" w:fill="auto"/>
                  <w:noWrap w:val="0"/>
                  <w:vAlign w:val="center"/>
                </w:tcPr>
                <w:p w14:paraId="271ECE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VOCs</w:t>
                  </w:r>
                </w:p>
              </w:tc>
              <w:tc>
                <w:tcPr>
                  <w:tcW w:w="3088" w:type="dxa"/>
                  <w:shd w:val="clear" w:color="auto" w:fill="auto"/>
                  <w:noWrap w:val="0"/>
                  <w:vAlign w:val="center"/>
                </w:tcPr>
                <w:p w14:paraId="405386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1.283</w:t>
                  </w:r>
                </w:p>
              </w:tc>
              <w:tc>
                <w:tcPr>
                  <w:tcW w:w="2429" w:type="dxa"/>
                  <w:vMerge w:val="continue"/>
                  <w:noWrap w:val="0"/>
                  <w:vAlign w:val="center"/>
                </w:tcPr>
                <w:p w14:paraId="2E466FD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lang w:val="en-US" w:eastAsia="zh-CN" w:bidi="ar"/>
                    </w:rPr>
                  </w:pPr>
                </w:p>
              </w:tc>
            </w:tr>
            <w:tr w14:paraId="21683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772" w:type="dxa"/>
                  <w:noWrap w:val="0"/>
                  <w:vAlign w:val="center"/>
                </w:tcPr>
                <w:p w14:paraId="70860D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rPr>
                  </w:pPr>
                  <w:r>
                    <w:rPr>
                      <w:rFonts w:hint="eastAsia" w:ascii="Times New Roman" w:hAnsi="Times New Roman" w:eastAsia="宋体" w:cs="Times New Roman"/>
                      <w:b w:val="0"/>
                      <w:bCs/>
                      <w:caps w:val="0"/>
                      <w:smallCaps w:val="0"/>
                      <w:color w:val="auto"/>
                      <w:spacing w:val="0"/>
                      <w:w w:val="100"/>
                      <w:position w:val="0"/>
                      <w:sz w:val="21"/>
                      <w:szCs w:val="21"/>
                      <w:vertAlign w:val="baseline"/>
                      <w:lang w:val="en-US" w:eastAsia="zh-CN"/>
                    </w:rPr>
                    <w:t>3</w:t>
                  </w:r>
                </w:p>
              </w:tc>
              <w:tc>
                <w:tcPr>
                  <w:tcW w:w="1014" w:type="dxa"/>
                  <w:vMerge w:val="continue"/>
                  <w:noWrap w:val="0"/>
                  <w:vAlign w:val="center"/>
                </w:tcPr>
                <w:p w14:paraId="5168E0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rPr>
                  </w:pPr>
                </w:p>
              </w:tc>
              <w:tc>
                <w:tcPr>
                  <w:tcW w:w="1636" w:type="dxa"/>
                  <w:shd w:val="clear" w:color="auto" w:fill="auto"/>
                  <w:noWrap w:val="0"/>
                  <w:vAlign w:val="center"/>
                </w:tcPr>
                <w:p w14:paraId="334DCD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二氧化硫</w:t>
                  </w:r>
                </w:p>
              </w:tc>
              <w:tc>
                <w:tcPr>
                  <w:tcW w:w="3088" w:type="dxa"/>
                  <w:shd w:val="clear" w:color="auto" w:fill="auto"/>
                  <w:noWrap w:val="0"/>
                  <w:vAlign w:val="center"/>
                </w:tcPr>
                <w:p w14:paraId="642192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bCs/>
                      <w:caps w:val="0"/>
                      <w:smallCaps w:val="0"/>
                      <w:snapToGrid w:val="0"/>
                      <w:color w:val="auto"/>
                      <w:spacing w:val="0"/>
                      <w:w w:val="100"/>
                      <w:kern w:val="0"/>
                      <w:position w:val="0"/>
                      <w:sz w:val="21"/>
                      <w:szCs w:val="21"/>
                      <w:lang w:val="en-US" w:eastAsia="zh-CN"/>
                    </w:rPr>
                    <w:t>6.02×</w:t>
                  </w:r>
                  <w:r>
                    <w:rPr>
                      <w:rFonts w:hint="eastAsia" w:ascii="Times New Roman" w:hAnsi="Times New Roman" w:eastAsia="宋体" w:cs="Times New Roman"/>
                      <w:bCs/>
                      <w:caps w:val="0"/>
                      <w:smallCaps w:val="0"/>
                      <w:snapToGrid w:val="0"/>
                      <w:color w:val="auto"/>
                      <w:spacing w:val="0"/>
                      <w:w w:val="100"/>
                      <w:kern w:val="0"/>
                      <w:position w:val="0"/>
                      <w:sz w:val="21"/>
                      <w:szCs w:val="21"/>
                      <w:lang w:val="en-US" w:eastAsia="zh-CN"/>
                    </w:rPr>
                    <w:t>10</w:t>
                  </w:r>
                  <w:r>
                    <w:rPr>
                      <w:rFonts w:hint="eastAsia" w:ascii="Times New Roman" w:hAnsi="Times New Roman" w:eastAsia="宋体" w:cs="Times New Roman"/>
                      <w:bCs/>
                      <w:caps w:val="0"/>
                      <w:smallCaps w:val="0"/>
                      <w:snapToGrid w:val="0"/>
                      <w:color w:val="auto"/>
                      <w:spacing w:val="0"/>
                      <w:w w:val="100"/>
                      <w:kern w:val="0"/>
                      <w:position w:val="0"/>
                      <w:sz w:val="21"/>
                      <w:szCs w:val="21"/>
                      <w:vertAlign w:val="superscript"/>
                      <w:lang w:val="en-US" w:eastAsia="zh-CN"/>
                    </w:rPr>
                    <w:t>-6</w:t>
                  </w:r>
                  <w:r>
                    <w:rPr>
                      <w:rFonts w:hint="eastAsia" w:ascii="Times New Roman" w:hAnsi="Times New Roman" w:eastAsia="宋体" w:cs="Times New Roman"/>
                      <w:bCs/>
                      <w:caps w:val="0"/>
                      <w:smallCaps w:val="0"/>
                      <w:snapToGrid w:val="0"/>
                      <w:color w:val="auto"/>
                      <w:spacing w:val="0"/>
                      <w:w w:val="100"/>
                      <w:kern w:val="0"/>
                      <w:position w:val="0"/>
                      <w:sz w:val="21"/>
                      <w:szCs w:val="21"/>
                      <w:vertAlign w:val="baseline"/>
                      <w:lang w:val="en-US" w:eastAsia="zh-CN"/>
                    </w:rPr>
                    <w:t>（主要排放口</w:t>
                  </w:r>
                  <w:r>
                    <w:rPr>
                      <w:rFonts w:hint="default" w:ascii="Times New Roman" w:hAnsi="Times New Roman" w:eastAsia="宋体" w:cs="Times New Roman"/>
                      <w:bCs/>
                      <w:caps w:val="0"/>
                      <w:smallCaps w:val="0"/>
                      <w:snapToGrid w:val="0"/>
                      <w:color w:val="auto"/>
                      <w:spacing w:val="0"/>
                      <w:w w:val="100"/>
                      <w:kern w:val="0"/>
                      <w:position w:val="0"/>
                      <w:sz w:val="21"/>
                      <w:szCs w:val="21"/>
                      <w:lang w:val="en-US" w:eastAsia="zh-CN"/>
                    </w:rPr>
                    <w:t>6.02×</w:t>
                  </w:r>
                  <w:r>
                    <w:rPr>
                      <w:rFonts w:hint="eastAsia" w:ascii="Times New Roman" w:hAnsi="Times New Roman" w:eastAsia="宋体" w:cs="Times New Roman"/>
                      <w:bCs/>
                      <w:caps w:val="0"/>
                      <w:smallCaps w:val="0"/>
                      <w:snapToGrid w:val="0"/>
                      <w:color w:val="auto"/>
                      <w:spacing w:val="0"/>
                      <w:w w:val="100"/>
                      <w:kern w:val="0"/>
                      <w:position w:val="0"/>
                      <w:sz w:val="21"/>
                      <w:szCs w:val="21"/>
                      <w:lang w:val="en-US" w:eastAsia="zh-CN"/>
                    </w:rPr>
                    <w:t>10</w:t>
                  </w:r>
                  <w:r>
                    <w:rPr>
                      <w:rFonts w:hint="eastAsia" w:ascii="Times New Roman" w:hAnsi="Times New Roman" w:eastAsia="宋体" w:cs="Times New Roman"/>
                      <w:bCs/>
                      <w:caps w:val="0"/>
                      <w:smallCaps w:val="0"/>
                      <w:snapToGrid w:val="0"/>
                      <w:color w:val="auto"/>
                      <w:spacing w:val="0"/>
                      <w:w w:val="100"/>
                      <w:kern w:val="0"/>
                      <w:position w:val="0"/>
                      <w:sz w:val="21"/>
                      <w:szCs w:val="21"/>
                      <w:vertAlign w:val="superscript"/>
                      <w:lang w:val="en-US" w:eastAsia="zh-CN"/>
                    </w:rPr>
                    <w:t>-6</w:t>
                  </w:r>
                  <w:r>
                    <w:rPr>
                      <w:rFonts w:hint="eastAsia" w:ascii="Times New Roman" w:hAnsi="Times New Roman" w:eastAsia="宋体" w:cs="Times New Roman"/>
                      <w:bCs/>
                      <w:caps w:val="0"/>
                      <w:smallCaps w:val="0"/>
                      <w:snapToGrid w:val="0"/>
                      <w:color w:val="auto"/>
                      <w:spacing w:val="0"/>
                      <w:w w:val="100"/>
                      <w:kern w:val="0"/>
                      <w:position w:val="0"/>
                      <w:sz w:val="21"/>
                      <w:szCs w:val="21"/>
                      <w:vertAlign w:val="baseline"/>
                      <w:lang w:val="en-US" w:eastAsia="zh-CN"/>
                    </w:rPr>
                    <w:t>）</w:t>
                  </w:r>
                </w:p>
              </w:tc>
              <w:tc>
                <w:tcPr>
                  <w:tcW w:w="2429" w:type="dxa"/>
                  <w:vMerge w:val="restart"/>
                  <w:noWrap w:val="0"/>
                  <w:vAlign w:val="center"/>
                </w:tcPr>
                <w:p w14:paraId="659BF40D">
                  <w:pPr>
                    <w:keepNext w:val="0"/>
                    <w:keepLines w:val="0"/>
                    <w:pageBreakBefore w:val="0"/>
                    <w:widowControl/>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lang w:val="en-US" w:eastAsia="zh-CN" w:bidi="ar"/>
                    </w:rPr>
                  </w:pPr>
                  <w:r>
                    <w:rPr>
                      <w:rFonts w:hint="eastAsia" w:ascii="Times New Roman" w:hAnsi="Times New Roman" w:eastAsia="宋体" w:cs="Times New Roman"/>
                      <w:i w:val="0"/>
                      <w:iCs w:val="0"/>
                      <w:caps w:val="0"/>
                      <w:smallCaps w:val="0"/>
                      <w:color w:val="auto"/>
                      <w:spacing w:val="0"/>
                      <w:w w:val="100"/>
                      <w:kern w:val="0"/>
                      <w:position w:val="0"/>
                      <w:sz w:val="21"/>
                      <w:szCs w:val="21"/>
                      <w:u w:val="none"/>
                      <w:lang w:val="en-US" w:eastAsia="zh-CN" w:bidi="ar"/>
                    </w:rPr>
                    <w:t>其中二氧化硫</w:t>
                  </w:r>
                  <w:r>
                    <w:rPr>
                      <w:rFonts w:hint="default" w:ascii="Times New Roman" w:hAnsi="Times New Roman" w:eastAsia="宋体" w:cs="Times New Roman"/>
                      <w:bCs/>
                      <w:caps w:val="0"/>
                      <w:smallCaps w:val="0"/>
                      <w:snapToGrid w:val="0"/>
                      <w:color w:val="auto"/>
                      <w:spacing w:val="0"/>
                      <w:w w:val="100"/>
                      <w:kern w:val="0"/>
                      <w:position w:val="0"/>
                      <w:sz w:val="21"/>
                      <w:szCs w:val="21"/>
                      <w:lang w:val="en-US" w:eastAsia="zh-CN"/>
                    </w:rPr>
                    <w:t>6.02×</w:t>
                  </w:r>
                  <w:r>
                    <w:rPr>
                      <w:rFonts w:hint="eastAsia" w:ascii="Times New Roman" w:hAnsi="Times New Roman" w:eastAsia="宋体" w:cs="Times New Roman"/>
                      <w:bCs/>
                      <w:caps w:val="0"/>
                      <w:smallCaps w:val="0"/>
                      <w:snapToGrid w:val="0"/>
                      <w:color w:val="auto"/>
                      <w:spacing w:val="0"/>
                      <w:w w:val="100"/>
                      <w:kern w:val="0"/>
                      <w:position w:val="0"/>
                      <w:sz w:val="21"/>
                      <w:szCs w:val="21"/>
                      <w:lang w:val="en-US" w:eastAsia="zh-CN"/>
                    </w:rPr>
                    <w:t>10</w:t>
                  </w:r>
                  <w:r>
                    <w:rPr>
                      <w:rFonts w:hint="eastAsia" w:ascii="Times New Roman" w:hAnsi="Times New Roman" w:eastAsia="宋体" w:cs="Times New Roman"/>
                      <w:bCs/>
                      <w:caps w:val="0"/>
                      <w:smallCaps w:val="0"/>
                      <w:snapToGrid w:val="0"/>
                      <w:color w:val="auto"/>
                      <w:spacing w:val="0"/>
                      <w:w w:val="100"/>
                      <w:kern w:val="0"/>
                      <w:position w:val="0"/>
                      <w:sz w:val="21"/>
                      <w:szCs w:val="21"/>
                      <w:vertAlign w:val="superscript"/>
                      <w:lang w:val="en-US" w:eastAsia="zh-CN"/>
                    </w:rPr>
                    <w:t xml:space="preserve">-6 </w:t>
                  </w:r>
                  <w:r>
                    <w:rPr>
                      <w:rFonts w:hint="eastAsia" w:ascii="Times New Roman" w:hAnsi="Times New Roman" w:eastAsia="宋体" w:cs="Times New Roman"/>
                      <w:bCs/>
                      <w:caps w:val="0"/>
                      <w:smallCaps w:val="0"/>
                      <w:snapToGrid w:val="0"/>
                      <w:color w:val="auto"/>
                      <w:spacing w:val="0"/>
                      <w:w w:val="100"/>
                      <w:kern w:val="0"/>
                      <w:position w:val="0"/>
                      <w:sz w:val="21"/>
                      <w:szCs w:val="21"/>
                      <w:vertAlign w:val="baseline"/>
                      <w:lang w:val="en-US" w:eastAsia="zh-CN"/>
                    </w:rPr>
                    <w:t>t/a、氮氧化物3.684t/a</w:t>
                  </w:r>
                  <w:r>
                    <w:rPr>
                      <w:rFonts w:hint="default" w:ascii="Times New Roman" w:hAnsi="Times New Roman" w:eastAsia="宋体" w:cs="Times New Roman"/>
                      <w:i w:val="0"/>
                      <w:iCs w:val="0"/>
                      <w:caps w:val="0"/>
                      <w:smallCaps w:val="0"/>
                      <w:color w:val="auto"/>
                      <w:spacing w:val="0"/>
                      <w:w w:val="100"/>
                      <w:kern w:val="0"/>
                      <w:position w:val="0"/>
                      <w:sz w:val="21"/>
                      <w:szCs w:val="21"/>
                      <w:u w:val="none"/>
                      <w:lang w:val="en-US" w:eastAsia="zh-CN" w:bidi="ar"/>
                    </w:rPr>
                    <w:t>纳入排污权交易</w:t>
                  </w:r>
                </w:p>
              </w:tc>
            </w:tr>
            <w:tr w14:paraId="35CD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72" w:type="dxa"/>
                  <w:noWrap w:val="0"/>
                  <w:vAlign w:val="center"/>
                </w:tcPr>
                <w:p w14:paraId="70665A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rPr>
                  </w:pPr>
                  <w:r>
                    <w:rPr>
                      <w:rFonts w:hint="eastAsia" w:ascii="Times New Roman" w:hAnsi="Times New Roman" w:eastAsia="宋体" w:cs="Times New Roman"/>
                      <w:b w:val="0"/>
                      <w:bCs/>
                      <w:caps w:val="0"/>
                      <w:smallCaps w:val="0"/>
                      <w:color w:val="auto"/>
                      <w:spacing w:val="0"/>
                      <w:w w:val="100"/>
                      <w:position w:val="0"/>
                      <w:sz w:val="21"/>
                      <w:szCs w:val="21"/>
                      <w:vertAlign w:val="baseline"/>
                      <w:lang w:val="en-US" w:eastAsia="zh-CN"/>
                    </w:rPr>
                    <w:t>4</w:t>
                  </w:r>
                </w:p>
              </w:tc>
              <w:tc>
                <w:tcPr>
                  <w:tcW w:w="1014" w:type="dxa"/>
                  <w:vMerge w:val="continue"/>
                  <w:noWrap w:val="0"/>
                  <w:vAlign w:val="center"/>
                </w:tcPr>
                <w:p w14:paraId="0DC5BC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rPr>
                  </w:pPr>
                </w:p>
              </w:tc>
              <w:tc>
                <w:tcPr>
                  <w:tcW w:w="1636" w:type="dxa"/>
                  <w:noWrap w:val="0"/>
                  <w:vAlign w:val="center"/>
                </w:tcPr>
                <w:p w14:paraId="4F7EFB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bidi="ar-SA"/>
                    </w:rPr>
                  </w:pPr>
                  <w:r>
                    <w:rPr>
                      <w:rFonts w:hint="default" w:ascii="Times New Roman" w:hAnsi="Times New Roman" w:eastAsia="宋体" w:cs="Times New Roman"/>
                      <w:color w:val="auto"/>
                      <w:sz w:val="21"/>
                      <w:szCs w:val="21"/>
                      <w:lang w:val="en-US" w:eastAsia="zh-CN"/>
                    </w:rPr>
                    <w:t>氮氧化物</w:t>
                  </w:r>
                </w:p>
              </w:tc>
              <w:tc>
                <w:tcPr>
                  <w:tcW w:w="3088" w:type="dxa"/>
                  <w:noWrap w:val="0"/>
                  <w:vAlign w:val="center"/>
                </w:tcPr>
                <w:p w14:paraId="5ED74D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vertAlign w:val="baseline"/>
                      <w:lang w:val="en-US" w:eastAsia="zh-CN" w:bidi="ar-SA"/>
                    </w:rPr>
                  </w:pPr>
                  <w:r>
                    <w:rPr>
                      <w:rFonts w:hint="eastAsia" w:cs="Times New Roman"/>
                      <w:bCs/>
                      <w:caps w:val="0"/>
                      <w:smallCaps w:val="0"/>
                      <w:snapToGrid w:val="0"/>
                      <w:color w:val="auto"/>
                      <w:spacing w:val="0"/>
                      <w:w w:val="100"/>
                      <w:kern w:val="0"/>
                      <w:position w:val="0"/>
                      <w:sz w:val="21"/>
                      <w:szCs w:val="21"/>
                      <w:lang w:val="en-US" w:eastAsia="zh-CN"/>
                    </w:rPr>
                    <w:t>3.684（主要排放口3.684）</w:t>
                  </w:r>
                </w:p>
              </w:tc>
              <w:tc>
                <w:tcPr>
                  <w:tcW w:w="2429" w:type="dxa"/>
                  <w:vMerge w:val="continue"/>
                  <w:noWrap w:val="0"/>
                  <w:vAlign w:val="center"/>
                </w:tcPr>
                <w:p w14:paraId="32B0F6C2">
                  <w:pPr>
                    <w:keepNext w:val="0"/>
                    <w:keepLines w:val="0"/>
                    <w:pageBreakBefore w:val="0"/>
                    <w:widowControl/>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lang w:val="en-US" w:eastAsia="zh-CN" w:bidi="ar"/>
                    </w:rPr>
                  </w:pPr>
                </w:p>
              </w:tc>
            </w:tr>
          </w:tbl>
          <w:p w14:paraId="272701FF">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227A74DE">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39713831">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6F4E561B">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4A636457">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6DC0F166">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4FB6F7BD">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5B05AD2A">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5ED2B5A6">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01A9ACC0">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58419BD7">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26DD5197">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34A3A4C3">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6B43130D">
            <w:pPr>
              <w:adjustRightInd w:val="0"/>
              <w:spacing w:line="480" w:lineRule="exact"/>
              <w:ind w:firstLine="480" w:firstLineChars="200"/>
              <w:jc w:val="both"/>
              <w:rPr>
                <w:rFonts w:hint="eastAsia" w:cs="Times New Roman"/>
                <w:bCs/>
                <w:caps w:val="0"/>
                <w:smallCaps w:val="0"/>
                <w:snapToGrid w:val="0"/>
                <w:color w:val="auto"/>
                <w:spacing w:val="0"/>
                <w:w w:val="100"/>
                <w:kern w:val="0"/>
                <w:position w:val="0"/>
                <w:sz w:val="24"/>
                <w:szCs w:val="24"/>
                <w:lang w:val="en-US" w:eastAsia="zh-CN"/>
              </w:rPr>
            </w:pPr>
          </w:p>
          <w:p w14:paraId="55B0791C">
            <w:pPr>
              <w:adjustRightInd w:val="0"/>
              <w:spacing w:line="480" w:lineRule="exact"/>
              <w:jc w:val="both"/>
              <w:rPr>
                <w:rFonts w:hint="eastAsia" w:ascii="Times New Roman" w:hAnsi="Times New Roman" w:eastAsia="黑体" w:cs="Times New Roman"/>
                <w:color w:val="auto"/>
                <w:spacing w:val="0"/>
                <w:position w:val="0"/>
                <w:lang w:eastAsia="zh-CN"/>
              </w:rPr>
            </w:pPr>
          </w:p>
        </w:tc>
      </w:tr>
    </w:tbl>
    <w:p w14:paraId="307B8F75">
      <w:pPr>
        <w:pStyle w:val="3"/>
        <w:bidi w:val="0"/>
        <w:rPr>
          <w:rFonts w:hint="default"/>
        </w:rPr>
      </w:pPr>
      <w:bookmarkStart w:id="12" w:name="_Toc9018"/>
      <w:r>
        <w:rPr>
          <w:rFonts w:hint="default"/>
        </w:rPr>
        <w:t>四、主要环境影响和保护措施</w:t>
      </w:r>
      <w:bookmarkEnd w:id="12"/>
    </w:p>
    <w:tbl>
      <w:tblPr>
        <w:tblStyle w:val="26"/>
        <w:tblW w:w="996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7"/>
        <w:gridCol w:w="9170"/>
      </w:tblGrid>
      <w:tr w14:paraId="09C086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1754" w:hRule="atLeast"/>
          <w:jc w:val="center"/>
        </w:trPr>
        <w:tc>
          <w:tcPr>
            <w:tcW w:w="797" w:type="dxa"/>
            <w:tcMar>
              <w:left w:w="28" w:type="dxa"/>
              <w:right w:w="28" w:type="dxa"/>
            </w:tcMar>
            <w:vAlign w:val="center"/>
          </w:tcPr>
          <w:p w14:paraId="12B12A96">
            <w:pPr>
              <w:pStyle w:val="23"/>
              <w:adjustRightInd w:val="0"/>
              <w:snapToGrid w:val="0"/>
              <w:spacing w:before="0" w:beforeAutospacing="0" w:after="0" w:afterAutospacing="0"/>
              <w:jc w:val="center"/>
              <w:rPr>
                <w:rFonts w:hint="default" w:ascii="Times New Roman" w:hAnsi="Times New Roman" w:cs="Times New Roman"/>
                <w:b/>
                <w:bCs/>
                <w:color w:val="auto"/>
                <w:spacing w:val="0"/>
                <w:kern w:val="2"/>
                <w:position w:val="0"/>
                <w:szCs w:val="24"/>
              </w:rPr>
            </w:pPr>
            <w:r>
              <w:rPr>
                <w:rFonts w:hint="default" w:ascii="Times New Roman" w:hAnsi="Times New Roman" w:cs="Times New Roman"/>
                <w:b/>
                <w:bCs/>
                <w:color w:val="auto"/>
                <w:spacing w:val="0"/>
                <w:kern w:val="2"/>
                <w:position w:val="0"/>
                <w:szCs w:val="24"/>
              </w:rPr>
              <w:t>施工</w:t>
            </w:r>
          </w:p>
          <w:p w14:paraId="02799AF9">
            <w:pPr>
              <w:pStyle w:val="23"/>
              <w:adjustRightInd w:val="0"/>
              <w:snapToGrid w:val="0"/>
              <w:spacing w:before="0" w:beforeAutospacing="0" w:after="0" w:afterAutospacing="0"/>
              <w:jc w:val="center"/>
              <w:rPr>
                <w:rFonts w:hint="default" w:ascii="Times New Roman" w:hAnsi="Times New Roman" w:cs="Times New Roman"/>
                <w:b/>
                <w:bCs/>
                <w:color w:val="auto"/>
                <w:spacing w:val="0"/>
                <w:kern w:val="2"/>
                <w:position w:val="0"/>
                <w:szCs w:val="24"/>
              </w:rPr>
            </w:pPr>
            <w:r>
              <w:rPr>
                <w:rFonts w:hint="default" w:ascii="Times New Roman" w:hAnsi="Times New Roman" w:cs="Times New Roman"/>
                <w:b/>
                <w:bCs/>
                <w:color w:val="auto"/>
                <w:spacing w:val="0"/>
                <w:kern w:val="2"/>
                <w:position w:val="0"/>
                <w:szCs w:val="24"/>
              </w:rPr>
              <w:t>期环</w:t>
            </w:r>
          </w:p>
          <w:p w14:paraId="3FB55827">
            <w:pPr>
              <w:pStyle w:val="23"/>
              <w:adjustRightInd w:val="0"/>
              <w:snapToGrid w:val="0"/>
              <w:spacing w:before="0" w:beforeAutospacing="0" w:after="0" w:afterAutospacing="0"/>
              <w:jc w:val="center"/>
              <w:rPr>
                <w:rFonts w:hint="default" w:ascii="Times New Roman" w:hAnsi="Times New Roman" w:cs="Times New Roman"/>
                <w:b/>
                <w:bCs/>
                <w:color w:val="auto"/>
                <w:spacing w:val="0"/>
                <w:kern w:val="2"/>
                <w:position w:val="0"/>
                <w:szCs w:val="24"/>
              </w:rPr>
            </w:pPr>
            <w:r>
              <w:rPr>
                <w:rFonts w:hint="default" w:ascii="Times New Roman" w:hAnsi="Times New Roman" w:cs="Times New Roman"/>
                <w:b/>
                <w:bCs/>
                <w:color w:val="auto"/>
                <w:spacing w:val="0"/>
                <w:kern w:val="2"/>
                <w:position w:val="0"/>
                <w:szCs w:val="24"/>
              </w:rPr>
              <w:t>境保</w:t>
            </w:r>
          </w:p>
          <w:p w14:paraId="00C584D2">
            <w:pPr>
              <w:pStyle w:val="23"/>
              <w:adjustRightInd w:val="0"/>
              <w:snapToGrid w:val="0"/>
              <w:spacing w:before="0" w:beforeAutospacing="0" w:after="0" w:afterAutospacing="0"/>
              <w:jc w:val="center"/>
              <w:rPr>
                <w:rFonts w:hint="default" w:ascii="Times New Roman" w:hAnsi="Times New Roman" w:cs="Times New Roman"/>
                <w:b/>
                <w:bCs/>
                <w:color w:val="auto"/>
                <w:spacing w:val="0"/>
                <w:kern w:val="2"/>
                <w:position w:val="0"/>
                <w:szCs w:val="24"/>
              </w:rPr>
            </w:pPr>
            <w:r>
              <w:rPr>
                <w:rFonts w:hint="default" w:ascii="Times New Roman" w:hAnsi="Times New Roman" w:cs="Times New Roman"/>
                <w:b/>
                <w:bCs/>
                <w:color w:val="auto"/>
                <w:spacing w:val="0"/>
                <w:kern w:val="2"/>
                <w:position w:val="0"/>
                <w:szCs w:val="24"/>
              </w:rPr>
              <w:t>护措</w:t>
            </w:r>
          </w:p>
          <w:p w14:paraId="40B7B89D">
            <w:pPr>
              <w:pStyle w:val="23"/>
              <w:adjustRightInd w:val="0"/>
              <w:snapToGrid w:val="0"/>
              <w:spacing w:before="0" w:beforeAutospacing="0" w:after="0" w:afterAutospacing="0"/>
              <w:jc w:val="center"/>
              <w:rPr>
                <w:rFonts w:hint="default" w:ascii="Times New Roman" w:hAnsi="Times New Roman" w:cs="Times New Roman"/>
                <w:b/>
                <w:bCs/>
                <w:color w:val="auto"/>
                <w:spacing w:val="0"/>
                <w:kern w:val="2"/>
                <w:position w:val="0"/>
                <w:szCs w:val="24"/>
              </w:rPr>
            </w:pPr>
            <w:r>
              <w:rPr>
                <w:rFonts w:hint="default" w:ascii="Times New Roman" w:hAnsi="Times New Roman" w:cs="Times New Roman"/>
                <w:b/>
                <w:bCs/>
                <w:color w:val="auto"/>
                <w:spacing w:val="0"/>
                <w:kern w:val="2"/>
                <w:position w:val="0"/>
                <w:szCs w:val="24"/>
              </w:rPr>
              <w:t>施</w:t>
            </w:r>
          </w:p>
        </w:tc>
        <w:tc>
          <w:tcPr>
            <w:tcW w:w="9170" w:type="dxa"/>
            <w:vAlign w:val="center"/>
          </w:tcPr>
          <w:p w14:paraId="7B5ED0CF">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r>
              <w:rPr>
                <w:rFonts w:hint="default" w:ascii="Times New Roman" w:hAnsi="Times New Roman" w:eastAsia="宋体" w:cs="Times New Roman"/>
                <w:color w:val="auto"/>
                <w:kern w:val="0"/>
                <w:sz w:val="24"/>
                <w:szCs w:val="24"/>
                <w:lang w:eastAsia="zh-CN" w:bidi="ar"/>
              </w:rPr>
              <w:t>拟建项目</w:t>
            </w:r>
            <w:r>
              <w:rPr>
                <w:rFonts w:hint="eastAsia" w:ascii="Times New Roman" w:hAnsi="Times New Roman" w:eastAsia="宋体" w:cs="Times New Roman"/>
                <w:color w:val="auto"/>
                <w:kern w:val="0"/>
                <w:sz w:val="24"/>
                <w:szCs w:val="24"/>
                <w:lang w:val="en-US" w:eastAsia="zh-CN" w:bidi="ar"/>
              </w:rPr>
              <w:t>主要</w:t>
            </w:r>
            <w:r>
              <w:rPr>
                <w:rFonts w:hint="eastAsia" w:cs="Times New Roman"/>
                <w:color w:val="auto"/>
                <w:kern w:val="0"/>
                <w:sz w:val="24"/>
                <w:szCs w:val="24"/>
                <w:lang w:val="en-US" w:eastAsia="zh-CN" w:bidi="ar"/>
              </w:rPr>
              <w:t>租赁</w:t>
            </w:r>
            <w:r>
              <w:rPr>
                <w:rFonts w:hint="eastAsia" w:ascii="Times New Roman" w:hAnsi="Times New Roman" w:cs="Times New Roman"/>
                <w:color w:val="auto"/>
                <w:kern w:val="0"/>
                <w:sz w:val="24"/>
                <w:szCs w:val="24"/>
                <w:lang w:val="en-US" w:eastAsia="zh-CN" w:bidi="ar"/>
              </w:rPr>
              <w:t>池州市</w:t>
            </w:r>
            <w:r>
              <w:rPr>
                <w:rFonts w:hint="eastAsia" w:ascii="Times New Roman" w:hAnsi="Times New Roman" w:eastAsia="宋体" w:cs="Times New Roman"/>
                <w:color w:val="auto"/>
                <w:kern w:val="0"/>
                <w:sz w:val="24"/>
                <w:szCs w:val="24"/>
                <w:lang w:val="en-US" w:eastAsia="zh-CN" w:bidi="ar"/>
              </w:rPr>
              <w:t>皖江江南新兴产业集中区万凯工业园7#厂房</w:t>
            </w:r>
            <w:r>
              <w:rPr>
                <w:rFonts w:hint="default" w:ascii="Times New Roman" w:hAnsi="Times New Roman" w:eastAsia="宋体" w:cs="Times New Roman"/>
                <w:color w:val="auto"/>
                <w:kern w:val="0"/>
                <w:sz w:val="24"/>
                <w:szCs w:val="24"/>
                <w:lang w:eastAsia="zh-CN" w:bidi="ar"/>
              </w:rPr>
              <w:t>，施工期仅进行</w:t>
            </w:r>
            <w:r>
              <w:rPr>
                <w:rFonts w:hint="eastAsia" w:ascii="Times New Roman" w:hAnsi="Times New Roman" w:eastAsia="宋体" w:cs="Times New Roman"/>
                <w:color w:val="auto"/>
                <w:kern w:val="0"/>
                <w:sz w:val="24"/>
                <w:szCs w:val="24"/>
                <w:lang w:val="en-US" w:eastAsia="zh-CN" w:bidi="ar"/>
              </w:rPr>
              <w:t>设备</w:t>
            </w:r>
            <w:r>
              <w:rPr>
                <w:rFonts w:hint="default" w:ascii="Times New Roman" w:hAnsi="Times New Roman" w:eastAsia="宋体" w:cs="Times New Roman"/>
                <w:color w:val="auto"/>
                <w:kern w:val="0"/>
                <w:sz w:val="24"/>
                <w:szCs w:val="24"/>
                <w:lang w:eastAsia="zh-CN" w:bidi="ar"/>
              </w:rPr>
              <w:t>安装，无土建工程，拟建项目施工期</w:t>
            </w:r>
            <w:r>
              <w:rPr>
                <w:rFonts w:hint="default" w:ascii="Times New Roman" w:hAnsi="Times New Roman" w:eastAsia="宋体" w:cs="Times New Roman"/>
                <w:color w:val="auto"/>
                <w:kern w:val="0"/>
                <w:sz w:val="24"/>
                <w:szCs w:val="24"/>
                <w:lang w:bidi="ar"/>
              </w:rPr>
              <w:t>主要为</w:t>
            </w:r>
            <w:r>
              <w:rPr>
                <w:rFonts w:hint="eastAsia" w:ascii="Times New Roman" w:hAnsi="Times New Roman" w:eastAsia="宋体" w:cs="Times New Roman"/>
                <w:color w:val="auto"/>
                <w:kern w:val="0"/>
                <w:sz w:val="24"/>
                <w:szCs w:val="24"/>
                <w:lang w:val="en-US" w:eastAsia="zh-CN" w:bidi="ar"/>
              </w:rPr>
              <w:t>设备</w:t>
            </w:r>
            <w:r>
              <w:rPr>
                <w:rFonts w:hint="default" w:ascii="Times New Roman" w:hAnsi="Times New Roman" w:eastAsia="宋体" w:cs="Times New Roman"/>
                <w:color w:val="auto"/>
                <w:kern w:val="0"/>
                <w:sz w:val="24"/>
                <w:szCs w:val="24"/>
                <w:lang w:bidi="ar"/>
              </w:rPr>
              <w:t>的安装调试，对外界环境影响较小。</w:t>
            </w:r>
          </w:p>
          <w:p w14:paraId="5B47E343">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7A47E9AD">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4B21AD43">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68A3FFFC">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57CF0CE8">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65691FB2">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72E5D6E9">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131B81DC">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52FD2346">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60FCF0A8">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11514C7A">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7991A927">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67846B79">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73E55B93">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21BAAFA8">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14D81B8C">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1F2DAC61">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5775AE57">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snapToGrid w:val="0"/>
                <w:color w:val="auto"/>
                <w:spacing w:val="0"/>
                <w:kern w:val="0"/>
                <w:position w:val="0"/>
                <w:sz w:val="24"/>
                <w:lang w:val="en-US" w:eastAsia="zh-CN"/>
              </w:rPr>
            </w:pPr>
          </w:p>
          <w:p w14:paraId="6DF086D9">
            <w:pPr>
              <w:tabs>
                <w:tab w:val="left" w:pos="2238"/>
              </w:tabs>
              <w:bidi w:val="0"/>
              <w:jc w:val="left"/>
              <w:rPr>
                <w:rFonts w:hint="eastAsia"/>
                <w:color w:val="auto"/>
                <w:lang w:val="en-US" w:eastAsia="zh-CN"/>
              </w:rPr>
            </w:pPr>
          </w:p>
          <w:p w14:paraId="236DE8CC">
            <w:pPr>
              <w:tabs>
                <w:tab w:val="left" w:pos="2238"/>
              </w:tabs>
              <w:bidi w:val="0"/>
              <w:jc w:val="left"/>
              <w:rPr>
                <w:rFonts w:hint="eastAsia"/>
                <w:color w:val="auto"/>
                <w:lang w:val="en-US" w:eastAsia="zh-CN"/>
              </w:rPr>
            </w:pPr>
          </w:p>
          <w:p w14:paraId="7D1200F2">
            <w:pPr>
              <w:tabs>
                <w:tab w:val="left" w:pos="2238"/>
              </w:tabs>
              <w:bidi w:val="0"/>
              <w:jc w:val="left"/>
              <w:rPr>
                <w:rFonts w:hint="eastAsia"/>
                <w:color w:val="auto"/>
                <w:lang w:val="en-US" w:eastAsia="zh-CN"/>
              </w:rPr>
            </w:pPr>
          </w:p>
          <w:p w14:paraId="18265BFA">
            <w:pPr>
              <w:tabs>
                <w:tab w:val="left" w:pos="2238"/>
              </w:tabs>
              <w:bidi w:val="0"/>
              <w:jc w:val="left"/>
              <w:rPr>
                <w:rFonts w:hint="default"/>
                <w:color w:val="auto"/>
                <w:lang w:val="en-US" w:eastAsia="zh-CN"/>
              </w:rPr>
            </w:pPr>
          </w:p>
        </w:tc>
      </w:tr>
      <w:tr w14:paraId="427B4F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752" w:hRule="atLeast"/>
          <w:jc w:val="center"/>
        </w:trPr>
        <w:tc>
          <w:tcPr>
            <w:tcW w:w="797" w:type="dxa"/>
            <w:tcMar>
              <w:left w:w="28" w:type="dxa"/>
              <w:right w:w="28" w:type="dxa"/>
            </w:tcMar>
            <w:vAlign w:val="center"/>
          </w:tcPr>
          <w:p w14:paraId="501137FF">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运营</w:t>
            </w:r>
          </w:p>
          <w:p w14:paraId="4E7E32FD">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期环</w:t>
            </w:r>
          </w:p>
          <w:p w14:paraId="23A56E32">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境影</w:t>
            </w:r>
          </w:p>
          <w:p w14:paraId="4A89F728">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响和</w:t>
            </w:r>
          </w:p>
          <w:p w14:paraId="02863D01">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保护</w:t>
            </w:r>
          </w:p>
          <w:p w14:paraId="4AF6DFDB">
            <w:pPr>
              <w:pStyle w:val="23"/>
              <w:adjustRightInd w:val="0"/>
              <w:snapToGrid w:val="0"/>
              <w:spacing w:before="0" w:beforeAutospacing="0" w:after="0" w:afterAutospacing="0"/>
              <w:jc w:val="center"/>
              <w:rPr>
                <w:rFonts w:hint="default" w:ascii="Times New Roman" w:hAnsi="Times New Roman" w:cs="Times New Roman"/>
                <w:b/>
                <w:bCs/>
                <w:color w:val="auto"/>
                <w:spacing w:val="0"/>
                <w:kern w:val="2"/>
                <w:position w:val="0"/>
                <w:szCs w:val="24"/>
              </w:rPr>
            </w:pPr>
            <w:r>
              <w:rPr>
                <w:rFonts w:hint="default" w:ascii="Times New Roman" w:hAnsi="Times New Roman" w:cs="Times New Roman"/>
                <w:b/>
                <w:bCs w:val="0"/>
                <w:color w:val="auto"/>
                <w:spacing w:val="0"/>
                <w:position w:val="0"/>
                <w:sz w:val="24"/>
              </w:rPr>
              <w:t>措施</w:t>
            </w:r>
          </w:p>
        </w:tc>
        <w:tc>
          <w:tcPr>
            <w:tcW w:w="9170" w:type="dxa"/>
            <w:vAlign w:val="top"/>
          </w:tcPr>
          <w:p w14:paraId="498873AB">
            <w:pPr>
              <w:keepNext w:val="0"/>
              <w:keepLines w:val="0"/>
              <w:pageBreakBefore w:val="0"/>
              <w:widowControl w:val="0"/>
              <w:kinsoku/>
              <w:wordWrap/>
              <w:overflowPunct/>
              <w:topLinePunct w:val="0"/>
              <w:autoSpaceDE/>
              <w:autoSpaceDN/>
              <w:bidi w:val="0"/>
              <w:adjustRightInd/>
              <w:snapToGrid/>
              <w:spacing w:line="480" w:lineRule="atLeast"/>
              <w:textAlignment w:val="auto"/>
              <w:rPr>
                <w:rFonts w:hint="default" w:ascii="Times New Roman" w:hAnsi="Times New Roman" w:cs="Times New Roman"/>
                <w:color w:val="auto"/>
                <w:spacing w:val="0"/>
                <w:kern w:val="10"/>
                <w:position w:val="0"/>
                <w:sz w:val="24"/>
                <w:lang w:eastAsia="zh-CN"/>
              </w:rPr>
            </w:pPr>
            <w:r>
              <w:rPr>
                <w:rFonts w:hint="eastAsia" w:cs="Times New Roman"/>
                <w:b/>
                <w:bCs/>
                <w:color w:val="auto"/>
                <w:spacing w:val="0"/>
                <w:sz w:val="24"/>
                <w:lang w:val="en-US" w:eastAsia="zh-CN"/>
              </w:rPr>
              <w:t>4.1</w:t>
            </w:r>
            <w:r>
              <w:rPr>
                <w:rFonts w:hint="default" w:ascii="Times New Roman" w:hAnsi="Times New Roman" w:eastAsia="宋体" w:cs="Times New Roman"/>
                <w:b/>
                <w:bCs/>
                <w:color w:val="auto"/>
                <w:spacing w:val="0"/>
                <w:sz w:val="24"/>
                <w:lang w:val="en-US" w:eastAsia="zh-CN"/>
              </w:rPr>
              <w:t>大气环境影响及保护措施</w:t>
            </w:r>
          </w:p>
          <w:p w14:paraId="260893F9">
            <w:pPr>
              <w:keepNext w:val="0"/>
              <w:keepLines w:val="0"/>
              <w:pageBreakBefore w:val="0"/>
              <w:widowControl w:val="0"/>
              <w:kinsoku/>
              <w:wordWrap/>
              <w:overflowPunct/>
              <w:topLinePunct w:val="0"/>
              <w:autoSpaceDE/>
              <w:autoSpaceDN/>
              <w:bidi w:val="0"/>
              <w:adjustRightInd/>
              <w:snapToGrid/>
              <w:spacing w:line="480" w:lineRule="atLeast"/>
              <w:textAlignment w:val="auto"/>
              <w:rPr>
                <w:rFonts w:hint="default" w:ascii="Times New Roman" w:hAnsi="Times New Roman" w:cs="Times New Roman"/>
                <w:b/>
                <w:bCs/>
                <w:color w:val="auto"/>
                <w:spacing w:val="0"/>
                <w:sz w:val="24"/>
                <w:lang w:val="en-US" w:eastAsia="zh-CN"/>
              </w:rPr>
            </w:pPr>
            <w:r>
              <w:rPr>
                <w:rFonts w:hint="eastAsia" w:cs="Times New Roman"/>
                <w:b/>
                <w:bCs/>
                <w:color w:val="auto"/>
                <w:spacing w:val="0"/>
                <w:sz w:val="24"/>
                <w:lang w:val="en-US" w:eastAsia="zh-CN"/>
              </w:rPr>
              <w:t>4.1.1废气类型及治理措施</w:t>
            </w:r>
          </w:p>
          <w:p w14:paraId="5000E97C">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cs="Times New Roman"/>
                <w:b/>
                <w:bCs/>
                <w:color w:val="auto"/>
                <w:spacing w:val="0"/>
                <w:kern w:val="10"/>
                <w:position w:val="0"/>
                <w:sz w:val="21"/>
                <w:szCs w:val="21"/>
                <w:lang w:val="en-US" w:eastAsia="zh-CN"/>
              </w:rPr>
            </w:pPr>
            <w:r>
              <w:rPr>
                <w:rFonts w:hint="eastAsia" w:ascii="Times New Roman" w:hAnsi="Times New Roman" w:cs="Times New Roman"/>
                <w:b/>
                <w:bCs/>
                <w:color w:val="auto"/>
                <w:spacing w:val="0"/>
                <w:kern w:val="10"/>
                <w:position w:val="0"/>
                <w:sz w:val="21"/>
                <w:szCs w:val="21"/>
                <w:lang w:val="en-US" w:eastAsia="zh-CN"/>
              </w:rPr>
              <w:t>表4-1  运营期废气类型</w:t>
            </w:r>
            <w:r>
              <w:rPr>
                <w:rFonts w:hint="eastAsia" w:cs="Times New Roman"/>
                <w:b/>
                <w:bCs/>
                <w:color w:val="auto"/>
                <w:spacing w:val="0"/>
                <w:kern w:val="10"/>
                <w:position w:val="0"/>
                <w:sz w:val="21"/>
                <w:szCs w:val="21"/>
                <w:lang w:val="en-US" w:eastAsia="zh-CN"/>
              </w:rPr>
              <w:t>及治理措施</w:t>
            </w:r>
            <w:r>
              <w:rPr>
                <w:rFonts w:hint="eastAsia" w:ascii="Times New Roman" w:hAnsi="Times New Roman" w:cs="Times New Roman"/>
                <w:b/>
                <w:bCs/>
                <w:color w:val="auto"/>
                <w:spacing w:val="0"/>
                <w:kern w:val="10"/>
                <w:position w:val="0"/>
                <w:sz w:val="21"/>
                <w:szCs w:val="21"/>
                <w:lang w:val="en-US" w:eastAsia="zh-CN"/>
              </w:rPr>
              <w:t>一览表</w:t>
            </w:r>
          </w:p>
          <w:tbl>
            <w:tblPr>
              <w:tblStyle w:val="26"/>
              <w:tblW w:w="89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4"/>
              <w:gridCol w:w="716"/>
              <w:gridCol w:w="604"/>
              <w:gridCol w:w="1505"/>
              <w:gridCol w:w="1507"/>
              <w:gridCol w:w="1923"/>
              <w:gridCol w:w="1090"/>
              <w:gridCol w:w="897"/>
            </w:tblGrid>
            <w:tr w14:paraId="156DE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F1D3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474D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32138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废气类型</w:t>
                  </w:r>
                </w:p>
              </w:tc>
              <w:tc>
                <w:tcPr>
                  <w:tcW w:w="1507" w:type="dxa"/>
                  <w:tcBorders>
                    <w:top w:val="single" w:color="000000" w:sz="4" w:space="0"/>
                    <w:left w:val="nil"/>
                    <w:bottom w:val="single" w:color="000000" w:sz="4" w:space="0"/>
                    <w:right w:val="single" w:color="000000" w:sz="4" w:space="0"/>
                  </w:tcBorders>
                  <w:shd w:val="clear" w:color="auto" w:fill="auto"/>
                  <w:vAlign w:val="center"/>
                </w:tcPr>
                <w:p w14:paraId="0AF6DE3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污染因子</w:t>
                  </w:r>
                </w:p>
              </w:tc>
              <w:tc>
                <w:tcPr>
                  <w:tcW w:w="1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BD9C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收集措施</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D6A3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处理措施</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E8DD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排气筒</w:t>
                  </w:r>
                </w:p>
              </w:tc>
            </w:tr>
            <w:tr w14:paraId="55E43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jc w:val="center"/>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6CC16">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拆框区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C395">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1</w:t>
                  </w: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3D9F89">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分选粉尘</w:t>
                  </w:r>
                </w:p>
              </w:tc>
              <w:tc>
                <w:tcPr>
                  <w:tcW w:w="1507" w:type="dxa"/>
                  <w:tcBorders>
                    <w:top w:val="single" w:color="000000" w:sz="4" w:space="0"/>
                    <w:left w:val="nil"/>
                    <w:bottom w:val="single" w:color="000000" w:sz="4" w:space="0"/>
                    <w:right w:val="single" w:color="000000" w:sz="4" w:space="0"/>
                  </w:tcBorders>
                  <w:shd w:val="clear" w:color="auto" w:fill="auto"/>
                  <w:vAlign w:val="center"/>
                </w:tcPr>
                <w:p w14:paraId="56693647">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颗粒物</w:t>
                  </w:r>
                </w:p>
              </w:tc>
              <w:tc>
                <w:tcPr>
                  <w:tcW w:w="39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777D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无组织排放。</w:t>
                  </w:r>
                </w:p>
              </w:tc>
            </w:tr>
            <w:tr w14:paraId="659B6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AA2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热解分选生产区</w:t>
                  </w:r>
                </w:p>
              </w:tc>
              <w:tc>
                <w:tcPr>
                  <w:tcW w:w="716" w:type="dxa"/>
                  <w:vMerge w:val="restart"/>
                  <w:tcBorders>
                    <w:top w:val="single" w:color="000000" w:sz="4" w:space="0"/>
                    <w:left w:val="single" w:color="000000" w:sz="4" w:space="0"/>
                    <w:bottom w:val="nil"/>
                    <w:right w:val="single" w:color="000000" w:sz="4" w:space="0"/>
                  </w:tcBorders>
                  <w:shd w:val="clear" w:color="auto" w:fill="auto"/>
                  <w:vAlign w:val="center"/>
                </w:tcPr>
                <w:p w14:paraId="0C5B9B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2</w:t>
                  </w:r>
                </w:p>
              </w:tc>
              <w:tc>
                <w:tcPr>
                  <w:tcW w:w="21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3E7CE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热解炉尾气、燃烧室不凝气燃烧废气、清洗炉燃烧烟气、烘干炉燃烧烟气</w:t>
                  </w:r>
                  <w:r>
                    <w:rPr>
                      <w:rFonts w:hint="eastAsia" w:ascii="宋体" w:hAnsi="宋体" w:cs="宋体"/>
                      <w:i w:val="0"/>
                      <w:iCs w:val="0"/>
                      <w:color w:val="000000"/>
                      <w:kern w:val="0"/>
                      <w:sz w:val="21"/>
                      <w:szCs w:val="21"/>
                      <w:u w:val="none"/>
                      <w:lang w:val="en-US" w:eastAsia="zh-CN" w:bidi="ar"/>
                    </w:rPr>
                    <w:t>、油罐呼吸气</w:t>
                  </w: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96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923" w:type="dxa"/>
                  <w:vMerge w:val="restart"/>
                  <w:tcBorders>
                    <w:top w:val="single" w:color="000000" w:sz="4" w:space="0"/>
                    <w:left w:val="single" w:color="000000" w:sz="4" w:space="0"/>
                    <w:right w:val="single" w:color="000000" w:sz="4" w:space="0"/>
                  </w:tcBorders>
                  <w:shd w:val="clear" w:color="auto" w:fill="auto"/>
                  <w:vAlign w:val="center"/>
                </w:tcPr>
                <w:p w14:paraId="3363AE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b w:val="0"/>
                      <w:bCs w:val="0"/>
                      <w:color w:val="auto"/>
                      <w:spacing w:val="0"/>
                      <w:kern w:val="10"/>
                      <w:position w:val="0"/>
                      <w:sz w:val="21"/>
                      <w:szCs w:val="21"/>
                      <w:lang w:val="en-US" w:eastAsia="zh-CN"/>
                    </w:rPr>
                    <w:t>热解炉、燃气室、清洗炉和烘干炉均设置密闭管道，热解炉炉体出料口上方设置集气罩，油罐呼吸阀接密闭管道</w:t>
                  </w:r>
                </w:p>
              </w:tc>
              <w:tc>
                <w:tcPr>
                  <w:tcW w:w="10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6ED8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21"/>
                      <w:szCs w:val="21"/>
                      <w:u w:val="none"/>
                      <w:lang w:val="en-US" w:eastAsia="zh-CN" w:bidi="ar"/>
                    </w:rPr>
                    <w:t>”</w:t>
                  </w:r>
                </w:p>
              </w:tc>
              <w:tc>
                <w:tcPr>
                  <w:tcW w:w="8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5FBC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DA001</w:t>
                  </w:r>
                </w:p>
              </w:tc>
            </w:tr>
            <w:tr w14:paraId="28786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994BA">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2452459F">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CCF20">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2EA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923" w:type="dxa"/>
                  <w:vMerge w:val="continue"/>
                  <w:tcBorders>
                    <w:left w:val="single" w:color="000000" w:sz="4" w:space="0"/>
                    <w:right w:val="single" w:color="000000" w:sz="4" w:space="0"/>
                  </w:tcBorders>
                  <w:shd w:val="clear" w:color="auto" w:fill="auto"/>
                  <w:vAlign w:val="center"/>
                </w:tcPr>
                <w:p w14:paraId="57BD35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F56E9">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101F1">
                  <w:pPr>
                    <w:jc w:val="center"/>
                    <w:rPr>
                      <w:rFonts w:hint="default" w:ascii="Times New Roman" w:hAnsi="Times New Roman" w:eastAsia="宋体" w:cs="Times New Roman"/>
                      <w:i w:val="0"/>
                      <w:iCs w:val="0"/>
                      <w:color w:val="000000"/>
                      <w:sz w:val="21"/>
                      <w:szCs w:val="21"/>
                      <w:u w:val="none"/>
                    </w:rPr>
                  </w:pPr>
                </w:p>
              </w:tc>
            </w:tr>
            <w:tr w14:paraId="39A3A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8C3B9">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16826033">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0B330">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6B1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923" w:type="dxa"/>
                  <w:vMerge w:val="continue"/>
                  <w:tcBorders>
                    <w:left w:val="single" w:color="000000" w:sz="4" w:space="0"/>
                    <w:right w:val="single" w:color="000000" w:sz="4" w:space="0"/>
                  </w:tcBorders>
                  <w:shd w:val="clear" w:color="auto" w:fill="auto"/>
                  <w:vAlign w:val="center"/>
                </w:tcPr>
                <w:p w14:paraId="72A9C9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47FB0">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58168">
                  <w:pPr>
                    <w:jc w:val="center"/>
                    <w:rPr>
                      <w:rFonts w:hint="default" w:ascii="Times New Roman" w:hAnsi="Times New Roman" w:eastAsia="宋体" w:cs="Times New Roman"/>
                      <w:i w:val="0"/>
                      <w:iCs w:val="0"/>
                      <w:color w:val="000000"/>
                      <w:sz w:val="21"/>
                      <w:szCs w:val="21"/>
                      <w:u w:val="none"/>
                    </w:rPr>
                  </w:pPr>
                </w:p>
              </w:tc>
            </w:tr>
            <w:tr w14:paraId="2ED78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97BB6">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2A5418EE">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ED9CB">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59D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锡及其化合物</w:t>
                  </w:r>
                </w:p>
              </w:tc>
              <w:tc>
                <w:tcPr>
                  <w:tcW w:w="1923" w:type="dxa"/>
                  <w:vMerge w:val="continue"/>
                  <w:tcBorders>
                    <w:left w:val="single" w:color="000000" w:sz="4" w:space="0"/>
                    <w:right w:val="single" w:color="000000" w:sz="4" w:space="0"/>
                  </w:tcBorders>
                  <w:shd w:val="clear" w:color="auto" w:fill="auto"/>
                  <w:vAlign w:val="center"/>
                </w:tcPr>
                <w:p w14:paraId="0E5152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7CAA3">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A5F6F">
                  <w:pPr>
                    <w:jc w:val="center"/>
                    <w:rPr>
                      <w:rFonts w:hint="default" w:ascii="Times New Roman" w:hAnsi="Times New Roman" w:eastAsia="宋体" w:cs="Times New Roman"/>
                      <w:i w:val="0"/>
                      <w:iCs w:val="0"/>
                      <w:color w:val="000000"/>
                      <w:sz w:val="21"/>
                      <w:szCs w:val="21"/>
                      <w:u w:val="none"/>
                    </w:rPr>
                  </w:pPr>
                </w:p>
              </w:tc>
            </w:tr>
            <w:tr w14:paraId="6597D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FE51B">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1D95BB03">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FE964">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78D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氟化物</w:t>
                  </w:r>
                </w:p>
              </w:tc>
              <w:tc>
                <w:tcPr>
                  <w:tcW w:w="1923" w:type="dxa"/>
                  <w:vMerge w:val="continue"/>
                  <w:tcBorders>
                    <w:left w:val="single" w:color="000000" w:sz="4" w:space="0"/>
                    <w:bottom w:val="single" w:color="000000" w:sz="4" w:space="0"/>
                    <w:right w:val="single" w:color="000000" w:sz="4" w:space="0"/>
                  </w:tcBorders>
                  <w:shd w:val="clear" w:color="auto" w:fill="auto"/>
                  <w:vAlign w:val="center"/>
                </w:tcPr>
                <w:p w14:paraId="55C7E7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67C3F">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27878">
                  <w:pPr>
                    <w:jc w:val="center"/>
                    <w:rPr>
                      <w:rFonts w:hint="default" w:ascii="Times New Roman" w:hAnsi="Times New Roman" w:eastAsia="宋体" w:cs="Times New Roman"/>
                      <w:i w:val="0"/>
                      <w:iCs w:val="0"/>
                      <w:color w:val="000000"/>
                      <w:sz w:val="21"/>
                      <w:szCs w:val="21"/>
                      <w:u w:val="none"/>
                    </w:rPr>
                  </w:pPr>
                </w:p>
              </w:tc>
            </w:tr>
            <w:tr w14:paraId="368BA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8DD10">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04E860BF">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3DFA5">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C8B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非甲烷总烃</w:t>
                  </w:r>
                </w:p>
              </w:tc>
              <w:tc>
                <w:tcPr>
                  <w:tcW w:w="1923" w:type="dxa"/>
                  <w:vMerge w:val="continue"/>
                  <w:tcBorders>
                    <w:left w:val="single" w:color="000000" w:sz="4" w:space="0"/>
                    <w:bottom w:val="single" w:color="000000" w:sz="4" w:space="0"/>
                    <w:right w:val="single" w:color="000000" w:sz="4" w:space="0"/>
                  </w:tcBorders>
                  <w:shd w:val="clear" w:color="auto" w:fill="auto"/>
                  <w:vAlign w:val="center"/>
                </w:tcPr>
                <w:p w14:paraId="720B67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53DC1">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AAF2A">
                  <w:pPr>
                    <w:jc w:val="center"/>
                    <w:rPr>
                      <w:rFonts w:hint="default" w:ascii="Times New Roman" w:hAnsi="Times New Roman" w:eastAsia="宋体" w:cs="Times New Roman"/>
                      <w:i w:val="0"/>
                      <w:iCs w:val="0"/>
                      <w:color w:val="000000"/>
                      <w:sz w:val="21"/>
                      <w:szCs w:val="21"/>
                      <w:u w:val="none"/>
                    </w:rPr>
                  </w:pPr>
                </w:p>
              </w:tc>
            </w:tr>
            <w:tr w14:paraId="572F0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AB5D4">
                  <w:pPr>
                    <w:jc w:val="center"/>
                    <w:rPr>
                      <w:rFonts w:hint="default" w:ascii="Times New Roman" w:hAnsi="Times New Roman" w:eastAsia="宋体" w:cs="Times New Roman"/>
                      <w:i w:val="0"/>
                      <w:iCs w:val="0"/>
                      <w:color w:val="000000"/>
                      <w:sz w:val="21"/>
                      <w:szCs w:val="21"/>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1C1B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3</w:t>
                  </w:r>
                </w:p>
              </w:tc>
              <w:tc>
                <w:tcPr>
                  <w:tcW w:w="604" w:type="dxa"/>
                  <w:vMerge w:val="restart"/>
                  <w:tcBorders>
                    <w:top w:val="single" w:color="000000" w:sz="4" w:space="0"/>
                    <w:left w:val="single" w:color="000000" w:sz="4" w:space="0"/>
                    <w:right w:val="single" w:color="000000" w:sz="4" w:space="0"/>
                  </w:tcBorders>
                  <w:shd w:val="clear" w:color="auto" w:fill="auto"/>
                  <w:vAlign w:val="center"/>
                </w:tcPr>
                <w:p w14:paraId="2784064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进仓粉尘</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31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w:t>
                  </w:r>
                </w:p>
              </w:tc>
              <w:tc>
                <w:tcPr>
                  <w:tcW w:w="1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AA6A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9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C17A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caps w:val="0"/>
                      <w:smallCaps w:val="0"/>
                      <w:color w:val="auto"/>
                      <w:spacing w:val="0"/>
                      <w:w w:val="100"/>
                      <w:position w:val="0"/>
                      <w:sz w:val="21"/>
                      <w:szCs w:val="21"/>
                      <w:lang w:val="en-US" w:eastAsia="zh-CN"/>
                    </w:rPr>
                    <w:t>筛分机、风选机、旋风分离器接密闭管道，储料仓进料口和传送带出料口上方、硅粉包装工位上方设置集气罩</w:t>
                  </w:r>
                </w:p>
              </w:tc>
              <w:tc>
                <w:tcPr>
                  <w:tcW w:w="10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9A1A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Times New Roman" w:hAnsi="Times New Roman" w:eastAsia="宋体" w:cs="Times New Roman"/>
                      <w:b w:val="0"/>
                      <w:bCs/>
                      <w:i w:val="0"/>
                      <w:iCs w:val="0"/>
                      <w:caps w:val="0"/>
                      <w:smallCaps w:val="0"/>
                      <w:color w:val="auto"/>
                      <w:spacing w:val="0"/>
                      <w:w w:val="100"/>
                      <w:position w:val="0"/>
                      <w:sz w:val="21"/>
                      <w:szCs w:val="21"/>
                      <w:lang w:val="en-US" w:eastAsia="zh-CN"/>
                    </w:rPr>
                    <w:t>覆膜布袋除尘器</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水喷淋塔</w:t>
                  </w:r>
                </w:p>
              </w:tc>
              <w:tc>
                <w:tcPr>
                  <w:tcW w:w="8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1862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DA002</w:t>
                  </w:r>
                </w:p>
              </w:tc>
            </w:tr>
            <w:tr w14:paraId="12591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F5D81">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3B353">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left w:val="single" w:color="000000" w:sz="4" w:space="0"/>
                    <w:right w:val="single" w:color="000000" w:sz="4" w:space="0"/>
                  </w:tcBorders>
                  <w:shd w:val="clear" w:color="auto" w:fill="auto"/>
                  <w:vAlign w:val="center"/>
                </w:tcPr>
                <w:p w14:paraId="0DA4FEF2">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89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3</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D8288">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B4D88">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D057D">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4AA46">
                  <w:pPr>
                    <w:jc w:val="center"/>
                    <w:rPr>
                      <w:rFonts w:hint="default" w:ascii="Times New Roman" w:hAnsi="Times New Roman" w:eastAsia="宋体" w:cs="Times New Roman"/>
                      <w:i w:val="0"/>
                      <w:iCs w:val="0"/>
                      <w:color w:val="000000"/>
                      <w:sz w:val="21"/>
                      <w:szCs w:val="21"/>
                      <w:u w:val="none"/>
                    </w:rPr>
                  </w:pPr>
                </w:p>
              </w:tc>
            </w:tr>
            <w:tr w14:paraId="51E91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245AB">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50D2E">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left w:val="single" w:color="000000" w:sz="4" w:space="0"/>
                    <w:right w:val="single" w:color="000000" w:sz="4" w:space="0"/>
                  </w:tcBorders>
                  <w:shd w:val="clear" w:color="auto" w:fill="auto"/>
                  <w:vAlign w:val="center"/>
                </w:tcPr>
                <w:p w14:paraId="4A789BD0">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06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4</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A4E23">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F7AE8">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64F14">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25C9D">
                  <w:pPr>
                    <w:jc w:val="center"/>
                    <w:rPr>
                      <w:rFonts w:hint="default" w:ascii="Times New Roman" w:hAnsi="Times New Roman" w:eastAsia="宋体" w:cs="Times New Roman"/>
                      <w:i w:val="0"/>
                      <w:iCs w:val="0"/>
                      <w:color w:val="000000"/>
                      <w:sz w:val="21"/>
                      <w:szCs w:val="21"/>
                      <w:u w:val="none"/>
                    </w:rPr>
                  </w:pPr>
                </w:p>
              </w:tc>
            </w:tr>
            <w:tr w14:paraId="14660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A1562">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8CD47">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left w:val="single" w:color="000000" w:sz="4" w:space="0"/>
                    <w:right w:val="single" w:color="000000" w:sz="4" w:space="0"/>
                  </w:tcBorders>
                  <w:shd w:val="clear" w:color="auto" w:fill="auto"/>
                  <w:vAlign w:val="center"/>
                </w:tcPr>
                <w:p w14:paraId="2C7EB1CB">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7E6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5</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0F394">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F2BED">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98A86">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B39B2">
                  <w:pPr>
                    <w:jc w:val="center"/>
                    <w:rPr>
                      <w:rFonts w:hint="default" w:ascii="Times New Roman" w:hAnsi="Times New Roman" w:eastAsia="宋体" w:cs="Times New Roman"/>
                      <w:i w:val="0"/>
                      <w:iCs w:val="0"/>
                      <w:color w:val="000000"/>
                      <w:sz w:val="21"/>
                      <w:szCs w:val="21"/>
                      <w:u w:val="none"/>
                    </w:rPr>
                  </w:pPr>
                </w:p>
              </w:tc>
            </w:tr>
            <w:tr w14:paraId="07283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21CED">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484CC">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left w:val="single" w:color="000000" w:sz="4" w:space="0"/>
                    <w:right w:val="single" w:color="000000" w:sz="4" w:space="0"/>
                  </w:tcBorders>
                  <w:shd w:val="clear" w:color="auto" w:fill="auto"/>
                  <w:vAlign w:val="center"/>
                </w:tcPr>
                <w:p w14:paraId="490E2DBA">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6C6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7</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EFCE1">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67BC0">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0C0F5">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0E989">
                  <w:pPr>
                    <w:jc w:val="center"/>
                    <w:rPr>
                      <w:rFonts w:hint="default" w:ascii="Times New Roman" w:hAnsi="Times New Roman" w:eastAsia="宋体" w:cs="Times New Roman"/>
                      <w:i w:val="0"/>
                      <w:iCs w:val="0"/>
                      <w:color w:val="000000"/>
                      <w:sz w:val="21"/>
                      <w:szCs w:val="21"/>
                      <w:u w:val="none"/>
                    </w:rPr>
                  </w:pPr>
                </w:p>
              </w:tc>
            </w:tr>
            <w:tr w14:paraId="2BCB7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CD73F">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B9466">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left w:val="single" w:color="000000" w:sz="4" w:space="0"/>
                    <w:bottom w:val="single" w:color="000000" w:sz="4" w:space="0"/>
                    <w:right w:val="single" w:color="000000" w:sz="4" w:space="0"/>
                  </w:tcBorders>
                  <w:shd w:val="clear" w:color="auto" w:fill="auto"/>
                  <w:vAlign w:val="center"/>
                </w:tcPr>
                <w:p w14:paraId="325B565D">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AA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9</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B5E5E">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0DE8C">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83B42">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BFBD2">
                  <w:pPr>
                    <w:jc w:val="center"/>
                    <w:rPr>
                      <w:rFonts w:hint="default" w:ascii="Times New Roman" w:hAnsi="Times New Roman" w:eastAsia="宋体" w:cs="Times New Roman"/>
                      <w:i w:val="0"/>
                      <w:iCs w:val="0"/>
                      <w:color w:val="000000"/>
                      <w:sz w:val="21"/>
                      <w:szCs w:val="21"/>
                      <w:u w:val="none"/>
                    </w:rPr>
                  </w:pPr>
                </w:p>
              </w:tc>
            </w:tr>
            <w:tr w14:paraId="191C6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4E008">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A405F">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A827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炉渣筛分粉尘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B89B6">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5C53C">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737B0">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E4FA3">
                  <w:pPr>
                    <w:jc w:val="center"/>
                    <w:rPr>
                      <w:rFonts w:hint="default" w:ascii="Times New Roman" w:hAnsi="Times New Roman" w:eastAsia="宋体" w:cs="Times New Roman"/>
                      <w:i w:val="0"/>
                      <w:iCs w:val="0"/>
                      <w:color w:val="000000"/>
                      <w:sz w:val="21"/>
                      <w:szCs w:val="21"/>
                      <w:u w:val="none"/>
                    </w:rPr>
                  </w:pPr>
                </w:p>
              </w:tc>
            </w:tr>
            <w:tr w14:paraId="77A1A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C0EF2">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4C27F">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881A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旋风分离粉尘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37530">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B27CB">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627DC">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AE6AC">
                  <w:pPr>
                    <w:jc w:val="center"/>
                    <w:rPr>
                      <w:rFonts w:hint="default" w:ascii="Times New Roman" w:hAnsi="Times New Roman" w:eastAsia="宋体" w:cs="Times New Roman"/>
                      <w:i w:val="0"/>
                      <w:iCs w:val="0"/>
                      <w:color w:val="000000"/>
                      <w:sz w:val="21"/>
                      <w:szCs w:val="21"/>
                      <w:u w:val="none"/>
                    </w:rPr>
                  </w:pPr>
                </w:p>
              </w:tc>
            </w:tr>
            <w:tr w14:paraId="6A8AB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24B80">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732E5">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43A0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硅粉包装粉尘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E4A60">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476F7">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B2857">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F3101">
                  <w:pPr>
                    <w:jc w:val="center"/>
                    <w:rPr>
                      <w:rFonts w:hint="default" w:ascii="Times New Roman" w:hAnsi="Times New Roman" w:eastAsia="宋体" w:cs="Times New Roman"/>
                      <w:i w:val="0"/>
                      <w:iCs w:val="0"/>
                      <w:color w:val="000000"/>
                      <w:sz w:val="21"/>
                      <w:szCs w:val="21"/>
                      <w:u w:val="none"/>
                    </w:rPr>
                  </w:pPr>
                </w:p>
              </w:tc>
            </w:tr>
            <w:tr w14:paraId="3F0F5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E4CBC">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EFDB7">
                  <w:pPr>
                    <w:jc w:val="center"/>
                    <w:rPr>
                      <w:rFonts w:hint="default" w:ascii="Times New Roman" w:hAnsi="Times New Roman" w:eastAsia="宋体" w:cs="Times New Roman"/>
                      <w:i w:val="0"/>
                      <w:iCs w:val="0"/>
                      <w:color w:val="000000"/>
                      <w:sz w:val="21"/>
                      <w:szCs w:val="21"/>
                      <w:u w:val="none"/>
                    </w:rPr>
                  </w:pPr>
                </w:p>
              </w:tc>
              <w:tc>
                <w:tcPr>
                  <w:tcW w:w="6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EE3C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风选粉尘</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5D5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物料风选</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34350">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C6488">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EEFD1">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8A305">
                  <w:pPr>
                    <w:jc w:val="center"/>
                    <w:rPr>
                      <w:rFonts w:hint="default" w:ascii="Times New Roman" w:hAnsi="Times New Roman" w:eastAsia="宋体" w:cs="Times New Roman"/>
                      <w:i w:val="0"/>
                      <w:iCs w:val="0"/>
                      <w:color w:val="000000"/>
                      <w:sz w:val="21"/>
                      <w:szCs w:val="21"/>
                      <w:u w:val="none"/>
                    </w:rPr>
                  </w:pPr>
                </w:p>
              </w:tc>
            </w:tr>
            <w:tr w14:paraId="562FE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8"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CE188">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9B657">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9EC73">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DF5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9</w:t>
                  </w:r>
                  <w:r>
                    <w:rPr>
                      <w:rFonts w:hint="eastAsia" w:ascii="宋体" w:hAnsi="宋体" w:eastAsia="宋体" w:cs="宋体"/>
                      <w:i w:val="0"/>
                      <w:iCs w:val="0"/>
                      <w:color w:val="000000"/>
                      <w:kern w:val="0"/>
                      <w:sz w:val="21"/>
                      <w:szCs w:val="21"/>
                      <w:u w:val="none"/>
                      <w:lang w:val="en-US" w:eastAsia="zh-CN" w:bidi="ar"/>
                    </w:rPr>
                    <w:t>物料风选</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1A7B4">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FFB9E">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046EC">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F5813">
                  <w:pPr>
                    <w:jc w:val="center"/>
                    <w:rPr>
                      <w:rFonts w:hint="default" w:ascii="Times New Roman" w:hAnsi="Times New Roman" w:eastAsia="宋体" w:cs="Times New Roman"/>
                      <w:i w:val="0"/>
                      <w:iCs w:val="0"/>
                      <w:color w:val="000000"/>
                      <w:sz w:val="21"/>
                      <w:szCs w:val="21"/>
                      <w:u w:val="none"/>
                    </w:rPr>
                  </w:pPr>
                </w:p>
              </w:tc>
            </w:tr>
            <w:tr w14:paraId="56D76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73160">
                  <w:pPr>
                    <w:jc w:val="center"/>
                    <w:rPr>
                      <w:rFonts w:hint="default" w:ascii="Times New Roman" w:hAnsi="Times New Roman" w:eastAsia="宋体" w:cs="Times New Roman"/>
                      <w:i w:val="0"/>
                      <w:iCs w:val="0"/>
                      <w:color w:val="000000"/>
                      <w:sz w:val="21"/>
                      <w:szCs w:val="21"/>
                      <w:u w:val="none"/>
                    </w:rPr>
                  </w:pPr>
                </w:p>
              </w:tc>
              <w:tc>
                <w:tcPr>
                  <w:tcW w:w="716" w:type="dxa"/>
                  <w:vMerge w:val="restart"/>
                  <w:tcBorders>
                    <w:top w:val="single" w:color="000000" w:sz="4" w:space="0"/>
                    <w:left w:val="single" w:color="000000" w:sz="4" w:space="0"/>
                    <w:bottom w:val="nil"/>
                    <w:right w:val="single" w:color="000000" w:sz="4" w:space="0"/>
                  </w:tcBorders>
                  <w:shd w:val="clear" w:color="auto" w:fill="auto"/>
                  <w:vAlign w:val="center"/>
                </w:tcPr>
                <w:p w14:paraId="525130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4</w:t>
                  </w:r>
                </w:p>
              </w:tc>
              <w:tc>
                <w:tcPr>
                  <w:tcW w:w="6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A661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进仓粉尘</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122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6</w:t>
                  </w:r>
                </w:p>
              </w:tc>
              <w:tc>
                <w:tcPr>
                  <w:tcW w:w="1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F9B1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9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5135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caps w:val="0"/>
                      <w:smallCaps w:val="0"/>
                      <w:color w:val="auto"/>
                      <w:spacing w:val="0"/>
                      <w:w w:val="100"/>
                      <w:position w:val="0"/>
                      <w:sz w:val="21"/>
                      <w:szCs w:val="21"/>
                      <w:lang w:val="en-US" w:eastAsia="zh-CN"/>
                    </w:rPr>
                    <w:t>筛分机接密闭管道，储料仓进料口和传送带出料口上方、玻璃粉包装工位上方设置集气罩</w:t>
                  </w:r>
                </w:p>
              </w:tc>
              <w:tc>
                <w:tcPr>
                  <w:tcW w:w="10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882C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Times New Roman" w:hAnsi="Times New Roman" w:eastAsia="宋体" w:cs="Times New Roman"/>
                      <w:b w:val="0"/>
                      <w:bCs/>
                      <w:i w:val="0"/>
                      <w:iCs w:val="0"/>
                      <w:caps w:val="0"/>
                      <w:smallCaps w:val="0"/>
                      <w:color w:val="auto"/>
                      <w:spacing w:val="0"/>
                      <w:w w:val="100"/>
                      <w:position w:val="0"/>
                      <w:sz w:val="21"/>
                      <w:szCs w:val="21"/>
                      <w:lang w:val="en-US" w:eastAsia="zh-CN"/>
                    </w:rPr>
                    <w:t>覆膜布袋除尘器</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水喷淋塔</w:t>
                  </w: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D3F2B">
                  <w:pPr>
                    <w:jc w:val="center"/>
                    <w:rPr>
                      <w:rFonts w:hint="default" w:ascii="Times New Roman" w:hAnsi="Times New Roman" w:eastAsia="宋体" w:cs="Times New Roman"/>
                      <w:i w:val="0"/>
                      <w:iCs w:val="0"/>
                      <w:color w:val="000000"/>
                      <w:sz w:val="21"/>
                      <w:szCs w:val="21"/>
                      <w:u w:val="none"/>
                    </w:rPr>
                  </w:pPr>
                </w:p>
              </w:tc>
            </w:tr>
            <w:tr w14:paraId="7B985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ECB0A">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029545AB">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2D8BD">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8E1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8</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D9778">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89AF3">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97FB8">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FFB3D">
                  <w:pPr>
                    <w:jc w:val="center"/>
                    <w:rPr>
                      <w:rFonts w:hint="default" w:ascii="Times New Roman" w:hAnsi="Times New Roman" w:eastAsia="宋体" w:cs="Times New Roman"/>
                      <w:i w:val="0"/>
                      <w:iCs w:val="0"/>
                      <w:color w:val="000000"/>
                      <w:sz w:val="21"/>
                      <w:szCs w:val="21"/>
                      <w:u w:val="none"/>
                    </w:rPr>
                  </w:pPr>
                </w:p>
              </w:tc>
            </w:tr>
            <w:tr w14:paraId="16954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BEA76">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64A186E7">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682D5">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AA9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10</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67C36">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C89C1">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98E5D">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59E21">
                  <w:pPr>
                    <w:jc w:val="center"/>
                    <w:rPr>
                      <w:rFonts w:hint="default" w:ascii="Times New Roman" w:hAnsi="Times New Roman" w:eastAsia="宋体" w:cs="Times New Roman"/>
                      <w:i w:val="0"/>
                      <w:iCs w:val="0"/>
                      <w:color w:val="000000"/>
                      <w:sz w:val="21"/>
                      <w:szCs w:val="21"/>
                      <w:u w:val="none"/>
                    </w:rPr>
                  </w:pPr>
                </w:p>
              </w:tc>
            </w:tr>
            <w:tr w14:paraId="563E2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F1DCC">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1F0C41CA">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E0874">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3B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12</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13</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A7D7E">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894AE">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F265B">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2C0F9">
                  <w:pPr>
                    <w:jc w:val="center"/>
                    <w:rPr>
                      <w:rFonts w:hint="default" w:ascii="Times New Roman" w:hAnsi="Times New Roman" w:eastAsia="宋体" w:cs="Times New Roman"/>
                      <w:i w:val="0"/>
                      <w:iCs w:val="0"/>
                      <w:color w:val="000000"/>
                      <w:sz w:val="21"/>
                      <w:szCs w:val="21"/>
                      <w:u w:val="none"/>
                    </w:rPr>
                  </w:pPr>
                </w:p>
              </w:tc>
            </w:tr>
            <w:tr w14:paraId="0CE54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44F10">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562EB724">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4371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玻璃筛分粉尘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42FCD">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714F6">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524F8">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E2B0">
                  <w:pPr>
                    <w:jc w:val="center"/>
                    <w:rPr>
                      <w:rFonts w:hint="default" w:ascii="Times New Roman" w:hAnsi="Times New Roman" w:eastAsia="宋体" w:cs="Times New Roman"/>
                      <w:i w:val="0"/>
                      <w:iCs w:val="0"/>
                      <w:color w:val="000000"/>
                      <w:sz w:val="21"/>
                      <w:szCs w:val="21"/>
                      <w:u w:val="none"/>
                    </w:rPr>
                  </w:pPr>
                </w:p>
              </w:tc>
            </w:tr>
            <w:tr w14:paraId="6FA1A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071C9">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3687B06B">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F4CA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玻璃粉包装粉尘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14B85">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B0B1E">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DC7A2">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B0F9B">
                  <w:pPr>
                    <w:jc w:val="center"/>
                    <w:rPr>
                      <w:rFonts w:hint="default" w:ascii="Times New Roman" w:hAnsi="Times New Roman" w:eastAsia="宋体" w:cs="Times New Roman"/>
                      <w:i w:val="0"/>
                      <w:iCs w:val="0"/>
                      <w:color w:val="000000"/>
                      <w:sz w:val="21"/>
                      <w:szCs w:val="21"/>
                      <w:u w:val="none"/>
                    </w:rPr>
                  </w:pPr>
                </w:p>
              </w:tc>
            </w:tr>
            <w:tr w14:paraId="2FD92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2738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热解分选生产区</w:t>
                  </w:r>
                </w:p>
              </w:tc>
              <w:tc>
                <w:tcPr>
                  <w:tcW w:w="716" w:type="dxa"/>
                  <w:vMerge w:val="restart"/>
                  <w:tcBorders>
                    <w:top w:val="single" w:color="000000" w:sz="4" w:space="0"/>
                    <w:left w:val="single" w:color="000000" w:sz="4" w:space="0"/>
                    <w:bottom w:val="nil"/>
                    <w:right w:val="single" w:color="000000" w:sz="4" w:space="0"/>
                  </w:tcBorders>
                  <w:shd w:val="clear" w:color="auto" w:fill="auto"/>
                  <w:vAlign w:val="center"/>
                </w:tcPr>
                <w:p w14:paraId="3433CC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5</w:t>
                  </w:r>
                </w:p>
              </w:tc>
              <w:tc>
                <w:tcPr>
                  <w:tcW w:w="21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AAFC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热解炉尾气、燃烧室不凝气燃烧废气、清洗炉燃烧烟气、烘干炉燃烧烟气</w:t>
                  </w:r>
                  <w:r>
                    <w:rPr>
                      <w:rFonts w:hint="eastAsia" w:ascii="宋体" w:hAnsi="宋体" w:cs="宋体"/>
                      <w:i w:val="0"/>
                      <w:iCs w:val="0"/>
                      <w:color w:val="000000"/>
                      <w:kern w:val="0"/>
                      <w:sz w:val="21"/>
                      <w:szCs w:val="21"/>
                      <w:u w:val="none"/>
                      <w:lang w:val="en-US" w:eastAsia="zh-CN" w:bidi="ar"/>
                    </w:rPr>
                    <w:t>、油罐呼吸气</w:t>
                  </w: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F0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923" w:type="dxa"/>
                  <w:vMerge w:val="restart"/>
                  <w:tcBorders>
                    <w:top w:val="single" w:color="000000" w:sz="4" w:space="0"/>
                    <w:left w:val="single" w:color="000000" w:sz="4" w:space="0"/>
                    <w:right w:val="single" w:color="000000" w:sz="4" w:space="0"/>
                  </w:tcBorders>
                  <w:shd w:val="clear" w:color="auto" w:fill="auto"/>
                  <w:vAlign w:val="center"/>
                </w:tcPr>
                <w:p w14:paraId="01B3DD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b w:val="0"/>
                      <w:bCs w:val="0"/>
                      <w:color w:val="auto"/>
                      <w:spacing w:val="0"/>
                      <w:kern w:val="10"/>
                      <w:position w:val="0"/>
                      <w:sz w:val="21"/>
                      <w:szCs w:val="21"/>
                      <w:lang w:val="en-US" w:eastAsia="zh-CN"/>
                    </w:rPr>
                    <w:t>热解炉、燃气室、清洗炉和烘干炉均设置密闭管道，热解炉炉体出料口上方设置集气罩，油罐呼吸阀接密闭管道</w:t>
                  </w:r>
                </w:p>
              </w:tc>
              <w:tc>
                <w:tcPr>
                  <w:tcW w:w="10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347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21"/>
                      <w:szCs w:val="21"/>
                      <w:u w:val="none"/>
                      <w:lang w:val="en-US" w:eastAsia="zh-CN" w:bidi="ar"/>
                    </w:rPr>
                    <w:t>”</w:t>
                  </w:r>
                </w:p>
              </w:tc>
              <w:tc>
                <w:tcPr>
                  <w:tcW w:w="8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0173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DA003</w:t>
                  </w:r>
                </w:p>
              </w:tc>
            </w:tr>
            <w:tr w14:paraId="61EBB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98103">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31365A80">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D8605">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BB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923" w:type="dxa"/>
                  <w:vMerge w:val="continue"/>
                  <w:tcBorders>
                    <w:left w:val="single" w:color="000000" w:sz="4" w:space="0"/>
                    <w:right w:val="single" w:color="000000" w:sz="4" w:space="0"/>
                  </w:tcBorders>
                  <w:shd w:val="clear" w:color="auto" w:fill="auto"/>
                  <w:vAlign w:val="center"/>
                </w:tcPr>
                <w:p w14:paraId="1621A3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49A03">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B5A9D">
                  <w:pPr>
                    <w:jc w:val="center"/>
                    <w:rPr>
                      <w:rFonts w:hint="default" w:ascii="Times New Roman" w:hAnsi="Times New Roman" w:eastAsia="宋体" w:cs="Times New Roman"/>
                      <w:i w:val="0"/>
                      <w:iCs w:val="0"/>
                      <w:color w:val="000000"/>
                      <w:sz w:val="21"/>
                      <w:szCs w:val="21"/>
                      <w:u w:val="none"/>
                    </w:rPr>
                  </w:pPr>
                </w:p>
              </w:tc>
            </w:tr>
            <w:tr w14:paraId="3A2F2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39D9C">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0E725971">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907B5">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3F1F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颗粒物（含炭黑尘、铜、锡等）</w:t>
                  </w:r>
                </w:p>
              </w:tc>
              <w:tc>
                <w:tcPr>
                  <w:tcW w:w="1923" w:type="dxa"/>
                  <w:vMerge w:val="continue"/>
                  <w:tcBorders>
                    <w:left w:val="single" w:color="000000" w:sz="4" w:space="0"/>
                    <w:right w:val="single" w:color="000000" w:sz="4" w:space="0"/>
                  </w:tcBorders>
                  <w:shd w:val="clear" w:color="auto" w:fill="auto"/>
                  <w:vAlign w:val="center"/>
                </w:tcPr>
                <w:p w14:paraId="69901C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26622">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0CC23">
                  <w:pPr>
                    <w:jc w:val="center"/>
                    <w:rPr>
                      <w:rFonts w:hint="default" w:ascii="Times New Roman" w:hAnsi="Times New Roman" w:eastAsia="宋体" w:cs="Times New Roman"/>
                      <w:i w:val="0"/>
                      <w:iCs w:val="0"/>
                      <w:color w:val="000000"/>
                      <w:sz w:val="21"/>
                      <w:szCs w:val="21"/>
                      <w:u w:val="none"/>
                    </w:rPr>
                  </w:pPr>
                </w:p>
              </w:tc>
            </w:tr>
            <w:tr w14:paraId="2DA8A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9D28C">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1432A7C8">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C94ED">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F1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锡及其化合物</w:t>
                  </w:r>
                </w:p>
              </w:tc>
              <w:tc>
                <w:tcPr>
                  <w:tcW w:w="1923" w:type="dxa"/>
                  <w:vMerge w:val="continue"/>
                  <w:tcBorders>
                    <w:left w:val="single" w:color="000000" w:sz="4" w:space="0"/>
                    <w:right w:val="single" w:color="000000" w:sz="4" w:space="0"/>
                  </w:tcBorders>
                  <w:shd w:val="clear" w:color="auto" w:fill="auto"/>
                  <w:vAlign w:val="center"/>
                </w:tcPr>
                <w:p w14:paraId="38D2D9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6FD96">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C258E">
                  <w:pPr>
                    <w:jc w:val="center"/>
                    <w:rPr>
                      <w:rFonts w:hint="default" w:ascii="Times New Roman" w:hAnsi="Times New Roman" w:eastAsia="宋体" w:cs="Times New Roman"/>
                      <w:i w:val="0"/>
                      <w:iCs w:val="0"/>
                      <w:color w:val="000000"/>
                      <w:sz w:val="21"/>
                      <w:szCs w:val="21"/>
                      <w:u w:val="none"/>
                    </w:rPr>
                  </w:pPr>
                </w:p>
              </w:tc>
            </w:tr>
            <w:tr w14:paraId="20025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A3FC0">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4136A77C">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6B653">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30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氟化物</w:t>
                  </w:r>
                </w:p>
              </w:tc>
              <w:tc>
                <w:tcPr>
                  <w:tcW w:w="1923" w:type="dxa"/>
                  <w:vMerge w:val="continue"/>
                  <w:tcBorders>
                    <w:left w:val="single" w:color="000000" w:sz="4" w:space="0"/>
                    <w:right w:val="single" w:color="000000" w:sz="4" w:space="0"/>
                  </w:tcBorders>
                  <w:shd w:val="clear" w:color="auto" w:fill="auto"/>
                  <w:vAlign w:val="center"/>
                </w:tcPr>
                <w:p w14:paraId="6F028D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B2780">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59B5B">
                  <w:pPr>
                    <w:jc w:val="center"/>
                    <w:rPr>
                      <w:rFonts w:hint="default" w:ascii="Times New Roman" w:hAnsi="Times New Roman" w:eastAsia="宋体" w:cs="Times New Roman"/>
                      <w:i w:val="0"/>
                      <w:iCs w:val="0"/>
                      <w:color w:val="000000"/>
                      <w:sz w:val="21"/>
                      <w:szCs w:val="21"/>
                      <w:u w:val="none"/>
                    </w:rPr>
                  </w:pPr>
                </w:p>
              </w:tc>
            </w:tr>
            <w:tr w14:paraId="60239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4311E">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nil"/>
                    <w:right w:val="single" w:color="000000" w:sz="4" w:space="0"/>
                  </w:tcBorders>
                  <w:shd w:val="clear" w:color="auto" w:fill="auto"/>
                  <w:vAlign w:val="center"/>
                </w:tcPr>
                <w:p w14:paraId="631EC242">
                  <w:pPr>
                    <w:jc w:val="center"/>
                    <w:rPr>
                      <w:rFonts w:hint="default" w:ascii="Times New Roman" w:hAnsi="Times New Roman" w:eastAsia="宋体" w:cs="Times New Roman"/>
                      <w:i w:val="0"/>
                      <w:iCs w:val="0"/>
                      <w:color w:val="000000"/>
                      <w:sz w:val="21"/>
                      <w:szCs w:val="21"/>
                      <w:u w:val="none"/>
                    </w:rPr>
                  </w:pPr>
                </w:p>
              </w:tc>
              <w:tc>
                <w:tcPr>
                  <w:tcW w:w="21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C6DDD">
                  <w:pPr>
                    <w:jc w:val="center"/>
                    <w:rPr>
                      <w:rFonts w:hint="eastAsia" w:ascii="宋体" w:hAnsi="宋体" w:eastAsia="宋体" w:cs="宋体"/>
                      <w:i w:val="0"/>
                      <w:iCs w:val="0"/>
                      <w:color w:val="000000"/>
                      <w:sz w:val="21"/>
                      <w:szCs w:val="21"/>
                      <w:u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C58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非甲烷总烃</w:t>
                  </w:r>
                </w:p>
              </w:tc>
              <w:tc>
                <w:tcPr>
                  <w:tcW w:w="1923" w:type="dxa"/>
                  <w:vMerge w:val="continue"/>
                  <w:tcBorders>
                    <w:left w:val="single" w:color="000000" w:sz="4" w:space="0"/>
                    <w:bottom w:val="single" w:color="000000" w:sz="4" w:space="0"/>
                    <w:right w:val="single" w:color="000000" w:sz="4" w:space="0"/>
                  </w:tcBorders>
                  <w:shd w:val="clear" w:color="auto" w:fill="auto"/>
                  <w:vAlign w:val="center"/>
                </w:tcPr>
                <w:p w14:paraId="502705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B8620">
                  <w:pPr>
                    <w:jc w:val="center"/>
                    <w:rPr>
                      <w:rFonts w:hint="default" w:ascii="Times New Roman" w:hAnsi="Times New Roman" w:eastAsia="宋体" w:cs="Times New Roman"/>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9DD93">
                  <w:pPr>
                    <w:jc w:val="center"/>
                    <w:rPr>
                      <w:rFonts w:hint="default" w:ascii="Times New Roman" w:hAnsi="Times New Roman" w:eastAsia="宋体" w:cs="Times New Roman"/>
                      <w:i w:val="0"/>
                      <w:iCs w:val="0"/>
                      <w:color w:val="000000"/>
                      <w:sz w:val="21"/>
                      <w:szCs w:val="21"/>
                      <w:u w:val="none"/>
                    </w:rPr>
                  </w:pPr>
                </w:p>
              </w:tc>
            </w:tr>
            <w:tr w14:paraId="7EFCA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764AC">
                  <w:pPr>
                    <w:jc w:val="center"/>
                    <w:rPr>
                      <w:rFonts w:hint="default" w:ascii="Times New Roman" w:hAnsi="Times New Roman" w:eastAsia="宋体" w:cs="Times New Roman"/>
                      <w:i w:val="0"/>
                      <w:iCs w:val="0"/>
                      <w:color w:val="000000"/>
                      <w:sz w:val="21"/>
                      <w:szCs w:val="21"/>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A6C8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6</w:t>
                  </w: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3DF8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分选粉尘</w:t>
                  </w:r>
                </w:p>
              </w:tc>
              <w:tc>
                <w:tcPr>
                  <w:tcW w:w="1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3FC8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9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BE19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caps w:val="0"/>
                      <w:smallCaps w:val="0"/>
                      <w:color w:val="auto"/>
                      <w:spacing w:val="0"/>
                      <w:w w:val="100"/>
                      <w:position w:val="0"/>
                      <w:sz w:val="21"/>
                      <w:szCs w:val="21"/>
                      <w:lang w:val="en-US" w:eastAsia="zh-CN"/>
                    </w:rPr>
                    <w:t>分选机、筛分机、风选机、旋风分离器接密闭管道，热解炉出料口上方、储料仓进料口和传送带出料口上方、硅粉包装工位上方设置集气罩</w:t>
                  </w:r>
                </w:p>
              </w:tc>
              <w:tc>
                <w:tcPr>
                  <w:tcW w:w="10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718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Times New Roman" w:hAnsi="Times New Roman" w:eastAsia="宋体" w:cs="Times New Roman"/>
                      <w:b w:val="0"/>
                      <w:bCs/>
                      <w:i w:val="0"/>
                      <w:iCs w:val="0"/>
                      <w:caps w:val="0"/>
                      <w:smallCaps w:val="0"/>
                      <w:color w:val="auto"/>
                      <w:spacing w:val="0"/>
                      <w:w w:val="100"/>
                      <w:position w:val="0"/>
                      <w:sz w:val="21"/>
                      <w:szCs w:val="21"/>
                      <w:lang w:val="en-US" w:eastAsia="zh-CN"/>
                    </w:rPr>
                    <w:t>覆膜布袋除尘器</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水喷淋塔</w:t>
                  </w:r>
                </w:p>
              </w:tc>
              <w:tc>
                <w:tcPr>
                  <w:tcW w:w="8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2E29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DA004</w:t>
                  </w:r>
                </w:p>
              </w:tc>
            </w:tr>
            <w:tr w14:paraId="1C047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790B0">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2E27F">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438C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出炉粉尘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BE3C1">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66CE7">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790B8">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F2FFB">
                  <w:pPr>
                    <w:jc w:val="center"/>
                    <w:rPr>
                      <w:rFonts w:hint="default" w:ascii="Times New Roman" w:hAnsi="Times New Roman" w:eastAsia="宋体" w:cs="Times New Roman"/>
                      <w:i w:val="0"/>
                      <w:iCs w:val="0"/>
                      <w:color w:val="000000"/>
                      <w:sz w:val="21"/>
                      <w:szCs w:val="21"/>
                      <w:u w:val="none"/>
                    </w:rPr>
                  </w:pPr>
                </w:p>
              </w:tc>
            </w:tr>
            <w:tr w14:paraId="4DEE2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87961">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135BB">
                  <w:pPr>
                    <w:jc w:val="center"/>
                    <w:rPr>
                      <w:rFonts w:hint="default" w:ascii="Times New Roman" w:hAnsi="Times New Roman" w:eastAsia="宋体" w:cs="Times New Roman"/>
                      <w:i w:val="0"/>
                      <w:iCs w:val="0"/>
                      <w:color w:val="000000"/>
                      <w:sz w:val="21"/>
                      <w:szCs w:val="21"/>
                      <w:u w:val="none"/>
                    </w:rPr>
                  </w:pPr>
                </w:p>
              </w:tc>
              <w:tc>
                <w:tcPr>
                  <w:tcW w:w="6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104F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进仓粉尘</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AF9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2F65D">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A8932">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2B00E">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6ACB2">
                  <w:pPr>
                    <w:jc w:val="center"/>
                    <w:rPr>
                      <w:rFonts w:hint="default" w:ascii="Times New Roman" w:hAnsi="Times New Roman" w:eastAsia="宋体" w:cs="Times New Roman"/>
                      <w:i w:val="0"/>
                      <w:iCs w:val="0"/>
                      <w:color w:val="000000"/>
                      <w:sz w:val="21"/>
                      <w:szCs w:val="21"/>
                      <w:u w:val="none"/>
                    </w:rPr>
                  </w:pPr>
                </w:p>
              </w:tc>
            </w:tr>
            <w:tr w14:paraId="13AE9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00EBA">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EF504">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C5DB7">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65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3</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626A0">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3B4AA">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03BC6">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2AFCD">
                  <w:pPr>
                    <w:jc w:val="center"/>
                    <w:rPr>
                      <w:rFonts w:hint="default" w:ascii="Times New Roman" w:hAnsi="Times New Roman" w:eastAsia="宋体" w:cs="Times New Roman"/>
                      <w:i w:val="0"/>
                      <w:iCs w:val="0"/>
                      <w:color w:val="000000"/>
                      <w:sz w:val="21"/>
                      <w:szCs w:val="21"/>
                      <w:u w:val="none"/>
                    </w:rPr>
                  </w:pPr>
                </w:p>
              </w:tc>
            </w:tr>
            <w:tr w14:paraId="55FD7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607E7">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66DBF">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D2369">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1BA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4</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C025C">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24E16">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47EFE">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8C65B">
                  <w:pPr>
                    <w:jc w:val="center"/>
                    <w:rPr>
                      <w:rFonts w:hint="default" w:ascii="Times New Roman" w:hAnsi="Times New Roman" w:eastAsia="宋体" w:cs="Times New Roman"/>
                      <w:i w:val="0"/>
                      <w:iCs w:val="0"/>
                      <w:color w:val="000000"/>
                      <w:sz w:val="21"/>
                      <w:szCs w:val="21"/>
                      <w:u w:val="none"/>
                    </w:rPr>
                  </w:pPr>
                </w:p>
              </w:tc>
            </w:tr>
            <w:tr w14:paraId="5763A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C10E3">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61D55">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91C87">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501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5</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57E59">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2DC69">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68F95">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264A0">
                  <w:pPr>
                    <w:jc w:val="center"/>
                    <w:rPr>
                      <w:rFonts w:hint="default" w:ascii="Times New Roman" w:hAnsi="Times New Roman" w:eastAsia="宋体" w:cs="Times New Roman"/>
                      <w:i w:val="0"/>
                      <w:iCs w:val="0"/>
                      <w:color w:val="000000"/>
                      <w:sz w:val="21"/>
                      <w:szCs w:val="21"/>
                      <w:u w:val="none"/>
                    </w:rPr>
                  </w:pPr>
                </w:p>
              </w:tc>
            </w:tr>
            <w:tr w14:paraId="4AAD4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F0705">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E15C0">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E6978">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51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7</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638FF">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9ECC2">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255B6">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AE10D">
                  <w:pPr>
                    <w:jc w:val="center"/>
                    <w:rPr>
                      <w:rFonts w:hint="default" w:ascii="Times New Roman" w:hAnsi="Times New Roman" w:eastAsia="宋体" w:cs="Times New Roman"/>
                      <w:i w:val="0"/>
                      <w:iCs w:val="0"/>
                      <w:color w:val="000000"/>
                      <w:sz w:val="21"/>
                      <w:szCs w:val="21"/>
                      <w:u w:val="none"/>
                    </w:rPr>
                  </w:pPr>
                </w:p>
              </w:tc>
            </w:tr>
            <w:tr w14:paraId="4075A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E9BDF">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8A813">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52DF2">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AC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9</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9B716">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E2E13">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94B85">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EE66A">
                  <w:pPr>
                    <w:jc w:val="center"/>
                    <w:rPr>
                      <w:rFonts w:hint="default" w:ascii="Times New Roman" w:hAnsi="Times New Roman" w:eastAsia="宋体" w:cs="Times New Roman"/>
                      <w:i w:val="0"/>
                      <w:iCs w:val="0"/>
                      <w:color w:val="000000"/>
                      <w:sz w:val="21"/>
                      <w:szCs w:val="21"/>
                      <w:u w:val="none"/>
                    </w:rPr>
                  </w:pPr>
                </w:p>
              </w:tc>
            </w:tr>
            <w:tr w14:paraId="7DC77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4C0B5">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3E10A">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927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炉渣筛分粉尘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4DE62">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2E542">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FE39A">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2867E">
                  <w:pPr>
                    <w:jc w:val="center"/>
                    <w:rPr>
                      <w:rFonts w:hint="default" w:ascii="Times New Roman" w:hAnsi="Times New Roman" w:eastAsia="宋体" w:cs="Times New Roman"/>
                      <w:i w:val="0"/>
                      <w:iCs w:val="0"/>
                      <w:color w:val="000000"/>
                      <w:sz w:val="21"/>
                      <w:szCs w:val="21"/>
                      <w:u w:val="none"/>
                    </w:rPr>
                  </w:pPr>
                </w:p>
              </w:tc>
            </w:tr>
            <w:tr w14:paraId="76772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EF6E3">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40AFB">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DA65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旋风分离粉尘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BAC4D">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18865">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BBCAF">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3949D">
                  <w:pPr>
                    <w:jc w:val="center"/>
                    <w:rPr>
                      <w:rFonts w:hint="default" w:ascii="Times New Roman" w:hAnsi="Times New Roman" w:eastAsia="宋体" w:cs="Times New Roman"/>
                      <w:i w:val="0"/>
                      <w:iCs w:val="0"/>
                      <w:color w:val="000000"/>
                      <w:sz w:val="21"/>
                      <w:szCs w:val="21"/>
                      <w:u w:val="none"/>
                    </w:rPr>
                  </w:pPr>
                </w:p>
              </w:tc>
            </w:tr>
            <w:tr w14:paraId="29B82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52652">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6E063">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EE3E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硅粉包装粉尘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92A77">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217A2">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49855">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41A9A">
                  <w:pPr>
                    <w:jc w:val="center"/>
                    <w:rPr>
                      <w:rFonts w:hint="default" w:ascii="Times New Roman" w:hAnsi="Times New Roman" w:eastAsia="宋体" w:cs="Times New Roman"/>
                      <w:i w:val="0"/>
                      <w:iCs w:val="0"/>
                      <w:color w:val="000000"/>
                      <w:sz w:val="21"/>
                      <w:szCs w:val="21"/>
                      <w:u w:val="none"/>
                    </w:rPr>
                  </w:pPr>
                </w:p>
              </w:tc>
            </w:tr>
            <w:tr w14:paraId="2D56D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549A9">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76C72">
                  <w:pPr>
                    <w:jc w:val="center"/>
                    <w:rPr>
                      <w:rFonts w:hint="default" w:ascii="Times New Roman" w:hAnsi="Times New Roman" w:eastAsia="宋体" w:cs="Times New Roman"/>
                      <w:i w:val="0"/>
                      <w:iCs w:val="0"/>
                      <w:color w:val="000000"/>
                      <w:sz w:val="21"/>
                      <w:szCs w:val="21"/>
                      <w:u w:val="none"/>
                    </w:rPr>
                  </w:pPr>
                </w:p>
              </w:tc>
              <w:tc>
                <w:tcPr>
                  <w:tcW w:w="6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EEEC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风选粉尘</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92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物料风选</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3FFA9">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204FE">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A1759">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89B0D">
                  <w:pPr>
                    <w:jc w:val="center"/>
                    <w:rPr>
                      <w:rFonts w:hint="default" w:ascii="Times New Roman" w:hAnsi="Times New Roman" w:eastAsia="宋体" w:cs="Times New Roman"/>
                      <w:i w:val="0"/>
                      <w:iCs w:val="0"/>
                      <w:color w:val="000000"/>
                      <w:sz w:val="21"/>
                      <w:szCs w:val="21"/>
                      <w:u w:val="none"/>
                    </w:rPr>
                  </w:pPr>
                </w:p>
              </w:tc>
            </w:tr>
            <w:tr w14:paraId="365E8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8"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2E2B5">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2E298">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9D89F">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66D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9</w:t>
                  </w:r>
                  <w:r>
                    <w:rPr>
                      <w:rFonts w:hint="eastAsia" w:ascii="宋体" w:hAnsi="宋体" w:eastAsia="宋体" w:cs="宋体"/>
                      <w:i w:val="0"/>
                      <w:iCs w:val="0"/>
                      <w:color w:val="000000"/>
                      <w:kern w:val="0"/>
                      <w:sz w:val="21"/>
                      <w:szCs w:val="21"/>
                      <w:u w:val="none"/>
                      <w:lang w:val="en-US" w:eastAsia="zh-CN" w:bidi="ar"/>
                    </w:rPr>
                    <w:t>物料风选</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AC989">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4CC9C">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74787">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E8CF0">
                  <w:pPr>
                    <w:jc w:val="center"/>
                    <w:rPr>
                      <w:rFonts w:hint="default" w:ascii="Times New Roman" w:hAnsi="Times New Roman" w:eastAsia="宋体" w:cs="Times New Roman"/>
                      <w:i w:val="0"/>
                      <w:iCs w:val="0"/>
                      <w:color w:val="000000"/>
                      <w:sz w:val="21"/>
                      <w:szCs w:val="21"/>
                      <w:u w:val="none"/>
                    </w:rPr>
                  </w:pPr>
                </w:p>
              </w:tc>
            </w:tr>
            <w:tr w14:paraId="73F76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591C9">
                  <w:pPr>
                    <w:jc w:val="center"/>
                    <w:rPr>
                      <w:rFonts w:hint="default" w:ascii="Times New Roman" w:hAnsi="Times New Roman" w:eastAsia="宋体" w:cs="Times New Roman"/>
                      <w:i w:val="0"/>
                      <w:iCs w:val="0"/>
                      <w:color w:val="000000"/>
                      <w:sz w:val="21"/>
                      <w:szCs w:val="21"/>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5096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8</w:t>
                  </w:r>
                </w:p>
              </w:tc>
              <w:tc>
                <w:tcPr>
                  <w:tcW w:w="6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33A3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进仓粉尘</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246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6</w:t>
                  </w:r>
                </w:p>
              </w:tc>
              <w:tc>
                <w:tcPr>
                  <w:tcW w:w="1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37CF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颗粒物</w:t>
                  </w:r>
                  <w:r>
                    <w:rPr>
                      <w:rFonts w:hint="eastAsia" w:ascii="宋体" w:hAnsi="宋体" w:eastAsia="宋体" w:cs="宋体"/>
                      <w:i w:val="0"/>
                      <w:iCs w:val="0"/>
                      <w:color w:val="000000"/>
                      <w:kern w:val="0"/>
                      <w:sz w:val="21"/>
                      <w:szCs w:val="21"/>
                      <w:u w:val="none"/>
                      <w:lang w:val="en-US" w:eastAsia="zh-CN" w:bidi="ar"/>
                    </w:rPr>
                    <w:t>（含炭黑尘）</w:t>
                  </w:r>
                </w:p>
              </w:tc>
              <w:tc>
                <w:tcPr>
                  <w:tcW w:w="19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6903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caps w:val="0"/>
                      <w:smallCaps w:val="0"/>
                      <w:color w:val="auto"/>
                      <w:spacing w:val="0"/>
                      <w:w w:val="100"/>
                      <w:position w:val="0"/>
                      <w:sz w:val="21"/>
                      <w:szCs w:val="21"/>
                      <w:lang w:val="en-US" w:eastAsia="zh-CN"/>
                    </w:rPr>
                    <w:t>筛分机接密闭管道，储料仓进料口和传送带出料口上方、玻璃粉包装工位上方设置集气罩</w:t>
                  </w:r>
                </w:p>
              </w:tc>
              <w:tc>
                <w:tcPr>
                  <w:tcW w:w="10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C59F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Times New Roman" w:hAnsi="Times New Roman" w:eastAsia="宋体" w:cs="Times New Roman"/>
                      <w:b w:val="0"/>
                      <w:bCs/>
                      <w:i w:val="0"/>
                      <w:iCs w:val="0"/>
                      <w:caps w:val="0"/>
                      <w:smallCaps w:val="0"/>
                      <w:color w:val="auto"/>
                      <w:spacing w:val="0"/>
                      <w:w w:val="100"/>
                      <w:position w:val="0"/>
                      <w:sz w:val="21"/>
                      <w:szCs w:val="21"/>
                      <w:lang w:val="en-US" w:eastAsia="zh-CN"/>
                    </w:rPr>
                    <w:t>覆膜布袋除尘器</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水喷淋塔</w:t>
                  </w: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BC5BE">
                  <w:pPr>
                    <w:jc w:val="center"/>
                    <w:rPr>
                      <w:rFonts w:hint="default" w:ascii="Times New Roman" w:hAnsi="Times New Roman" w:eastAsia="宋体" w:cs="Times New Roman"/>
                      <w:i w:val="0"/>
                      <w:iCs w:val="0"/>
                      <w:color w:val="000000"/>
                      <w:sz w:val="21"/>
                      <w:szCs w:val="21"/>
                      <w:u w:val="none"/>
                    </w:rPr>
                  </w:pPr>
                </w:p>
              </w:tc>
            </w:tr>
            <w:tr w14:paraId="250A6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D3E90">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53D34">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D6940">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80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8</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62379">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B335B">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62AF1">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D3556">
                  <w:pPr>
                    <w:jc w:val="center"/>
                    <w:rPr>
                      <w:rFonts w:hint="default" w:ascii="Times New Roman" w:hAnsi="Times New Roman" w:eastAsia="宋体" w:cs="Times New Roman"/>
                      <w:i w:val="0"/>
                      <w:iCs w:val="0"/>
                      <w:color w:val="000000"/>
                      <w:sz w:val="21"/>
                      <w:szCs w:val="21"/>
                      <w:u w:val="none"/>
                    </w:rPr>
                  </w:pPr>
                </w:p>
              </w:tc>
            </w:tr>
            <w:tr w14:paraId="6B0A2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8CF6F">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3408B">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3D2AA">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74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10</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42F0E">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19207">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2DF0D">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0909D">
                  <w:pPr>
                    <w:jc w:val="center"/>
                    <w:rPr>
                      <w:rFonts w:hint="default" w:ascii="Times New Roman" w:hAnsi="Times New Roman" w:eastAsia="宋体" w:cs="Times New Roman"/>
                      <w:i w:val="0"/>
                      <w:iCs w:val="0"/>
                      <w:color w:val="000000"/>
                      <w:sz w:val="21"/>
                      <w:szCs w:val="21"/>
                      <w:u w:val="none"/>
                    </w:rPr>
                  </w:pPr>
                </w:p>
              </w:tc>
            </w:tr>
            <w:tr w14:paraId="54E69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CC646">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3DCE6">
                  <w:pPr>
                    <w:jc w:val="center"/>
                    <w:rPr>
                      <w:rFonts w:hint="default" w:ascii="Times New Roman" w:hAnsi="Times New Roman" w:eastAsia="宋体" w:cs="Times New Roman"/>
                      <w:i w:val="0"/>
                      <w:iCs w:val="0"/>
                      <w:color w:val="000000"/>
                      <w:sz w:val="21"/>
                      <w:szCs w:val="21"/>
                      <w:u w:val="none"/>
                    </w:rPr>
                  </w:pPr>
                </w:p>
              </w:tc>
              <w:tc>
                <w:tcPr>
                  <w:tcW w:w="6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06282">
                  <w:pPr>
                    <w:jc w:val="center"/>
                    <w:rPr>
                      <w:rFonts w:hint="default" w:ascii="Times New Roman" w:hAnsi="Times New Roman" w:eastAsia="宋体" w:cs="Times New Roman"/>
                      <w:i w:val="0"/>
                      <w:iCs w:val="0"/>
                      <w:color w:val="000000"/>
                      <w:sz w:val="21"/>
                      <w:szCs w:val="21"/>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32D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12</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13</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04C40">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38E05">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14016">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E86E7">
                  <w:pPr>
                    <w:jc w:val="center"/>
                    <w:rPr>
                      <w:rFonts w:hint="default" w:ascii="Times New Roman" w:hAnsi="Times New Roman" w:eastAsia="宋体" w:cs="Times New Roman"/>
                      <w:i w:val="0"/>
                      <w:iCs w:val="0"/>
                      <w:color w:val="000000"/>
                      <w:sz w:val="21"/>
                      <w:szCs w:val="21"/>
                      <w:u w:val="none"/>
                    </w:rPr>
                  </w:pPr>
                </w:p>
              </w:tc>
            </w:tr>
            <w:tr w14:paraId="4BDDE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B3104">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F5A26">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47CCE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玻璃筛分粉尘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A96D5">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EE92C">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F9649">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D29EA">
                  <w:pPr>
                    <w:jc w:val="center"/>
                    <w:rPr>
                      <w:rFonts w:hint="default" w:ascii="Times New Roman" w:hAnsi="Times New Roman" w:eastAsia="宋体" w:cs="Times New Roman"/>
                      <w:i w:val="0"/>
                      <w:iCs w:val="0"/>
                      <w:color w:val="000000"/>
                      <w:sz w:val="21"/>
                      <w:szCs w:val="21"/>
                      <w:u w:val="none"/>
                    </w:rPr>
                  </w:pPr>
                </w:p>
              </w:tc>
            </w:tr>
            <w:tr w14:paraId="36476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jc w:val="center"/>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A94D1">
                  <w:pPr>
                    <w:jc w:val="center"/>
                    <w:rPr>
                      <w:rFonts w:hint="default" w:ascii="Times New Roman" w:hAnsi="Times New Roman" w:eastAsia="宋体" w:cs="Times New Roman"/>
                      <w:i w:val="0"/>
                      <w:iCs w:val="0"/>
                      <w:color w:val="000000"/>
                      <w:sz w:val="21"/>
                      <w:szCs w:val="21"/>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BEDAE">
                  <w:pPr>
                    <w:jc w:val="center"/>
                    <w:rPr>
                      <w:rFonts w:hint="default" w:ascii="Times New Roman" w:hAnsi="Times New Roman" w:eastAsia="宋体" w:cs="Times New Roman"/>
                      <w:i w:val="0"/>
                      <w:iCs w:val="0"/>
                      <w:color w:val="000000"/>
                      <w:sz w:val="21"/>
                      <w:szCs w:val="21"/>
                      <w:u w:val="none"/>
                    </w:rPr>
                  </w:pPr>
                </w:p>
              </w:tc>
              <w:tc>
                <w:tcPr>
                  <w:tcW w:w="2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E604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玻璃粉包装粉尘</w:t>
                  </w:r>
                </w:p>
              </w:tc>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A8911">
                  <w:pPr>
                    <w:jc w:val="center"/>
                    <w:rPr>
                      <w:rFonts w:hint="default" w:ascii="Times New Roman" w:hAnsi="Times New Roman" w:eastAsia="宋体" w:cs="Times New Roman"/>
                      <w:i w:val="0"/>
                      <w:iCs w:val="0"/>
                      <w:color w:val="000000"/>
                      <w:sz w:val="21"/>
                      <w:szCs w:val="21"/>
                      <w:u w:val="none"/>
                    </w:rPr>
                  </w:pPr>
                </w:p>
              </w:tc>
              <w:tc>
                <w:tcPr>
                  <w:tcW w:w="19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81D6B">
                  <w:pPr>
                    <w:jc w:val="center"/>
                    <w:rPr>
                      <w:rFonts w:hint="default" w:ascii="Times New Roman" w:hAnsi="Times New Roman" w:eastAsia="宋体" w:cs="Times New Roman"/>
                      <w:i w:val="0"/>
                      <w:iCs w:val="0"/>
                      <w:color w:val="000000"/>
                      <w:sz w:val="21"/>
                      <w:szCs w:val="21"/>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62833">
                  <w:pPr>
                    <w:jc w:val="center"/>
                    <w:rPr>
                      <w:rFonts w:hint="eastAsia" w:ascii="宋体" w:hAnsi="宋体" w:eastAsia="宋体" w:cs="宋体"/>
                      <w:i w:val="0"/>
                      <w:iCs w:val="0"/>
                      <w:color w:val="000000"/>
                      <w:sz w:val="21"/>
                      <w:szCs w:val="21"/>
                      <w:u w:val="none"/>
                    </w:rPr>
                  </w:pPr>
                </w:p>
              </w:tc>
              <w:tc>
                <w:tcPr>
                  <w:tcW w:w="8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B8751">
                  <w:pPr>
                    <w:jc w:val="center"/>
                    <w:rPr>
                      <w:rFonts w:hint="default" w:ascii="Times New Roman" w:hAnsi="Times New Roman" w:eastAsia="宋体" w:cs="Times New Roman"/>
                      <w:i w:val="0"/>
                      <w:iCs w:val="0"/>
                      <w:color w:val="000000"/>
                      <w:sz w:val="21"/>
                      <w:szCs w:val="21"/>
                      <w:u w:val="none"/>
                    </w:rPr>
                  </w:pPr>
                </w:p>
              </w:tc>
            </w:tr>
          </w:tbl>
          <w:p w14:paraId="7C1294F0">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cs="Times New Roman"/>
                <w:b w:val="0"/>
                <w:bCs w:val="0"/>
                <w:color w:val="auto"/>
                <w:spacing w:val="0"/>
                <w:sz w:val="24"/>
                <w:lang w:val="en-US" w:eastAsia="zh-CN"/>
              </w:rPr>
            </w:pPr>
            <w:r>
              <w:rPr>
                <w:rFonts w:hint="eastAsia" w:cs="Times New Roman"/>
                <w:b w:val="0"/>
                <w:bCs w:val="0"/>
                <w:color w:val="auto"/>
                <w:spacing w:val="0"/>
                <w:sz w:val="24"/>
                <w:lang w:val="en-US" w:eastAsia="zh-CN"/>
              </w:rPr>
              <w:t>废气收集处理示意图如下：</w:t>
            </w:r>
          </w:p>
          <w:p w14:paraId="0EC9F9D3">
            <w:pPr>
              <w:pStyle w:val="33"/>
              <w:rPr>
                <w:rFonts w:hint="eastAsia" w:cs="Times New Roman"/>
                <w:b w:val="0"/>
                <w:bCs w:val="0"/>
                <w:color w:val="auto"/>
                <w:spacing w:val="0"/>
                <w:sz w:val="24"/>
                <w:lang w:val="en-US" w:eastAsia="zh-CN"/>
              </w:rPr>
            </w:pPr>
          </w:p>
          <w:p w14:paraId="6B9A918C">
            <w:pPr>
              <w:pStyle w:val="33"/>
              <w:rPr>
                <w:rFonts w:hint="eastAsia" w:cs="Times New Roman"/>
                <w:b w:val="0"/>
                <w:bCs w:val="0"/>
                <w:color w:val="auto"/>
                <w:spacing w:val="0"/>
                <w:sz w:val="24"/>
                <w:lang w:val="en-US" w:eastAsia="zh-CN"/>
              </w:rPr>
            </w:pPr>
          </w:p>
          <w:p w14:paraId="68E1AEAE">
            <w:pPr>
              <w:pStyle w:val="33"/>
              <w:rPr>
                <w:rFonts w:hint="eastAsia" w:cs="Times New Roman"/>
                <w:b w:val="0"/>
                <w:bCs w:val="0"/>
                <w:color w:val="auto"/>
                <w:spacing w:val="0"/>
                <w:sz w:val="24"/>
                <w:lang w:val="en-US" w:eastAsia="zh-CN"/>
              </w:rPr>
            </w:pPr>
          </w:p>
          <w:p w14:paraId="29B0664F">
            <w:pPr>
              <w:pStyle w:val="33"/>
              <w:rPr>
                <w:rFonts w:hint="eastAsia" w:cs="Times New Roman"/>
                <w:b w:val="0"/>
                <w:bCs w:val="0"/>
                <w:color w:val="auto"/>
                <w:spacing w:val="0"/>
                <w:sz w:val="24"/>
                <w:lang w:val="en-US" w:eastAsia="zh-CN"/>
              </w:rPr>
            </w:pPr>
          </w:p>
          <w:p w14:paraId="458F4B69">
            <w:pPr>
              <w:pStyle w:val="33"/>
              <w:rPr>
                <w:rFonts w:hint="eastAsia" w:cs="Times New Roman"/>
                <w:b w:val="0"/>
                <w:bCs w:val="0"/>
                <w:color w:val="auto"/>
                <w:spacing w:val="0"/>
                <w:sz w:val="24"/>
                <w:lang w:val="en-US" w:eastAsia="zh-CN"/>
              </w:rPr>
            </w:pPr>
          </w:p>
          <w:p w14:paraId="4909CA5E">
            <w:pPr>
              <w:pStyle w:val="33"/>
              <w:rPr>
                <w:rFonts w:hint="eastAsia" w:cs="Times New Roman"/>
                <w:b w:val="0"/>
                <w:bCs w:val="0"/>
                <w:color w:val="auto"/>
                <w:spacing w:val="0"/>
                <w:sz w:val="24"/>
                <w:lang w:val="en-US" w:eastAsia="zh-CN"/>
              </w:rPr>
            </w:pPr>
          </w:p>
          <w:p w14:paraId="622B5849">
            <w:pPr>
              <w:pStyle w:val="33"/>
              <w:rPr>
                <w:rFonts w:hint="eastAsia" w:cs="Times New Roman"/>
                <w:b w:val="0"/>
                <w:bCs w:val="0"/>
                <w:color w:val="auto"/>
                <w:spacing w:val="0"/>
                <w:sz w:val="24"/>
                <w:lang w:val="en-US" w:eastAsia="zh-CN"/>
              </w:rPr>
            </w:pPr>
          </w:p>
          <w:p w14:paraId="3718380C">
            <w:pPr>
              <w:pStyle w:val="33"/>
              <w:rPr>
                <w:rFonts w:hint="eastAsia" w:cs="Times New Roman"/>
                <w:b w:val="0"/>
                <w:bCs w:val="0"/>
                <w:color w:val="auto"/>
                <w:spacing w:val="0"/>
                <w:sz w:val="24"/>
                <w:lang w:val="en-US" w:eastAsia="zh-CN"/>
              </w:rPr>
            </w:pPr>
          </w:p>
          <w:p w14:paraId="34366322">
            <w:pPr>
              <w:pStyle w:val="33"/>
              <w:rPr>
                <w:rFonts w:hint="eastAsia" w:cs="Times New Roman"/>
                <w:b w:val="0"/>
                <w:bCs w:val="0"/>
                <w:color w:val="auto"/>
                <w:spacing w:val="0"/>
                <w:sz w:val="24"/>
                <w:lang w:val="en-US" w:eastAsia="zh-CN"/>
              </w:rPr>
            </w:pPr>
          </w:p>
          <w:p w14:paraId="405822B8">
            <w:pPr>
              <w:pStyle w:val="33"/>
              <w:rPr>
                <w:rFonts w:hint="eastAsia" w:cs="Times New Roman"/>
                <w:b w:val="0"/>
                <w:bCs w:val="0"/>
                <w:color w:val="auto"/>
                <w:spacing w:val="0"/>
                <w:sz w:val="24"/>
                <w:lang w:val="en-US" w:eastAsia="zh-CN"/>
              </w:rPr>
            </w:pPr>
          </w:p>
          <w:p w14:paraId="6FA245FC">
            <w:pPr>
              <w:pStyle w:val="33"/>
              <w:rPr>
                <w:rFonts w:hint="eastAsia" w:cs="Times New Roman"/>
                <w:b w:val="0"/>
                <w:bCs w:val="0"/>
                <w:color w:val="auto"/>
                <w:spacing w:val="0"/>
                <w:sz w:val="24"/>
                <w:lang w:val="en-US" w:eastAsia="zh-CN"/>
              </w:rPr>
            </w:pPr>
          </w:p>
          <w:p w14:paraId="3C597545">
            <w:pPr>
              <w:pStyle w:val="33"/>
              <w:rPr>
                <w:rFonts w:hint="eastAsia" w:cs="Times New Roman"/>
                <w:b w:val="0"/>
                <w:bCs w:val="0"/>
                <w:color w:val="auto"/>
                <w:spacing w:val="0"/>
                <w:sz w:val="24"/>
                <w:lang w:val="en-US" w:eastAsia="zh-CN"/>
              </w:rPr>
            </w:pPr>
          </w:p>
          <w:p w14:paraId="7B39A81B">
            <w:pPr>
              <w:pStyle w:val="33"/>
              <w:rPr>
                <w:rFonts w:hint="eastAsia" w:cs="Times New Roman"/>
                <w:b w:val="0"/>
                <w:bCs w:val="0"/>
                <w:color w:val="auto"/>
                <w:spacing w:val="0"/>
                <w:sz w:val="24"/>
                <w:lang w:val="en-US" w:eastAsia="zh-CN"/>
              </w:rPr>
            </w:pPr>
          </w:p>
          <w:p w14:paraId="32B64059">
            <w:pPr>
              <w:pStyle w:val="33"/>
              <w:rPr>
                <w:rFonts w:hint="eastAsia" w:cs="Times New Roman"/>
                <w:b w:val="0"/>
                <w:bCs w:val="0"/>
                <w:color w:val="auto"/>
                <w:spacing w:val="0"/>
                <w:sz w:val="24"/>
                <w:lang w:val="en-US" w:eastAsia="zh-CN"/>
              </w:rPr>
            </w:pPr>
          </w:p>
          <w:p w14:paraId="01A4F735">
            <w:pPr>
              <w:pStyle w:val="33"/>
              <w:rPr>
                <w:rFonts w:hint="eastAsia" w:cs="Times New Roman"/>
                <w:b w:val="0"/>
                <w:bCs w:val="0"/>
                <w:color w:val="auto"/>
                <w:spacing w:val="0"/>
                <w:sz w:val="24"/>
                <w:lang w:val="en-US" w:eastAsia="zh-CN"/>
              </w:rPr>
            </w:pPr>
          </w:p>
          <w:p w14:paraId="4FBB7ED9">
            <w:pPr>
              <w:pStyle w:val="33"/>
              <w:rPr>
                <w:rFonts w:hint="eastAsia" w:cs="Times New Roman"/>
                <w:b w:val="0"/>
                <w:bCs w:val="0"/>
                <w:color w:val="auto"/>
                <w:spacing w:val="0"/>
                <w:sz w:val="24"/>
                <w:lang w:val="en-US" w:eastAsia="zh-CN"/>
              </w:rPr>
            </w:pPr>
          </w:p>
          <w:p w14:paraId="4B2EC8F5">
            <w:pPr>
              <w:pStyle w:val="33"/>
              <w:rPr>
                <w:rFonts w:hint="eastAsia" w:cs="Times New Roman"/>
                <w:b w:val="0"/>
                <w:bCs w:val="0"/>
                <w:color w:val="auto"/>
                <w:spacing w:val="0"/>
                <w:sz w:val="24"/>
                <w:lang w:val="en-US" w:eastAsia="zh-CN"/>
              </w:rPr>
            </w:pPr>
          </w:p>
          <w:p w14:paraId="4606226D">
            <w:pPr>
              <w:pStyle w:val="33"/>
              <w:rPr>
                <w:rFonts w:hint="eastAsia" w:cs="Times New Roman"/>
                <w:b w:val="0"/>
                <w:bCs w:val="0"/>
                <w:color w:val="auto"/>
                <w:spacing w:val="0"/>
                <w:sz w:val="24"/>
                <w:lang w:val="en-US" w:eastAsia="zh-CN"/>
              </w:rPr>
            </w:pPr>
          </w:p>
          <w:p w14:paraId="5FE2A7B7">
            <w:pPr>
              <w:pStyle w:val="33"/>
              <w:rPr>
                <w:rFonts w:hint="eastAsia" w:cs="Times New Roman"/>
                <w:b w:val="0"/>
                <w:bCs w:val="0"/>
                <w:color w:val="auto"/>
                <w:spacing w:val="0"/>
                <w:sz w:val="24"/>
                <w:lang w:val="en-US" w:eastAsia="zh-CN"/>
              </w:rPr>
            </w:pPr>
          </w:p>
          <w:p w14:paraId="4E0DBC68">
            <w:pPr>
              <w:pStyle w:val="33"/>
              <w:rPr>
                <w:rFonts w:hint="eastAsia" w:cs="Times New Roman"/>
                <w:b w:val="0"/>
                <w:bCs w:val="0"/>
                <w:color w:val="auto"/>
                <w:spacing w:val="0"/>
                <w:sz w:val="24"/>
                <w:lang w:val="en-US" w:eastAsia="zh-CN"/>
              </w:rPr>
            </w:pPr>
          </w:p>
          <w:p w14:paraId="6C159719">
            <w:pPr>
              <w:pStyle w:val="33"/>
              <w:rPr>
                <w:rFonts w:hint="eastAsia" w:cs="Times New Roman"/>
                <w:b w:val="0"/>
                <w:bCs w:val="0"/>
                <w:color w:val="auto"/>
                <w:spacing w:val="0"/>
                <w:sz w:val="24"/>
                <w:lang w:val="en-US" w:eastAsia="zh-CN"/>
              </w:rPr>
            </w:pPr>
          </w:p>
          <w:p w14:paraId="15A7BAC0">
            <w:pPr>
              <w:pStyle w:val="33"/>
              <w:rPr>
                <w:rFonts w:hint="eastAsia" w:cs="Times New Roman"/>
                <w:b w:val="0"/>
                <w:bCs w:val="0"/>
                <w:color w:val="auto"/>
                <w:spacing w:val="0"/>
                <w:sz w:val="24"/>
                <w:lang w:val="en-US" w:eastAsia="zh-CN"/>
              </w:rPr>
            </w:pPr>
          </w:p>
          <w:p w14:paraId="3914DEFB">
            <w:pPr>
              <w:pStyle w:val="33"/>
              <w:rPr>
                <w:rFonts w:hint="eastAsia" w:cs="Times New Roman"/>
                <w:b w:val="0"/>
                <w:bCs w:val="0"/>
                <w:color w:val="auto"/>
                <w:spacing w:val="0"/>
                <w:sz w:val="24"/>
                <w:lang w:val="en-US" w:eastAsia="zh-CN"/>
              </w:rPr>
            </w:pPr>
          </w:p>
          <w:p w14:paraId="5DC2602B">
            <w:pPr>
              <w:pStyle w:val="33"/>
              <w:rPr>
                <w:rFonts w:hint="eastAsia" w:cs="Times New Roman"/>
                <w:b w:val="0"/>
                <w:bCs w:val="0"/>
                <w:color w:val="auto"/>
                <w:spacing w:val="0"/>
                <w:sz w:val="24"/>
                <w:lang w:val="en-US" w:eastAsia="zh-CN"/>
              </w:rPr>
            </w:pPr>
          </w:p>
          <w:p w14:paraId="21857793">
            <w:pPr>
              <w:pStyle w:val="33"/>
              <w:rPr>
                <w:rFonts w:hint="eastAsia" w:cs="Times New Roman"/>
                <w:b w:val="0"/>
                <w:bCs w:val="0"/>
                <w:color w:val="auto"/>
                <w:spacing w:val="0"/>
                <w:sz w:val="24"/>
                <w:lang w:val="en-US" w:eastAsia="zh-CN"/>
              </w:rPr>
            </w:pPr>
          </w:p>
          <w:p w14:paraId="1ED9AEF6">
            <w:pPr>
              <w:pStyle w:val="33"/>
              <w:rPr>
                <w:rFonts w:hint="default" w:cs="Times New Roman"/>
                <w:b w:val="0"/>
                <w:bCs w:val="0"/>
                <w:color w:val="auto"/>
                <w:spacing w:val="0"/>
                <w:sz w:val="24"/>
                <w:lang w:val="en-US" w:eastAsia="zh-CN"/>
              </w:rPr>
            </w:pPr>
          </w:p>
          <w:p w14:paraId="2AD40F0A">
            <w:pPr>
              <w:pStyle w:val="33"/>
              <w:rPr>
                <w:rFonts w:hint="default"/>
                <w:lang w:val="en-US" w:eastAsia="zh-CN"/>
              </w:rPr>
            </w:pPr>
          </w:p>
          <w:p w14:paraId="39293A8F">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eastAsia" w:cs="Times New Roman"/>
                <w:b/>
                <w:bCs/>
                <w:color w:val="auto"/>
                <w:spacing w:val="0"/>
                <w:sz w:val="21"/>
                <w:szCs w:val="21"/>
                <w:lang w:val="en-US" w:eastAsia="zh-CN"/>
              </w:rPr>
            </w:pPr>
            <w:r>
              <w:rPr>
                <w:rFonts w:hint="eastAsia" w:cs="Times New Roman"/>
                <w:b/>
                <w:bCs/>
                <w:color w:val="auto"/>
                <w:spacing w:val="0"/>
                <w:sz w:val="21"/>
                <w:szCs w:val="21"/>
                <w:lang w:val="en-US" w:eastAsia="zh-CN"/>
              </w:rPr>
              <w:drawing>
                <wp:inline distT="0" distB="0" distL="114300" distR="114300">
                  <wp:extent cx="5661660" cy="5593080"/>
                  <wp:effectExtent l="0" t="0" r="0" b="0"/>
                  <wp:docPr id="34" name="图片 34" descr="废气收集处理示意--卓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废气收集处理示意--卓盛"/>
                          <pic:cNvPicPr>
                            <a:picLocks noChangeAspect="1"/>
                          </pic:cNvPicPr>
                        </pic:nvPicPr>
                        <pic:blipFill>
                          <a:blip r:embed="rId26"/>
                          <a:stretch>
                            <a:fillRect/>
                          </a:stretch>
                        </pic:blipFill>
                        <pic:spPr>
                          <a:xfrm>
                            <a:off x="0" y="0"/>
                            <a:ext cx="5661660" cy="5593080"/>
                          </a:xfrm>
                          <a:prstGeom prst="rect">
                            <a:avLst/>
                          </a:prstGeom>
                        </pic:spPr>
                      </pic:pic>
                    </a:graphicData>
                  </a:graphic>
                </wp:inline>
              </w:drawing>
            </w:r>
          </w:p>
          <w:p w14:paraId="746718FC">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cs="Times New Roman"/>
                <w:b/>
                <w:bCs/>
                <w:color w:val="auto"/>
                <w:spacing w:val="0"/>
                <w:sz w:val="21"/>
                <w:szCs w:val="21"/>
                <w:lang w:val="en-US" w:eastAsia="zh-CN"/>
              </w:rPr>
            </w:pPr>
            <w:r>
              <w:rPr>
                <w:rFonts w:hint="eastAsia" w:cs="Times New Roman"/>
                <w:b/>
                <w:bCs/>
                <w:color w:val="auto"/>
                <w:spacing w:val="0"/>
                <w:sz w:val="21"/>
                <w:szCs w:val="21"/>
                <w:lang w:val="en-US" w:eastAsia="zh-CN"/>
              </w:rPr>
              <w:t>图4-1  废气收集处理示意图</w:t>
            </w:r>
          </w:p>
          <w:p w14:paraId="0AA86695">
            <w:pPr>
              <w:keepNext w:val="0"/>
              <w:keepLines w:val="0"/>
              <w:pageBreakBefore w:val="0"/>
              <w:widowControl w:val="0"/>
              <w:kinsoku/>
              <w:wordWrap/>
              <w:overflowPunct/>
              <w:topLinePunct w:val="0"/>
              <w:autoSpaceDE/>
              <w:autoSpaceDN/>
              <w:bidi w:val="0"/>
              <w:adjustRightInd/>
              <w:snapToGrid/>
              <w:spacing w:line="480" w:lineRule="atLeast"/>
              <w:textAlignment w:val="auto"/>
              <w:rPr>
                <w:rFonts w:hint="default" w:ascii="Times New Roman" w:hAnsi="Times New Roman" w:cs="Times New Roman"/>
                <w:color w:val="auto"/>
                <w:spacing w:val="0"/>
                <w:kern w:val="10"/>
                <w:position w:val="0"/>
                <w:sz w:val="24"/>
                <w:lang w:eastAsia="zh-CN"/>
              </w:rPr>
            </w:pPr>
            <w:r>
              <w:rPr>
                <w:rFonts w:hint="eastAsia" w:cs="Times New Roman"/>
                <w:b/>
                <w:bCs/>
                <w:color w:val="auto"/>
                <w:spacing w:val="0"/>
                <w:sz w:val="24"/>
                <w:lang w:val="en-US" w:eastAsia="zh-CN"/>
              </w:rPr>
              <w:t>4.1.2</w:t>
            </w:r>
            <w:r>
              <w:rPr>
                <w:rFonts w:hint="default" w:ascii="Times New Roman" w:hAnsi="Times New Roman" w:cs="Times New Roman"/>
                <w:b/>
                <w:bCs/>
                <w:color w:val="auto"/>
                <w:spacing w:val="0"/>
                <w:sz w:val="24"/>
              </w:rPr>
              <w:t>废气污染</w:t>
            </w:r>
            <w:r>
              <w:rPr>
                <w:rFonts w:hint="default" w:ascii="Times New Roman" w:hAnsi="Times New Roman" w:cs="Times New Roman"/>
                <w:b/>
                <w:bCs/>
                <w:color w:val="auto"/>
                <w:spacing w:val="0"/>
                <w:sz w:val="24"/>
                <w:lang w:val="en-US" w:eastAsia="zh-CN"/>
              </w:rPr>
              <w:t>源源项分析</w:t>
            </w:r>
          </w:p>
          <w:p w14:paraId="4983D86E">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eastAsia="宋体"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一、</w:t>
            </w:r>
            <w:r>
              <w:rPr>
                <w:rFonts w:hint="eastAsia" w:ascii="Times New Roman" w:hAnsi="Times New Roman" w:eastAsia="宋体" w:cs="Times New Roman"/>
                <w:b/>
                <w:bCs/>
                <w:color w:val="auto"/>
                <w:spacing w:val="0"/>
                <w:kern w:val="10"/>
                <w:position w:val="0"/>
                <w:sz w:val="24"/>
                <w:lang w:val="en-US" w:eastAsia="zh-CN"/>
              </w:rPr>
              <w:t>热解炉尾气、燃烧室不凝气燃烧废气、清洗炉燃烧烟气、烘干炉燃烧烟气</w:t>
            </w:r>
            <w:r>
              <w:rPr>
                <w:rFonts w:hint="eastAsia" w:cs="Times New Roman"/>
                <w:b/>
                <w:bCs/>
                <w:color w:val="auto"/>
                <w:spacing w:val="0"/>
                <w:kern w:val="10"/>
                <w:position w:val="0"/>
                <w:sz w:val="24"/>
                <w:lang w:val="en-US" w:eastAsia="zh-CN"/>
              </w:rPr>
              <w:t>、储油罐呼吸气</w:t>
            </w:r>
          </w:p>
          <w:p w14:paraId="52DD9357">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（1）源强核算</w:t>
            </w:r>
          </w:p>
          <w:p w14:paraId="78C4CEF6">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A、热解炉尾气</w:t>
            </w:r>
          </w:p>
          <w:p w14:paraId="00DE87F7">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热解炉尾气包括柴油点火废气、热解油燃烧废气、不凝气燃烧废气、非甲烷总烃、炭黑尘、氟化物、锡及其化合物。</w:t>
            </w:r>
          </w:p>
          <w:p w14:paraId="037453E0">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eastAsia" w:ascii="Times New Roman" w:hAnsi="Times New Roman"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1）</w:t>
            </w:r>
            <w:r>
              <w:rPr>
                <w:rFonts w:hint="eastAsia" w:ascii="Times New Roman" w:hAnsi="Times New Roman" w:cs="Times New Roman"/>
                <w:b/>
                <w:bCs/>
                <w:color w:val="auto"/>
                <w:spacing w:val="0"/>
                <w:kern w:val="10"/>
                <w:position w:val="0"/>
                <w:sz w:val="24"/>
                <w:lang w:val="en-US" w:eastAsia="zh-CN"/>
              </w:rPr>
              <w:t>柴油点火废气、热解油燃烧废气</w:t>
            </w:r>
          </w:p>
          <w:p w14:paraId="2549E401">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第1台热解炉首次运行采用外购0#柴油（轻油）点火，后续热解炉点火及生产运行全部采用自产热解油、不凝气。每台热解炉4个喷枪，单个喷枪点火用油量20kg/h，正常热解4h后稳定产气。因此初次柴油用量为0.32t。</w:t>
            </w:r>
          </w:p>
          <w:p w14:paraId="02D02E02">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根据物料平衡、热平衡，热解炉使用热解油965.186t/a。</w:t>
            </w:r>
          </w:p>
          <w:p w14:paraId="7D6B4E5C">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参照《排放源统计调查产排污核算方法和系数手册》（生态环境部公告2021年第24号）中“4430工业锅炉（热力生产和供应行业）产污系数表-燃油工业锅炉”中柴油室燃炉烟气产污系数，计算柴油、热解油燃烧烟气如下表：</w:t>
            </w:r>
          </w:p>
          <w:p w14:paraId="2946B229">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bCs/>
                <w:color w:val="auto"/>
                <w:spacing w:val="0"/>
                <w:kern w:val="10"/>
                <w:position w:val="0"/>
                <w:sz w:val="21"/>
                <w:szCs w:val="21"/>
                <w:lang w:val="en-US" w:eastAsia="zh-CN"/>
              </w:rPr>
              <w:t>表4-2  柴油、热解油燃烧烟气计算</w:t>
            </w:r>
          </w:p>
          <w:tbl>
            <w:tblPr>
              <w:tblStyle w:val="27"/>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6"/>
              <w:gridCol w:w="1233"/>
              <w:gridCol w:w="1440"/>
              <w:gridCol w:w="1407"/>
              <w:gridCol w:w="1189"/>
              <w:gridCol w:w="2439"/>
            </w:tblGrid>
            <w:tr w14:paraId="5BDDB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Align w:val="center"/>
                </w:tcPr>
                <w:p w14:paraId="38AF12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燃料名称</w:t>
                  </w:r>
                </w:p>
              </w:tc>
              <w:tc>
                <w:tcPr>
                  <w:tcW w:w="1233" w:type="dxa"/>
                  <w:vAlign w:val="center"/>
                </w:tcPr>
                <w:p w14:paraId="1297B3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用量（t/a）</w:t>
                  </w:r>
                </w:p>
              </w:tc>
              <w:tc>
                <w:tcPr>
                  <w:tcW w:w="1440" w:type="dxa"/>
                  <w:vAlign w:val="center"/>
                </w:tcPr>
                <w:p w14:paraId="241ACF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污染物指标</w:t>
                  </w:r>
                </w:p>
              </w:tc>
              <w:tc>
                <w:tcPr>
                  <w:tcW w:w="1407" w:type="dxa"/>
                  <w:vAlign w:val="center"/>
                </w:tcPr>
                <w:p w14:paraId="51323C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单位</w:t>
                  </w:r>
                </w:p>
              </w:tc>
              <w:tc>
                <w:tcPr>
                  <w:tcW w:w="1189" w:type="dxa"/>
                  <w:vAlign w:val="center"/>
                </w:tcPr>
                <w:p w14:paraId="70228D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产污系数</w:t>
                  </w:r>
                </w:p>
              </w:tc>
              <w:tc>
                <w:tcPr>
                  <w:tcW w:w="2439" w:type="dxa"/>
                  <w:vAlign w:val="center"/>
                </w:tcPr>
                <w:p w14:paraId="238AE2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污染物产生量（t/a）</w:t>
                  </w:r>
                </w:p>
              </w:tc>
            </w:tr>
            <w:tr w14:paraId="15AC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restart"/>
                  <w:vAlign w:val="center"/>
                </w:tcPr>
                <w:p w14:paraId="57ACB096">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柴油</w:t>
                  </w:r>
                  <w:r>
                    <w:rPr>
                      <w:rFonts w:hint="eastAsia" w:ascii="Times New Roman" w:hAnsi="Times New Roman" w:cs="Times New Roman"/>
                      <w:i w:val="0"/>
                      <w:iCs w:val="0"/>
                      <w:color w:val="000000"/>
                      <w:kern w:val="0"/>
                      <w:sz w:val="21"/>
                      <w:szCs w:val="21"/>
                      <w:u w:val="none"/>
                      <w:lang w:val="en-US" w:eastAsia="zh-CN" w:bidi="ar"/>
                    </w:rPr>
                    <w:t>/热解油</w:t>
                  </w:r>
                </w:p>
              </w:tc>
              <w:tc>
                <w:tcPr>
                  <w:tcW w:w="1233" w:type="dxa"/>
                  <w:vMerge w:val="restart"/>
                  <w:vAlign w:val="center"/>
                </w:tcPr>
                <w:p w14:paraId="73BC07E5">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eastAsia" w:ascii="Times New Roman" w:hAnsi="Times New Roman" w:cs="Times New Roman"/>
                      <w:i w:val="0"/>
                      <w:iCs w:val="0"/>
                      <w:color w:val="000000"/>
                      <w:kern w:val="0"/>
                      <w:sz w:val="21"/>
                      <w:szCs w:val="21"/>
                      <w:u w:val="none"/>
                      <w:lang w:val="en-US" w:eastAsia="zh-CN" w:bidi="ar"/>
                    </w:rPr>
                    <w:t>965.506</w:t>
                  </w:r>
                </w:p>
              </w:tc>
              <w:tc>
                <w:tcPr>
                  <w:tcW w:w="1440" w:type="dxa"/>
                  <w:vAlign w:val="center"/>
                </w:tcPr>
                <w:p w14:paraId="06FBFB27">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二氧化硫</w:t>
                  </w:r>
                </w:p>
              </w:tc>
              <w:tc>
                <w:tcPr>
                  <w:tcW w:w="1407" w:type="dxa"/>
                  <w:vAlign w:val="center"/>
                </w:tcPr>
                <w:p w14:paraId="25A82598">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千克/吨-原料</w:t>
                  </w:r>
                </w:p>
              </w:tc>
              <w:tc>
                <w:tcPr>
                  <w:tcW w:w="1189" w:type="dxa"/>
                  <w:vAlign w:val="center"/>
                </w:tcPr>
                <w:p w14:paraId="6521E048">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19</w:t>
                  </w:r>
                  <w:r>
                    <w:rPr>
                      <w:rFonts w:hint="eastAsia" w:ascii="Times New Roman" w:hAnsi="Times New Roman" w:cs="Times New Roman"/>
                      <w:i w:val="0"/>
                      <w:iCs w:val="0"/>
                      <w:color w:val="000000"/>
                      <w:kern w:val="0"/>
                      <w:sz w:val="21"/>
                      <w:szCs w:val="21"/>
                      <w:u w:val="none"/>
                      <w:lang w:val="en-US" w:eastAsia="zh-CN" w:bidi="ar"/>
                    </w:rPr>
                    <w:t>S</w:t>
                  </w:r>
                </w:p>
              </w:tc>
              <w:tc>
                <w:tcPr>
                  <w:tcW w:w="2439" w:type="dxa"/>
                  <w:vAlign w:val="center"/>
                </w:tcPr>
                <w:p w14:paraId="62832821">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highlight w:val="none"/>
                      <w:vertAlign w:val="baseli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6.08E-06</w:t>
                  </w:r>
                </w:p>
              </w:tc>
            </w:tr>
            <w:tr w14:paraId="2590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vAlign w:val="center"/>
                </w:tcPr>
                <w:p w14:paraId="4F87D796">
                  <w:pPr>
                    <w:jc w:val="center"/>
                    <w:rPr>
                      <w:rFonts w:hint="default" w:ascii="Times New Roman" w:hAnsi="Times New Roman" w:cs="Times New Roman"/>
                      <w:b w:val="0"/>
                      <w:bCs w:val="0"/>
                      <w:color w:val="auto"/>
                      <w:spacing w:val="0"/>
                      <w:kern w:val="10"/>
                      <w:position w:val="0"/>
                      <w:sz w:val="21"/>
                      <w:szCs w:val="21"/>
                      <w:vertAlign w:val="baseline"/>
                      <w:lang w:val="en-US" w:eastAsia="zh-CN"/>
                    </w:rPr>
                  </w:pPr>
                </w:p>
              </w:tc>
              <w:tc>
                <w:tcPr>
                  <w:tcW w:w="1233" w:type="dxa"/>
                  <w:vMerge w:val="continue"/>
                  <w:vAlign w:val="center"/>
                </w:tcPr>
                <w:p w14:paraId="47CEEE90">
                  <w:pPr>
                    <w:jc w:val="center"/>
                    <w:rPr>
                      <w:rFonts w:hint="default" w:ascii="Times New Roman" w:hAnsi="Times New Roman" w:cs="Times New Roman"/>
                      <w:b w:val="0"/>
                      <w:bCs w:val="0"/>
                      <w:color w:val="auto"/>
                      <w:spacing w:val="0"/>
                      <w:kern w:val="10"/>
                      <w:position w:val="0"/>
                      <w:sz w:val="21"/>
                      <w:szCs w:val="21"/>
                      <w:vertAlign w:val="baseline"/>
                      <w:lang w:val="en-US" w:eastAsia="zh-CN"/>
                    </w:rPr>
                  </w:pPr>
                </w:p>
              </w:tc>
              <w:tc>
                <w:tcPr>
                  <w:tcW w:w="1440" w:type="dxa"/>
                  <w:vAlign w:val="center"/>
                </w:tcPr>
                <w:p w14:paraId="166E3482">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氮氧化物</w:t>
                  </w:r>
                </w:p>
              </w:tc>
              <w:tc>
                <w:tcPr>
                  <w:tcW w:w="1407" w:type="dxa"/>
                  <w:vAlign w:val="center"/>
                </w:tcPr>
                <w:p w14:paraId="42CA7B66">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千克/吨-原料</w:t>
                  </w:r>
                </w:p>
              </w:tc>
              <w:tc>
                <w:tcPr>
                  <w:tcW w:w="1189" w:type="dxa"/>
                  <w:vAlign w:val="center"/>
                </w:tcPr>
                <w:p w14:paraId="7265182A">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3.03</w:t>
                  </w:r>
                </w:p>
              </w:tc>
              <w:tc>
                <w:tcPr>
                  <w:tcW w:w="2439" w:type="dxa"/>
                  <w:vAlign w:val="center"/>
                </w:tcPr>
                <w:p w14:paraId="01BC5635">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highlight w:val="none"/>
                      <w:vertAlign w:val="baseline"/>
                      <w:lang w:val="en-US" w:eastAsia="zh-CN"/>
                    </w:rPr>
                  </w:pPr>
                  <w:r>
                    <w:rPr>
                      <w:rFonts w:hint="eastAsia" w:cs="Times New Roman"/>
                      <w:i w:val="0"/>
                      <w:iCs w:val="0"/>
                      <w:color w:val="000000"/>
                      <w:kern w:val="0"/>
                      <w:sz w:val="21"/>
                      <w:szCs w:val="21"/>
                      <w:highlight w:val="none"/>
                      <w:u w:val="none"/>
                      <w:lang w:val="en-US" w:eastAsia="zh-CN" w:bidi="ar"/>
                    </w:rPr>
                    <w:t>2.925</w:t>
                  </w:r>
                </w:p>
              </w:tc>
            </w:tr>
            <w:tr w14:paraId="34354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vAlign w:val="center"/>
                </w:tcPr>
                <w:p w14:paraId="354381E0">
                  <w:pPr>
                    <w:jc w:val="center"/>
                    <w:rPr>
                      <w:rFonts w:hint="default" w:ascii="Times New Roman" w:hAnsi="Times New Roman" w:cs="Times New Roman"/>
                      <w:b w:val="0"/>
                      <w:bCs w:val="0"/>
                      <w:color w:val="auto"/>
                      <w:spacing w:val="0"/>
                      <w:kern w:val="10"/>
                      <w:position w:val="0"/>
                      <w:sz w:val="21"/>
                      <w:szCs w:val="21"/>
                      <w:vertAlign w:val="baseline"/>
                      <w:lang w:val="en-US" w:eastAsia="zh-CN"/>
                    </w:rPr>
                  </w:pPr>
                </w:p>
              </w:tc>
              <w:tc>
                <w:tcPr>
                  <w:tcW w:w="1233" w:type="dxa"/>
                  <w:vMerge w:val="continue"/>
                  <w:vAlign w:val="center"/>
                </w:tcPr>
                <w:p w14:paraId="345B4261">
                  <w:pPr>
                    <w:jc w:val="center"/>
                    <w:rPr>
                      <w:rFonts w:hint="default" w:ascii="Times New Roman" w:hAnsi="Times New Roman" w:cs="Times New Roman"/>
                      <w:b w:val="0"/>
                      <w:bCs w:val="0"/>
                      <w:color w:val="auto"/>
                      <w:spacing w:val="0"/>
                      <w:kern w:val="10"/>
                      <w:position w:val="0"/>
                      <w:sz w:val="21"/>
                      <w:szCs w:val="21"/>
                      <w:vertAlign w:val="baseline"/>
                      <w:lang w:val="en-US" w:eastAsia="zh-CN"/>
                    </w:rPr>
                  </w:pPr>
                </w:p>
              </w:tc>
              <w:tc>
                <w:tcPr>
                  <w:tcW w:w="1440" w:type="dxa"/>
                  <w:vAlign w:val="center"/>
                </w:tcPr>
                <w:p w14:paraId="05D01B21">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颗粒物</w:t>
                  </w:r>
                </w:p>
              </w:tc>
              <w:tc>
                <w:tcPr>
                  <w:tcW w:w="1407" w:type="dxa"/>
                  <w:vAlign w:val="center"/>
                </w:tcPr>
                <w:p w14:paraId="3C70F4D0">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千克/吨-原料</w:t>
                  </w:r>
                </w:p>
              </w:tc>
              <w:tc>
                <w:tcPr>
                  <w:tcW w:w="1189" w:type="dxa"/>
                  <w:vAlign w:val="center"/>
                </w:tcPr>
                <w:p w14:paraId="24F20E4A">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0.26</w:t>
                  </w:r>
                </w:p>
              </w:tc>
              <w:tc>
                <w:tcPr>
                  <w:tcW w:w="2439" w:type="dxa"/>
                  <w:vAlign w:val="center"/>
                </w:tcPr>
                <w:p w14:paraId="22CF28C2">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highlight w:val="none"/>
                      <w:vertAlign w:val="baseli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 xml:space="preserve">0.251 </w:t>
                  </w:r>
                </w:p>
              </w:tc>
            </w:tr>
            <w:tr w14:paraId="6A3D4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4" w:type="dxa"/>
                  <w:gridSpan w:val="6"/>
                  <w:vAlign w:val="center"/>
                </w:tcPr>
                <w:p w14:paraId="6D1A6D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pacing w:val="0"/>
                      <w:kern w:val="10"/>
                      <w:position w:val="0"/>
                      <w:sz w:val="21"/>
                      <w:szCs w:val="21"/>
                      <w:vertAlign w:val="baseline"/>
                      <w:lang w:val="en-US" w:eastAsia="zh-CN"/>
                    </w:rPr>
                  </w:pPr>
                  <w:r>
                    <w:rPr>
                      <w:rFonts w:hint="eastAsia" w:ascii="Times New Roman" w:hAnsi="Times New Roman" w:cs="Times New Roman"/>
                      <w:b w:val="0"/>
                      <w:bCs w:val="0"/>
                      <w:color w:val="auto"/>
                      <w:spacing w:val="0"/>
                      <w:kern w:val="10"/>
                      <w:position w:val="0"/>
                      <w:sz w:val="21"/>
                      <w:szCs w:val="21"/>
                      <w:vertAlign w:val="baseline"/>
                      <w:lang w:val="en-US" w:eastAsia="zh-CN"/>
                    </w:rPr>
                    <w:t>注：（1）根据《普通柴油》（GB252-2015），0#柴油硫含量≤10mg/kg，S取0.001</w:t>
                  </w:r>
                  <w:r>
                    <w:rPr>
                      <w:rFonts w:hint="eastAsia" w:cs="Times New Roman"/>
                      <w:b w:val="0"/>
                      <w:bCs w:val="0"/>
                      <w:color w:val="auto"/>
                      <w:spacing w:val="0"/>
                      <w:kern w:val="10"/>
                      <w:position w:val="0"/>
                      <w:sz w:val="21"/>
                      <w:szCs w:val="21"/>
                      <w:vertAlign w:val="baseline"/>
                      <w:lang w:val="en-US" w:eastAsia="zh-CN"/>
                    </w:rPr>
                    <w:t>；</w:t>
                  </w:r>
                  <w:r>
                    <w:rPr>
                      <w:rFonts w:hint="eastAsia" w:ascii="Times New Roman" w:hAnsi="Times New Roman" w:cs="Times New Roman"/>
                      <w:b w:val="0"/>
                      <w:bCs w:val="0"/>
                      <w:color w:val="auto"/>
                      <w:spacing w:val="0"/>
                      <w:kern w:val="10"/>
                      <w:position w:val="0"/>
                      <w:sz w:val="21"/>
                      <w:szCs w:val="21"/>
                      <w:vertAlign w:val="baseline"/>
                      <w:lang w:val="en-US" w:eastAsia="zh-CN"/>
                    </w:rPr>
                    <w:t>（2）热解油中不含硫，因此热解油燃烧烟气中不含二氧化硫。</w:t>
                  </w:r>
                </w:p>
              </w:tc>
            </w:tr>
          </w:tbl>
          <w:p w14:paraId="7719B50D">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2）</w:t>
            </w:r>
            <w:r>
              <w:rPr>
                <w:rFonts w:hint="eastAsia" w:ascii="Times New Roman" w:hAnsi="Times New Roman" w:cs="Times New Roman"/>
                <w:b/>
                <w:bCs/>
                <w:color w:val="auto"/>
                <w:spacing w:val="0"/>
                <w:kern w:val="10"/>
                <w:position w:val="0"/>
                <w:sz w:val="24"/>
                <w:lang w:val="en-US" w:eastAsia="zh-CN"/>
              </w:rPr>
              <w:t>不凝气燃烧废气</w:t>
            </w:r>
          </w:p>
          <w:p w14:paraId="54C4342D">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default" w:ascii="Times New Roman" w:hAnsi="Times New Roman" w:cs="Times New Roman"/>
                <w:b w:val="0"/>
                <w:bCs w:val="0"/>
                <w:color w:val="auto"/>
                <w:spacing w:val="0"/>
                <w:kern w:val="10"/>
                <w:position w:val="0"/>
                <w:sz w:val="24"/>
                <w:lang w:val="en-US" w:eastAsia="zh-CN"/>
              </w:rPr>
              <w:t>废旧光伏板在间接热解炉中经3小时左右的持续加热，产生热解气。</w:t>
            </w:r>
            <w:r>
              <w:rPr>
                <w:rFonts w:hint="eastAsia" w:ascii="Times New Roman" w:hAnsi="Times New Roman" w:cs="Times New Roman"/>
                <w:b w:val="0"/>
                <w:bCs w:val="0"/>
                <w:color w:val="auto"/>
                <w:spacing w:val="0"/>
                <w:kern w:val="10"/>
                <w:position w:val="0"/>
                <w:sz w:val="24"/>
                <w:lang w:val="en-US" w:eastAsia="zh-CN"/>
              </w:rPr>
              <w:t>根据物料平衡，热解气产生量为1617t/a，其中不凝气产生量约242.55t/a（23.7万m</w:t>
            </w:r>
            <w:r>
              <w:rPr>
                <w:rFonts w:hint="eastAsia" w:ascii="Times New Roman" w:hAnsi="Times New Roman" w:cs="Times New Roman"/>
                <w:b w:val="0"/>
                <w:bCs w:val="0"/>
                <w:color w:val="auto"/>
                <w:spacing w:val="0"/>
                <w:kern w:val="10"/>
                <w:position w:val="0"/>
                <w:sz w:val="24"/>
                <w:vertAlign w:val="superscript"/>
                <w:lang w:val="en-US" w:eastAsia="zh-CN"/>
              </w:rPr>
              <w:t>3</w:t>
            </w:r>
            <w:r>
              <w:rPr>
                <w:rFonts w:hint="eastAsia" w:ascii="Times New Roman" w:hAnsi="Times New Roman" w:cs="Times New Roman"/>
                <w:b w:val="0"/>
                <w:bCs w:val="0"/>
                <w:color w:val="auto"/>
                <w:spacing w:val="0"/>
                <w:kern w:val="10"/>
                <w:position w:val="0"/>
                <w:sz w:val="24"/>
                <w:lang w:val="en-US" w:eastAsia="zh-CN"/>
              </w:rPr>
              <w:t>/a），</w:t>
            </w:r>
            <w:r>
              <w:rPr>
                <w:rFonts w:hint="default" w:ascii="Times New Roman" w:hAnsi="Times New Roman" w:cs="Times New Roman"/>
                <w:b w:val="0"/>
                <w:bCs w:val="0"/>
                <w:color w:val="auto"/>
                <w:spacing w:val="0"/>
                <w:kern w:val="10"/>
                <w:position w:val="0"/>
                <w:sz w:val="24"/>
                <w:lang w:val="en-US" w:eastAsia="zh-CN"/>
              </w:rPr>
              <w:t>项目上一级热解炉放出的热解气全部进入下一级热解炉燃烧机作为燃料利用</w:t>
            </w:r>
            <w:r>
              <w:rPr>
                <w:rFonts w:hint="eastAsia" w:ascii="Times New Roman" w:hAnsi="Times New Roman" w:cs="Times New Roman"/>
                <w:b w:val="0"/>
                <w:bCs w:val="0"/>
                <w:color w:val="auto"/>
                <w:spacing w:val="0"/>
                <w:kern w:val="10"/>
                <w:position w:val="0"/>
                <w:sz w:val="24"/>
                <w:lang w:val="en-US" w:eastAsia="zh-CN"/>
              </w:rPr>
              <w:t>。根据生产工况设计，98%的不凝气进入燃烧室作为燃料，剩余2%在设备开停车期间无法及时供气，需引入燃气室燃烧处理。因此热解炉燃烧不凝气量约为23.226万m</w:t>
            </w:r>
            <w:r>
              <w:rPr>
                <w:rFonts w:hint="eastAsia" w:ascii="Times New Roman" w:hAnsi="Times New Roman" w:cs="Times New Roman"/>
                <w:b w:val="0"/>
                <w:bCs w:val="0"/>
                <w:color w:val="auto"/>
                <w:spacing w:val="0"/>
                <w:kern w:val="10"/>
                <w:position w:val="0"/>
                <w:sz w:val="24"/>
                <w:vertAlign w:val="superscript"/>
                <w:lang w:val="en-US" w:eastAsia="zh-CN"/>
              </w:rPr>
              <w:t>3</w:t>
            </w:r>
            <w:r>
              <w:rPr>
                <w:rFonts w:hint="eastAsia" w:ascii="Times New Roman" w:hAnsi="Times New Roman" w:cs="Times New Roman"/>
                <w:b w:val="0"/>
                <w:bCs w:val="0"/>
                <w:color w:val="auto"/>
                <w:spacing w:val="0"/>
                <w:kern w:val="10"/>
                <w:position w:val="0"/>
                <w:sz w:val="24"/>
                <w:lang w:val="en-US" w:eastAsia="zh-CN"/>
              </w:rPr>
              <w:t>/a。</w:t>
            </w:r>
          </w:p>
          <w:p w14:paraId="7FDD6DD4">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default" w:ascii="Times New Roman" w:hAnsi="Times New Roman" w:cs="Times New Roman"/>
                <w:b w:val="0"/>
                <w:bCs w:val="0"/>
                <w:color w:val="auto"/>
                <w:spacing w:val="0"/>
                <w:kern w:val="10"/>
                <w:position w:val="0"/>
                <w:sz w:val="24"/>
                <w:lang w:val="en-US" w:eastAsia="zh-CN"/>
              </w:rPr>
              <w:t>根据文献《废晶体硅光伏组件中乙烯-醋酸乙烯共聚物热处理及产物分析》</w:t>
            </w:r>
            <w:r>
              <w:rPr>
                <w:rFonts w:hint="eastAsia" w:cs="Times New Roman"/>
                <w:b w:val="0"/>
                <w:bCs w:val="0"/>
                <w:color w:val="auto"/>
                <w:spacing w:val="0"/>
                <w:kern w:val="10"/>
                <w:position w:val="0"/>
                <w:sz w:val="24"/>
                <w:lang w:val="en-US" w:eastAsia="zh-CN"/>
              </w:rPr>
              <w:t>（</w:t>
            </w:r>
            <w:r>
              <w:rPr>
                <w:rFonts w:hint="default" w:ascii="Times New Roman" w:hAnsi="Times New Roman" w:cs="Times New Roman"/>
                <w:b w:val="0"/>
                <w:bCs w:val="0"/>
                <w:color w:val="auto"/>
                <w:spacing w:val="0"/>
                <w:kern w:val="10"/>
                <w:position w:val="0"/>
                <w:sz w:val="24"/>
                <w:lang w:val="en-US" w:eastAsia="zh-CN"/>
              </w:rPr>
              <w:t>中国环境科学研究院、国家环境保护生态工业重点实验室、北京100012）中，显示EVE中33%</w:t>
            </w:r>
            <w:r>
              <w:rPr>
                <w:rFonts w:hint="eastAsia" w:cs="Times New Roman"/>
                <w:b w:val="0"/>
                <w:bCs w:val="0"/>
                <w:color w:val="auto"/>
                <w:spacing w:val="0"/>
                <w:kern w:val="10"/>
                <w:position w:val="0"/>
                <w:sz w:val="24"/>
                <w:lang w:val="en-US" w:eastAsia="zh-CN"/>
              </w:rPr>
              <w:t>（</w:t>
            </w:r>
            <w:r>
              <w:rPr>
                <w:rFonts w:hint="default" w:ascii="Times New Roman" w:hAnsi="Times New Roman" w:cs="Times New Roman"/>
                <w:b w:val="0"/>
                <w:bCs w:val="0"/>
                <w:color w:val="auto"/>
                <w:spacing w:val="0"/>
                <w:kern w:val="10"/>
                <w:position w:val="0"/>
                <w:sz w:val="24"/>
                <w:lang w:val="en-US" w:eastAsia="zh-CN"/>
              </w:rPr>
              <w:t>质量分数）为醋酸乙烯，剩余67%为乙烯，在</w:t>
            </w:r>
            <w:r>
              <w:rPr>
                <w:rFonts w:hint="eastAsia" w:cs="Times New Roman"/>
                <w:b w:val="0"/>
                <w:bCs w:val="0"/>
                <w:color w:val="auto"/>
                <w:spacing w:val="0"/>
                <w:kern w:val="10"/>
                <w:position w:val="0"/>
                <w:sz w:val="24"/>
                <w:lang w:val="en-US" w:eastAsia="zh-CN"/>
              </w:rPr>
              <w:t>空气</w:t>
            </w:r>
            <w:r>
              <w:rPr>
                <w:rFonts w:hint="default" w:ascii="Times New Roman" w:hAnsi="Times New Roman" w:cs="Times New Roman"/>
                <w:b w:val="0"/>
                <w:bCs w:val="0"/>
                <w:color w:val="auto"/>
                <w:spacing w:val="0"/>
                <w:kern w:val="10"/>
                <w:position w:val="0"/>
                <w:sz w:val="24"/>
                <w:lang w:val="en-US" w:eastAsia="zh-CN"/>
              </w:rPr>
              <w:t>气氛下热处理产生气体有丙烷、甲烷、二氧化碳、乙烯、乙烷、丙烯</w:t>
            </w:r>
            <w:r>
              <w:rPr>
                <w:rFonts w:hint="eastAsia" w:cs="Times New Roman"/>
                <w:b w:val="0"/>
                <w:bCs w:val="0"/>
                <w:color w:val="auto"/>
                <w:spacing w:val="0"/>
                <w:kern w:val="10"/>
                <w:position w:val="0"/>
                <w:sz w:val="24"/>
                <w:lang w:val="en-US" w:eastAsia="zh-CN"/>
              </w:rPr>
              <w:t>等</w:t>
            </w:r>
            <w:r>
              <w:rPr>
                <w:rFonts w:hint="default" w:ascii="Times New Roman" w:hAnsi="Times New Roman" w:cs="Times New Roman"/>
                <w:b w:val="0"/>
                <w:bCs w:val="0"/>
                <w:color w:val="auto"/>
                <w:spacing w:val="0"/>
                <w:kern w:val="10"/>
                <w:position w:val="0"/>
                <w:sz w:val="24"/>
                <w:lang w:val="en-US" w:eastAsia="zh-CN"/>
              </w:rPr>
              <w:t>，以上气体</w:t>
            </w:r>
            <w:r>
              <w:rPr>
                <w:rFonts w:hint="eastAsia" w:cs="Times New Roman"/>
                <w:b w:val="0"/>
                <w:bCs w:val="0"/>
                <w:color w:val="auto"/>
                <w:spacing w:val="0"/>
                <w:kern w:val="10"/>
                <w:position w:val="0"/>
                <w:sz w:val="24"/>
                <w:lang w:val="en-US" w:eastAsia="zh-CN"/>
              </w:rPr>
              <w:t>（除二氧化碳外）</w:t>
            </w:r>
            <w:r>
              <w:rPr>
                <w:rFonts w:hint="default" w:ascii="Times New Roman" w:hAnsi="Times New Roman" w:cs="Times New Roman"/>
                <w:b w:val="0"/>
                <w:bCs w:val="0"/>
                <w:color w:val="auto"/>
                <w:spacing w:val="0"/>
                <w:kern w:val="10"/>
                <w:position w:val="0"/>
                <w:sz w:val="24"/>
                <w:lang w:val="en-US" w:eastAsia="zh-CN"/>
              </w:rPr>
              <w:t>均为可燃气体</w:t>
            </w:r>
            <w:r>
              <w:rPr>
                <w:rFonts w:hint="eastAsia" w:cs="Times New Roman"/>
                <w:b w:val="0"/>
                <w:bCs w:val="0"/>
                <w:color w:val="auto"/>
                <w:spacing w:val="0"/>
                <w:kern w:val="10"/>
                <w:position w:val="0"/>
                <w:sz w:val="24"/>
                <w:lang w:val="en-US" w:eastAsia="zh-CN"/>
              </w:rPr>
              <w:t>。</w:t>
            </w:r>
          </w:p>
          <w:p w14:paraId="2D9C9D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val="0"/>
                <w:bCs w:val="0"/>
                <w:color w:val="auto"/>
                <w:spacing w:val="0"/>
                <w:kern w:val="10"/>
                <w:position w:val="0"/>
                <w:sz w:val="24"/>
                <w:lang w:val="en-US" w:eastAsia="zh-CN"/>
              </w:rPr>
            </w:pPr>
            <w:r>
              <w:drawing>
                <wp:inline distT="0" distB="0" distL="114300" distR="114300">
                  <wp:extent cx="5681980" cy="1483995"/>
                  <wp:effectExtent l="9525" t="9525" r="23495" b="1524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7"/>
                          <a:stretch>
                            <a:fillRect/>
                          </a:stretch>
                        </pic:blipFill>
                        <pic:spPr>
                          <a:xfrm>
                            <a:off x="0" y="0"/>
                            <a:ext cx="5681980" cy="1483995"/>
                          </a:xfrm>
                          <a:prstGeom prst="rect">
                            <a:avLst/>
                          </a:prstGeom>
                          <a:noFill/>
                          <a:ln>
                            <a:solidFill>
                              <a:srgbClr val="0000FF"/>
                            </a:solidFill>
                          </a:ln>
                        </pic:spPr>
                      </pic:pic>
                    </a:graphicData>
                  </a:graphic>
                </wp:inline>
              </w:drawing>
            </w:r>
          </w:p>
          <w:p w14:paraId="120E2DA9">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cs="Times New Roman"/>
                <w:b/>
                <w:bCs/>
                <w:color w:val="auto"/>
                <w:spacing w:val="0"/>
                <w:kern w:val="10"/>
                <w:position w:val="0"/>
                <w:sz w:val="21"/>
                <w:szCs w:val="21"/>
                <w:lang w:val="en-US" w:eastAsia="zh-CN"/>
              </w:rPr>
            </w:pPr>
            <w:r>
              <w:rPr>
                <w:rFonts w:hint="eastAsia" w:cs="Times New Roman"/>
                <w:b/>
                <w:bCs/>
                <w:color w:val="auto"/>
                <w:spacing w:val="0"/>
                <w:kern w:val="10"/>
                <w:position w:val="0"/>
                <w:sz w:val="21"/>
                <w:szCs w:val="21"/>
                <w:lang w:val="en-US" w:eastAsia="zh-CN"/>
              </w:rPr>
              <w:t>图4-2  文献截图</w:t>
            </w:r>
          </w:p>
          <w:p w14:paraId="055F5F1C">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cs="Times New Roman"/>
                <w:b w:val="0"/>
                <w:bCs w:val="0"/>
                <w:color w:val="auto"/>
                <w:spacing w:val="0"/>
                <w:kern w:val="10"/>
                <w:position w:val="0"/>
                <w:sz w:val="24"/>
                <w:lang w:val="en-US" w:eastAsia="zh-CN"/>
              </w:rPr>
              <w:t>不凝气主要成分为C</w:t>
            </w:r>
            <w:r>
              <w:rPr>
                <w:rFonts w:hint="eastAsia" w:cs="Times New Roman"/>
                <w:b w:val="0"/>
                <w:bCs w:val="0"/>
                <w:color w:val="auto"/>
                <w:spacing w:val="0"/>
                <w:kern w:val="10"/>
                <w:position w:val="0"/>
                <w:sz w:val="24"/>
                <w:vertAlign w:val="subscript"/>
                <w:lang w:val="en-US" w:eastAsia="zh-CN"/>
              </w:rPr>
              <w:t>1</w:t>
            </w:r>
            <w:r>
              <w:rPr>
                <w:rFonts w:hint="eastAsia" w:cs="Times New Roman"/>
                <w:b w:val="0"/>
                <w:bCs w:val="0"/>
                <w:color w:val="auto"/>
                <w:spacing w:val="0"/>
                <w:kern w:val="10"/>
                <w:position w:val="0"/>
                <w:sz w:val="24"/>
                <w:lang w:val="en-US" w:eastAsia="zh-CN"/>
              </w:rPr>
              <w:t>~C</w:t>
            </w:r>
            <w:r>
              <w:rPr>
                <w:rFonts w:hint="eastAsia" w:cs="Times New Roman"/>
                <w:b w:val="0"/>
                <w:bCs w:val="0"/>
                <w:color w:val="auto"/>
                <w:spacing w:val="0"/>
                <w:kern w:val="10"/>
                <w:position w:val="0"/>
                <w:sz w:val="24"/>
                <w:vertAlign w:val="subscript"/>
                <w:lang w:val="en-US" w:eastAsia="zh-CN"/>
              </w:rPr>
              <w:t>5</w:t>
            </w:r>
            <w:r>
              <w:rPr>
                <w:rFonts w:hint="eastAsia" w:cs="Times New Roman"/>
                <w:b w:val="0"/>
                <w:bCs w:val="0"/>
                <w:color w:val="auto"/>
                <w:spacing w:val="0"/>
                <w:kern w:val="10"/>
                <w:position w:val="0"/>
                <w:sz w:val="24"/>
                <w:vertAlign w:val="baseline"/>
                <w:lang w:val="en-US" w:eastAsia="zh-CN"/>
              </w:rPr>
              <w:t>，与天然气类似，参照</w:t>
            </w:r>
            <w:r>
              <w:rPr>
                <w:rFonts w:hint="eastAsia" w:ascii="Times New Roman" w:hAnsi="Times New Roman" w:cs="Times New Roman"/>
                <w:b w:val="0"/>
                <w:bCs w:val="0"/>
                <w:color w:val="auto"/>
                <w:spacing w:val="0"/>
                <w:kern w:val="10"/>
                <w:position w:val="0"/>
                <w:sz w:val="24"/>
                <w:lang w:val="en-US" w:eastAsia="zh-CN"/>
              </w:rPr>
              <w:t>《《排污许可证申请与核发技术规范 锅炉》（HJ953-2018）表F.3燃气工业锅炉的废气产排污系数，计算不凝气燃烧烟气如下表：</w:t>
            </w:r>
          </w:p>
          <w:p w14:paraId="3AD34726">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bCs/>
                <w:color w:val="auto"/>
                <w:spacing w:val="0"/>
                <w:kern w:val="10"/>
                <w:position w:val="0"/>
                <w:sz w:val="21"/>
                <w:szCs w:val="21"/>
                <w:lang w:val="en-US" w:eastAsia="zh-CN"/>
              </w:rPr>
              <w:t>表4-3  不凝气燃烧烟气计算</w:t>
            </w:r>
          </w:p>
          <w:tbl>
            <w:tblPr>
              <w:tblStyle w:val="27"/>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102"/>
              <w:gridCol w:w="1374"/>
              <w:gridCol w:w="1942"/>
              <w:gridCol w:w="1189"/>
              <w:gridCol w:w="2439"/>
            </w:tblGrid>
            <w:tr w14:paraId="0130F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2DC181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燃料名称</w:t>
                  </w:r>
                </w:p>
              </w:tc>
              <w:tc>
                <w:tcPr>
                  <w:tcW w:w="1102" w:type="dxa"/>
                  <w:vAlign w:val="center"/>
                </w:tcPr>
                <w:p w14:paraId="5C0C6C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用量（万m</w:t>
                  </w:r>
                  <w:r>
                    <w:rPr>
                      <w:rFonts w:hint="eastAsia" w:ascii="Times New Roman" w:hAnsi="Times New Roman" w:cs="Times New Roman"/>
                      <w:b/>
                      <w:bCs/>
                      <w:color w:val="auto"/>
                      <w:spacing w:val="0"/>
                      <w:kern w:val="10"/>
                      <w:position w:val="0"/>
                      <w:sz w:val="21"/>
                      <w:szCs w:val="21"/>
                      <w:vertAlign w:val="superscript"/>
                      <w:lang w:val="en-US" w:eastAsia="zh-CN"/>
                    </w:rPr>
                    <w:t>3</w:t>
                  </w:r>
                  <w:r>
                    <w:rPr>
                      <w:rFonts w:hint="eastAsia" w:ascii="Times New Roman" w:hAnsi="Times New Roman" w:cs="Times New Roman"/>
                      <w:b/>
                      <w:bCs/>
                      <w:color w:val="auto"/>
                      <w:spacing w:val="0"/>
                      <w:kern w:val="10"/>
                      <w:position w:val="0"/>
                      <w:sz w:val="21"/>
                      <w:szCs w:val="21"/>
                      <w:vertAlign w:val="baseline"/>
                      <w:lang w:val="en-US" w:eastAsia="zh-CN"/>
                    </w:rPr>
                    <w:t>/a）</w:t>
                  </w:r>
                </w:p>
              </w:tc>
              <w:tc>
                <w:tcPr>
                  <w:tcW w:w="1374" w:type="dxa"/>
                  <w:vAlign w:val="center"/>
                </w:tcPr>
                <w:p w14:paraId="615E6F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污染物指标</w:t>
                  </w:r>
                </w:p>
              </w:tc>
              <w:tc>
                <w:tcPr>
                  <w:tcW w:w="1942" w:type="dxa"/>
                  <w:vAlign w:val="center"/>
                </w:tcPr>
                <w:p w14:paraId="4E1704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单位</w:t>
                  </w:r>
                </w:p>
              </w:tc>
              <w:tc>
                <w:tcPr>
                  <w:tcW w:w="1189" w:type="dxa"/>
                  <w:vAlign w:val="center"/>
                </w:tcPr>
                <w:p w14:paraId="752EEA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产污系数</w:t>
                  </w:r>
                </w:p>
              </w:tc>
              <w:tc>
                <w:tcPr>
                  <w:tcW w:w="2439" w:type="dxa"/>
                  <w:vAlign w:val="center"/>
                </w:tcPr>
                <w:p w14:paraId="56D89C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pacing w:val="0"/>
                      <w:kern w:val="10"/>
                      <w:position w:val="0"/>
                      <w:sz w:val="21"/>
                      <w:szCs w:val="21"/>
                      <w:vertAlign w:val="baseline"/>
                      <w:lang w:val="en-US" w:eastAsia="zh-CN"/>
                    </w:rPr>
                  </w:pPr>
                  <w:r>
                    <w:rPr>
                      <w:rFonts w:hint="eastAsia" w:ascii="Times New Roman" w:hAnsi="Times New Roman" w:cs="Times New Roman"/>
                      <w:b/>
                      <w:bCs/>
                      <w:color w:val="auto"/>
                      <w:spacing w:val="0"/>
                      <w:kern w:val="10"/>
                      <w:position w:val="0"/>
                      <w:sz w:val="21"/>
                      <w:szCs w:val="21"/>
                      <w:vertAlign w:val="baseline"/>
                      <w:lang w:val="en-US" w:eastAsia="zh-CN"/>
                    </w:rPr>
                    <w:t>污染物产生量（t/a）</w:t>
                  </w:r>
                </w:p>
              </w:tc>
            </w:tr>
            <w:tr w14:paraId="444B3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Merge w:val="restart"/>
                  <w:vAlign w:val="center"/>
                </w:tcPr>
                <w:p w14:paraId="026404D2">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eastAsia" w:ascii="Times New Roman" w:hAnsi="Times New Roman" w:cs="Times New Roman"/>
                      <w:i w:val="0"/>
                      <w:iCs w:val="0"/>
                      <w:color w:val="000000"/>
                      <w:kern w:val="0"/>
                      <w:sz w:val="21"/>
                      <w:szCs w:val="21"/>
                      <w:u w:val="none"/>
                      <w:lang w:val="en-US" w:eastAsia="zh-CN" w:bidi="ar"/>
                    </w:rPr>
                    <w:t>不凝气</w:t>
                  </w:r>
                </w:p>
              </w:tc>
              <w:tc>
                <w:tcPr>
                  <w:tcW w:w="1102" w:type="dxa"/>
                  <w:vMerge w:val="restart"/>
                  <w:vAlign w:val="center"/>
                </w:tcPr>
                <w:p w14:paraId="695AE343">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eastAsia" w:ascii="Times New Roman" w:hAnsi="Times New Roman" w:cs="Times New Roman"/>
                      <w:i w:val="0"/>
                      <w:iCs w:val="0"/>
                      <w:color w:val="000000"/>
                      <w:kern w:val="0"/>
                      <w:sz w:val="21"/>
                      <w:szCs w:val="21"/>
                      <w:u w:val="none"/>
                      <w:lang w:val="en-US" w:eastAsia="zh-CN" w:bidi="ar"/>
                    </w:rPr>
                    <w:t>23.226</w:t>
                  </w:r>
                </w:p>
              </w:tc>
              <w:tc>
                <w:tcPr>
                  <w:tcW w:w="1374" w:type="dxa"/>
                  <w:vAlign w:val="center"/>
                </w:tcPr>
                <w:p w14:paraId="6E307DD8">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二氧化硫</w:t>
                  </w:r>
                </w:p>
              </w:tc>
              <w:tc>
                <w:tcPr>
                  <w:tcW w:w="1942" w:type="dxa"/>
                  <w:vAlign w:val="center"/>
                </w:tcPr>
                <w:p w14:paraId="5F3056DC">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千克/</w:t>
                  </w:r>
                  <w:r>
                    <w:rPr>
                      <w:rFonts w:hint="eastAsia" w:ascii="Times New Roman" w:hAnsi="Times New Roman" w:cs="Times New Roman"/>
                      <w:i w:val="0"/>
                      <w:iCs w:val="0"/>
                      <w:color w:val="000000"/>
                      <w:kern w:val="0"/>
                      <w:sz w:val="21"/>
                      <w:szCs w:val="21"/>
                      <w:u w:val="none"/>
                      <w:lang w:val="en-US" w:eastAsia="zh-CN" w:bidi="ar"/>
                    </w:rPr>
                    <w:t>万立方-燃料</w:t>
                  </w:r>
                </w:p>
              </w:tc>
              <w:tc>
                <w:tcPr>
                  <w:tcW w:w="1189" w:type="dxa"/>
                  <w:vAlign w:val="center"/>
                </w:tcPr>
                <w:p w14:paraId="0CA4572B">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eastAsia" w:ascii="Times New Roman" w:hAnsi="Times New Roman" w:cs="Times New Roman"/>
                      <w:i w:val="0"/>
                      <w:iCs w:val="0"/>
                      <w:color w:val="000000"/>
                      <w:kern w:val="0"/>
                      <w:sz w:val="21"/>
                      <w:szCs w:val="21"/>
                      <w:u w:val="none"/>
                      <w:lang w:val="en-US" w:eastAsia="zh-CN" w:bidi="ar"/>
                    </w:rPr>
                    <w:t>0.02S</w:t>
                  </w:r>
                </w:p>
              </w:tc>
              <w:tc>
                <w:tcPr>
                  <w:tcW w:w="2439" w:type="dxa"/>
                  <w:vAlign w:val="center"/>
                </w:tcPr>
                <w:p w14:paraId="24623858">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cs="Times New Roman"/>
                      <w:i w:val="0"/>
                      <w:iCs w:val="0"/>
                      <w:color w:val="000000"/>
                      <w:kern w:val="0"/>
                      <w:sz w:val="21"/>
                      <w:szCs w:val="21"/>
                      <w:u w:val="none"/>
                      <w:lang w:val="en-US" w:eastAsia="zh-CN" w:bidi="ar"/>
                    </w:rPr>
                    <w:t>0</w:t>
                  </w:r>
                </w:p>
              </w:tc>
            </w:tr>
            <w:tr w14:paraId="391D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Merge w:val="continue"/>
                  <w:vAlign w:val="center"/>
                </w:tcPr>
                <w:p w14:paraId="50379F56">
                  <w:pPr>
                    <w:jc w:val="center"/>
                    <w:rPr>
                      <w:rFonts w:hint="default" w:ascii="Times New Roman" w:hAnsi="Times New Roman" w:cs="Times New Roman"/>
                      <w:b w:val="0"/>
                      <w:bCs w:val="0"/>
                      <w:color w:val="auto"/>
                      <w:spacing w:val="0"/>
                      <w:kern w:val="10"/>
                      <w:position w:val="0"/>
                      <w:sz w:val="21"/>
                      <w:szCs w:val="21"/>
                      <w:vertAlign w:val="baseline"/>
                      <w:lang w:val="en-US" w:eastAsia="zh-CN"/>
                    </w:rPr>
                  </w:pPr>
                </w:p>
              </w:tc>
              <w:tc>
                <w:tcPr>
                  <w:tcW w:w="1102" w:type="dxa"/>
                  <w:vMerge w:val="continue"/>
                  <w:vAlign w:val="center"/>
                </w:tcPr>
                <w:p w14:paraId="4E53E26B">
                  <w:pPr>
                    <w:jc w:val="center"/>
                    <w:rPr>
                      <w:rFonts w:hint="default" w:ascii="Times New Roman" w:hAnsi="Times New Roman" w:cs="Times New Roman"/>
                      <w:b w:val="0"/>
                      <w:bCs w:val="0"/>
                      <w:color w:val="auto"/>
                      <w:spacing w:val="0"/>
                      <w:kern w:val="10"/>
                      <w:position w:val="0"/>
                      <w:sz w:val="21"/>
                      <w:szCs w:val="21"/>
                      <w:vertAlign w:val="baseline"/>
                      <w:lang w:val="en-US" w:eastAsia="zh-CN"/>
                    </w:rPr>
                  </w:pPr>
                </w:p>
              </w:tc>
              <w:tc>
                <w:tcPr>
                  <w:tcW w:w="1374" w:type="dxa"/>
                  <w:vAlign w:val="center"/>
                </w:tcPr>
                <w:p w14:paraId="7FD254BB">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氮氧化物</w:t>
                  </w:r>
                </w:p>
              </w:tc>
              <w:tc>
                <w:tcPr>
                  <w:tcW w:w="1942" w:type="dxa"/>
                  <w:vAlign w:val="center"/>
                </w:tcPr>
                <w:p w14:paraId="500E9F9E">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千克/</w:t>
                  </w:r>
                  <w:r>
                    <w:rPr>
                      <w:rFonts w:hint="eastAsia" w:ascii="Times New Roman" w:hAnsi="Times New Roman" w:cs="Times New Roman"/>
                      <w:i w:val="0"/>
                      <w:iCs w:val="0"/>
                      <w:color w:val="000000"/>
                      <w:kern w:val="0"/>
                      <w:sz w:val="21"/>
                      <w:szCs w:val="21"/>
                      <w:u w:val="none"/>
                      <w:lang w:val="en-US" w:eastAsia="zh-CN" w:bidi="ar"/>
                    </w:rPr>
                    <w:t>万立方-燃料</w:t>
                  </w:r>
                </w:p>
              </w:tc>
              <w:tc>
                <w:tcPr>
                  <w:tcW w:w="1189" w:type="dxa"/>
                  <w:vAlign w:val="center"/>
                </w:tcPr>
                <w:p w14:paraId="4E604192">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eastAsia" w:ascii="Times New Roman" w:hAnsi="Times New Roman" w:cs="Times New Roman"/>
                      <w:i w:val="0"/>
                      <w:iCs w:val="0"/>
                      <w:color w:val="000000"/>
                      <w:kern w:val="0"/>
                      <w:sz w:val="21"/>
                      <w:szCs w:val="21"/>
                      <w:u w:val="none"/>
                      <w:lang w:val="en-US" w:eastAsia="zh-CN" w:bidi="ar"/>
                    </w:rPr>
                    <w:t>18.71</w:t>
                  </w:r>
                </w:p>
              </w:tc>
              <w:tc>
                <w:tcPr>
                  <w:tcW w:w="2439" w:type="dxa"/>
                  <w:vAlign w:val="center"/>
                </w:tcPr>
                <w:p w14:paraId="23A77DA0">
                  <w:pPr>
                    <w:keepNext w:val="0"/>
                    <w:keepLines w:val="0"/>
                    <w:widowControl/>
                    <w:suppressLineNumbers w:val="0"/>
                    <w:jc w:val="center"/>
                    <w:textAlignment w:val="center"/>
                    <w:rPr>
                      <w:rFonts w:hint="default" w:ascii="Times New Roman" w:hAnsi="Times New Roman"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 xml:space="preserve">0.435 </w:t>
                  </w:r>
                </w:p>
              </w:tc>
            </w:tr>
            <w:tr w14:paraId="4914B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Merge w:val="continue"/>
                  <w:vAlign w:val="center"/>
                </w:tcPr>
                <w:p w14:paraId="30977121">
                  <w:pPr>
                    <w:jc w:val="center"/>
                    <w:rPr>
                      <w:rFonts w:hint="default" w:ascii="Times New Roman" w:hAnsi="Times New Roman" w:cs="Times New Roman"/>
                      <w:b w:val="0"/>
                      <w:bCs w:val="0"/>
                      <w:color w:val="auto"/>
                      <w:spacing w:val="0"/>
                      <w:kern w:val="10"/>
                      <w:position w:val="0"/>
                      <w:sz w:val="21"/>
                      <w:szCs w:val="21"/>
                      <w:vertAlign w:val="baseline"/>
                      <w:lang w:val="en-US" w:eastAsia="zh-CN"/>
                    </w:rPr>
                  </w:pPr>
                </w:p>
              </w:tc>
              <w:tc>
                <w:tcPr>
                  <w:tcW w:w="1102" w:type="dxa"/>
                  <w:vMerge w:val="continue"/>
                  <w:vAlign w:val="center"/>
                </w:tcPr>
                <w:p w14:paraId="70B74C38">
                  <w:pPr>
                    <w:jc w:val="center"/>
                    <w:rPr>
                      <w:rFonts w:hint="default" w:ascii="Times New Roman" w:hAnsi="Times New Roman" w:cs="Times New Roman"/>
                      <w:b w:val="0"/>
                      <w:bCs w:val="0"/>
                      <w:color w:val="auto"/>
                      <w:spacing w:val="0"/>
                      <w:kern w:val="10"/>
                      <w:position w:val="0"/>
                      <w:sz w:val="21"/>
                      <w:szCs w:val="21"/>
                      <w:vertAlign w:val="baseline"/>
                      <w:lang w:val="en-US" w:eastAsia="zh-CN"/>
                    </w:rPr>
                  </w:pPr>
                </w:p>
              </w:tc>
              <w:tc>
                <w:tcPr>
                  <w:tcW w:w="1374" w:type="dxa"/>
                  <w:vAlign w:val="center"/>
                </w:tcPr>
                <w:p w14:paraId="1A1EDFCB">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颗粒物</w:t>
                  </w:r>
                </w:p>
              </w:tc>
              <w:tc>
                <w:tcPr>
                  <w:tcW w:w="1942" w:type="dxa"/>
                  <w:vAlign w:val="center"/>
                </w:tcPr>
                <w:p w14:paraId="7E717331">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千克/</w:t>
                  </w:r>
                  <w:r>
                    <w:rPr>
                      <w:rFonts w:hint="eastAsia" w:ascii="Times New Roman" w:hAnsi="Times New Roman" w:cs="Times New Roman"/>
                      <w:i w:val="0"/>
                      <w:iCs w:val="0"/>
                      <w:color w:val="000000"/>
                      <w:kern w:val="0"/>
                      <w:sz w:val="21"/>
                      <w:szCs w:val="21"/>
                      <w:u w:val="none"/>
                      <w:lang w:val="en-US" w:eastAsia="zh-CN" w:bidi="ar"/>
                    </w:rPr>
                    <w:t>万立方-燃料</w:t>
                  </w:r>
                </w:p>
              </w:tc>
              <w:tc>
                <w:tcPr>
                  <w:tcW w:w="1189" w:type="dxa"/>
                  <w:vAlign w:val="center"/>
                </w:tcPr>
                <w:p w14:paraId="4F82364F">
                  <w:pPr>
                    <w:keepNext w:val="0"/>
                    <w:keepLines w:val="0"/>
                    <w:widowControl/>
                    <w:suppressLineNumbers w:val="0"/>
                    <w:jc w:val="center"/>
                    <w:textAlignment w:val="center"/>
                    <w:rPr>
                      <w:rFonts w:hint="default" w:ascii="Times New Roman" w:hAnsi="Times New Roman" w:cs="Times New Roman"/>
                      <w:b w:val="0"/>
                      <w:bCs w:val="0"/>
                      <w:color w:val="auto"/>
                      <w:spacing w:val="0"/>
                      <w:kern w:val="10"/>
                      <w:position w:val="0"/>
                      <w:sz w:val="21"/>
                      <w:szCs w:val="21"/>
                      <w:vertAlign w:val="baseline"/>
                      <w:lang w:val="en-US" w:eastAsia="zh-CN"/>
                    </w:rPr>
                  </w:pPr>
                  <w:r>
                    <w:rPr>
                      <w:rFonts w:hint="eastAsia" w:ascii="Times New Roman" w:hAnsi="Times New Roman" w:cs="Times New Roman"/>
                      <w:i w:val="0"/>
                      <w:iCs w:val="0"/>
                      <w:color w:val="000000"/>
                      <w:kern w:val="0"/>
                      <w:sz w:val="21"/>
                      <w:szCs w:val="21"/>
                      <w:u w:val="none"/>
                      <w:lang w:val="en-US" w:eastAsia="zh-CN" w:bidi="ar"/>
                    </w:rPr>
                    <w:t>2.86</w:t>
                  </w:r>
                </w:p>
              </w:tc>
              <w:tc>
                <w:tcPr>
                  <w:tcW w:w="2439" w:type="dxa"/>
                  <w:vAlign w:val="center"/>
                </w:tcPr>
                <w:p w14:paraId="17E28E26">
                  <w:pPr>
                    <w:keepNext w:val="0"/>
                    <w:keepLines w:val="0"/>
                    <w:widowControl/>
                    <w:suppressLineNumbers w:val="0"/>
                    <w:jc w:val="center"/>
                    <w:textAlignment w:val="center"/>
                    <w:rPr>
                      <w:rFonts w:hint="default" w:ascii="Times New Roman" w:hAnsi="Times New Roman"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 xml:space="preserve">0.066 </w:t>
                  </w:r>
                </w:p>
              </w:tc>
            </w:tr>
            <w:tr w14:paraId="1258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54" w:type="dxa"/>
                  <w:gridSpan w:val="6"/>
                  <w:vAlign w:val="center"/>
                </w:tcPr>
                <w:p w14:paraId="6681EF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pacing w:val="0"/>
                      <w:kern w:val="10"/>
                      <w:position w:val="0"/>
                      <w:sz w:val="21"/>
                      <w:szCs w:val="21"/>
                      <w:vertAlign w:val="baseline"/>
                      <w:lang w:val="en-US" w:eastAsia="zh-CN"/>
                    </w:rPr>
                  </w:pPr>
                  <w:r>
                    <w:rPr>
                      <w:rFonts w:hint="eastAsia" w:ascii="Times New Roman" w:hAnsi="Times New Roman" w:cs="Times New Roman"/>
                      <w:b w:val="0"/>
                      <w:bCs w:val="0"/>
                      <w:color w:val="auto"/>
                      <w:spacing w:val="0"/>
                      <w:kern w:val="10"/>
                      <w:position w:val="0"/>
                      <w:sz w:val="21"/>
                      <w:szCs w:val="21"/>
                      <w:vertAlign w:val="baseline"/>
                      <w:lang w:val="en-US" w:eastAsia="zh-CN"/>
                    </w:rPr>
                    <w:t>注：不凝气中不含硫，因此燃烧烟气中不含二氧化硫。</w:t>
                  </w:r>
                </w:p>
              </w:tc>
            </w:tr>
          </w:tbl>
          <w:p w14:paraId="2928A355">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vertAlign w:val="baseline"/>
                <w:lang w:val="en-US" w:eastAsia="zh-CN"/>
              </w:rPr>
            </w:pPr>
            <w:r>
              <w:rPr>
                <w:rFonts w:hint="eastAsia" w:cs="Times New Roman"/>
                <w:b/>
                <w:bCs/>
                <w:color w:val="auto"/>
                <w:spacing w:val="0"/>
                <w:kern w:val="10"/>
                <w:position w:val="0"/>
                <w:sz w:val="24"/>
                <w:vertAlign w:val="baseline"/>
                <w:lang w:val="en-US" w:eastAsia="zh-CN"/>
              </w:rPr>
              <w:t>3）非甲烷总烃</w:t>
            </w:r>
          </w:p>
          <w:p w14:paraId="0A96F04C">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cs="Times New Roman"/>
                <w:b w:val="0"/>
                <w:bCs w:val="0"/>
                <w:color w:val="auto"/>
                <w:spacing w:val="0"/>
                <w:kern w:val="10"/>
                <w:position w:val="0"/>
                <w:sz w:val="24"/>
                <w:lang w:val="en-US" w:eastAsia="zh-CN"/>
              </w:rPr>
            </w:pPr>
            <w:r>
              <w:rPr>
                <w:rFonts w:hint="eastAsia" w:cs="Times New Roman"/>
                <w:b w:val="0"/>
                <w:bCs w:val="0"/>
                <w:color w:val="auto"/>
                <w:spacing w:val="0"/>
                <w:kern w:val="10"/>
                <w:position w:val="0"/>
                <w:sz w:val="24"/>
                <w:lang w:val="en-US" w:eastAsia="zh-CN"/>
              </w:rPr>
              <w:t>项目热解不凝气和热解油主要成分除了二氧化碳外，均属于VOCs，根据图4.2，非甲烷总烃占比约97.4%。热解炉燃料不凝气和热解油用量为1202.886t/a，非甲烷总烃质量约1171.611t/a。经炉内燃烧后，按99%充分燃烧，则燃烧废气中非甲烷总烃产生量约11.716t/a。</w:t>
            </w:r>
          </w:p>
          <w:p w14:paraId="2DB9350E">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4）氟化物</w:t>
            </w:r>
          </w:p>
          <w:p w14:paraId="79CBD44F">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default" w:ascii="Times New Roman" w:hAnsi="Times New Roman" w:cs="Times New Roman"/>
                <w:b w:val="0"/>
                <w:bCs w:val="0"/>
                <w:color w:val="auto"/>
                <w:spacing w:val="0"/>
                <w:kern w:val="10"/>
                <w:position w:val="0"/>
                <w:sz w:val="24"/>
                <w:lang w:val="en-US" w:eastAsia="zh-CN"/>
              </w:rPr>
              <w:t>根据文献《聚偏二氟乙烯（PVDF）特性及其在过程工业中应用》（江苏工业学院机械系，常州213016）中显示：PVDF在170-185C熔融，在379C下大量热分解，释放出氟化氢气体，分子中含氟量59%。背板层中含有PVDF，PVDF在高温热解过程中会发生热解反应，生成氟化物。</w:t>
            </w:r>
          </w:p>
          <w:p w14:paraId="69E59305">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cs="Times New Roman"/>
                <w:b w:val="0"/>
                <w:bCs w:val="0"/>
                <w:color w:val="auto"/>
                <w:spacing w:val="0"/>
                <w:kern w:val="10"/>
                <w:position w:val="0"/>
                <w:sz w:val="24"/>
                <w:lang w:val="en-US" w:eastAsia="zh-CN"/>
              </w:rPr>
              <w:t>根据物料平衡，项目PVDF量为4.5t/a，</w:t>
            </w:r>
            <w:r>
              <w:rPr>
                <w:rFonts w:hint="default" w:ascii="Times New Roman" w:hAnsi="Times New Roman" w:cs="Times New Roman"/>
                <w:b w:val="0"/>
                <w:bCs w:val="0"/>
                <w:color w:val="auto"/>
                <w:spacing w:val="0"/>
                <w:kern w:val="10"/>
                <w:position w:val="0"/>
                <w:sz w:val="24"/>
                <w:lang w:val="en-US" w:eastAsia="zh-CN"/>
              </w:rPr>
              <w:t>含氟量59%</w:t>
            </w:r>
            <w:r>
              <w:rPr>
                <w:rFonts w:hint="eastAsia" w:ascii="Times New Roman" w:hAnsi="Times New Roman" w:cs="Times New Roman"/>
                <w:b w:val="0"/>
                <w:bCs w:val="0"/>
                <w:color w:val="auto"/>
                <w:spacing w:val="0"/>
                <w:kern w:val="10"/>
                <w:position w:val="0"/>
                <w:sz w:val="24"/>
                <w:lang w:val="en-US" w:eastAsia="zh-CN"/>
              </w:rPr>
              <w:t>，则氟元素为2.655t/a。本次按氟元素热解时全部转化为氟化氢，氟化氢产生量约为2.8t/a。</w:t>
            </w:r>
          </w:p>
          <w:p w14:paraId="548F66CF">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lang w:val="en-US" w:eastAsia="zh-CN"/>
              </w:rPr>
            </w:pPr>
            <w:r>
              <w:rPr>
                <w:rFonts w:hint="eastAsia" w:ascii="Times New Roman" w:hAnsi="Times New Roman" w:cs="Times New Roman"/>
                <w:b/>
                <w:bCs/>
                <w:color w:val="auto"/>
                <w:spacing w:val="0"/>
                <w:kern w:val="10"/>
                <w:position w:val="0"/>
                <w:sz w:val="24"/>
                <w:lang w:val="en-US" w:eastAsia="zh-CN"/>
              </w:rPr>
              <w:t>5）炭黑尘</w:t>
            </w:r>
          </w:p>
          <w:p w14:paraId="03C19A94">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炭黑尘</w:t>
            </w:r>
            <w:r>
              <w:rPr>
                <w:rFonts w:hint="default" w:ascii="Times New Roman" w:hAnsi="Times New Roman" w:cs="Times New Roman"/>
                <w:b w:val="0"/>
                <w:bCs w:val="0"/>
                <w:color w:val="auto"/>
                <w:spacing w:val="0"/>
                <w:kern w:val="10"/>
                <w:position w:val="0"/>
                <w:sz w:val="24"/>
                <w:lang w:val="en-US" w:eastAsia="zh-CN"/>
              </w:rPr>
              <w:t>源强系数参照《关于发布&lt;排放源统计调查产排污核算方法和系数手册&gt;的公告》（生态环境部公告2021年第24号）“4220非金属废料和碎屑加工处理行业系数表”中废轮胎热裂解的产污系数，颗粒物产污系数以355克/吨-原料，物料</w:t>
            </w:r>
            <w:r>
              <w:rPr>
                <w:rFonts w:hint="eastAsia" w:ascii="Times New Roman" w:hAnsi="Times New Roman" w:cs="Times New Roman"/>
                <w:b w:val="0"/>
                <w:bCs w:val="0"/>
                <w:color w:val="auto"/>
                <w:spacing w:val="0"/>
                <w:kern w:val="10"/>
                <w:position w:val="0"/>
                <w:sz w:val="24"/>
                <w:lang w:val="en-US" w:eastAsia="zh-CN"/>
              </w:rPr>
              <w:t>热</w:t>
            </w:r>
            <w:r>
              <w:rPr>
                <w:rFonts w:hint="default" w:ascii="Times New Roman" w:hAnsi="Times New Roman" w:cs="Times New Roman"/>
                <w:b w:val="0"/>
                <w:bCs w:val="0"/>
                <w:color w:val="auto"/>
                <w:spacing w:val="0"/>
                <w:kern w:val="10"/>
                <w:position w:val="0"/>
                <w:sz w:val="24"/>
                <w:lang w:val="en-US" w:eastAsia="zh-CN"/>
              </w:rPr>
              <w:t>处理量为</w:t>
            </w:r>
            <w:r>
              <w:rPr>
                <w:rFonts w:hint="eastAsia" w:ascii="Times New Roman" w:hAnsi="Times New Roman" w:cs="Times New Roman"/>
                <w:b w:val="0"/>
                <w:bCs w:val="0"/>
                <w:color w:val="auto"/>
                <w:spacing w:val="0"/>
                <w:kern w:val="10"/>
                <w:position w:val="0"/>
                <w:sz w:val="24"/>
                <w:lang w:val="en-US" w:eastAsia="zh-CN"/>
              </w:rPr>
              <w:t>1617</w:t>
            </w:r>
            <w:r>
              <w:rPr>
                <w:rFonts w:hint="default" w:ascii="Times New Roman" w:hAnsi="Times New Roman" w:cs="Times New Roman"/>
                <w:b w:val="0"/>
                <w:bCs w:val="0"/>
                <w:color w:val="auto"/>
                <w:spacing w:val="0"/>
                <w:kern w:val="10"/>
                <w:position w:val="0"/>
                <w:sz w:val="24"/>
                <w:lang w:val="en-US" w:eastAsia="zh-CN"/>
              </w:rPr>
              <w:t>t/a，则</w:t>
            </w:r>
            <w:r>
              <w:rPr>
                <w:rFonts w:hint="eastAsia" w:ascii="Times New Roman" w:hAnsi="Times New Roman" w:cs="Times New Roman"/>
                <w:b w:val="0"/>
                <w:bCs w:val="0"/>
                <w:color w:val="auto"/>
                <w:spacing w:val="0"/>
                <w:kern w:val="10"/>
                <w:position w:val="0"/>
                <w:sz w:val="24"/>
                <w:lang w:val="en-US" w:eastAsia="zh-CN"/>
              </w:rPr>
              <w:t>炭黑尘</w:t>
            </w:r>
            <w:r>
              <w:rPr>
                <w:rFonts w:hint="default" w:ascii="Times New Roman" w:hAnsi="Times New Roman" w:cs="Times New Roman"/>
                <w:b w:val="0"/>
                <w:bCs w:val="0"/>
                <w:color w:val="auto"/>
                <w:spacing w:val="0"/>
                <w:kern w:val="10"/>
                <w:position w:val="0"/>
                <w:sz w:val="24"/>
                <w:lang w:val="en-US" w:eastAsia="zh-CN"/>
              </w:rPr>
              <w:t>产生量为</w:t>
            </w:r>
            <w:r>
              <w:rPr>
                <w:rFonts w:hint="eastAsia" w:ascii="Times New Roman" w:hAnsi="Times New Roman" w:cs="Times New Roman"/>
                <w:b w:val="0"/>
                <w:bCs w:val="0"/>
                <w:color w:val="auto"/>
                <w:spacing w:val="0"/>
                <w:kern w:val="10"/>
                <w:position w:val="0"/>
                <w:sz w:val="24"/>
                <w:lang w:val="en-US" w:eastAsia="zh-CN"/>
              </w:rPr>
              <w:t>0.574</w:t>
            </w:r>
            <w:r>
              <w:rPr>
                <w:rFonts w:hint="default" w:ascii="Times New Roman" w:hAnsi="Times New Roman" w:cs="Times New Roman"/>
                <w:b w:val="0"/>
                <w:bCs w:val="0"/>
                <w:color w:val="auto"/>
                <w:spacing w:val="0"/>
                <w:kern w:val="10"/>
                <w:position w:val="0"/>
                <w:sz w:val="24"/>
                <w:lang w:val="en-US" w:eastAsia="zh-CN"/>
              </w:rPr>
              <w:t>t/a。</w:t>
            </w:r>
          </w:p>
          <w:p w14:paraId="7BC8A4B9">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lang w:val="en-US" w:eastAsia="zh-CN"/>
              </w:rPr>
            </w:pPr>
            <w:r>
              <w:rPr>
                <w:rFonts w:hint="eastAsia" w:ascii="Times New Roman" w:hAnsi="Times New Roman" w:cs="Times New Roman"/>
                <w:b/>
                <w:bCs/>
                <w:color w:val="auto"/>
                <w:spacing w:val="0"/>
                <w:kern w:val="10"/>
                <w:position w:val="0"/>
                <w:sz w:val="24"/>
                <w:lang w:val="en-US" w:eastAsia="zh-CN"/>
              </w:rPr>
              <w:t>6）锡及其化合物</w:t>
            </w:r>
            <w:r>
              <w:rPr>
                <w:rFonts w:hint="eastAsia" w:cs="Times New Roman"/>
                <w:b/>
                <w:bCs/>
                <w:color w:val="auto"/>
                <w:spacing w:val="0"/>
                <w:kern w:val="10"/>
                <w:position w:val="0"/>
                <w:sz w:val="24"/>
                <w:lang w:val="en-US" w:eastAsia="zh-CN"/>
              </w:rPr>
              <w:t>、铜及其化合物</w:t>
            </w:r>
          </w:p>
          <w:p w14:paraId="4BDFFE79">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焊带（镀锡铜带）成分中含锡，熔点低于热解温度，热解过程中会产生颗粒物（锡及其化合物）。</w:t>
            </w:r>
          </w:p>
          <w:p w14:paraId="6183AE80">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根据物料平衡，焊带量为168t/a，镀锡量约5%，锡量为8.4t/a。参考《33-37，431-434机械行业手册》中铜合金熔炼颗粒物产污系数，颗粒物产生系数为0.943kg/t-产品，则锡及其化合物产生量约为0.008t/a</w:t>
            </w:r>
            <w:r>
              <w:rPr>
                <w:rFonts w:hint="eastAsia" w:cs="Times New Roman"/>
                <w:b w:val="0"/>
                <w:bCs w:val="0"/>
                <w:color w:val="auto"/>
                <w:spacing w:val="0"/>
                <w:kern w:val="10"/>
                <w:position w:val="0"/>
                <w:sz w:val="24"/>
                <w:lang w:val="en-US" w:eastAsia="zh-CN"/>
              </w:rPr>
              <w:t>，铜及其化合物产生量约0.15t/a。</w:t>
            </w:r>
          </w:p>
          <w:p w14:paraId="034420AF">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B、</w:t>
            </w:r>
            <w:r>
              <w:rPr>
                <w:rFonts w:hint="eastAsia" w:ascii="Times New Roman" w:hAnsi="Times New Roman" w:cs="Times New Roman"/>
                <w:b/>
                <w:bCs/>
                <w:color w:val="auto"/>
                <w:spacing w:val="0"/>
                <w:kern w:val="10"/>
                <w:position w:val="0"/>
                <w:sz w:val="24"/>
                <w:lang w:val="en-US" w:eastAsia="zh-CN"/>
              </w:rPr>
              <w:t>清洗炉、烘干炉烟气</w:t>
            </w:r>
          </w:p>
          <w:p w14:paraId="17CAD04F">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清洗炉、烘干炉烟气主要包括热解油燃烧烟气和非甲烷总烃。</w:t>
            </w:r>
          </w:p>
          <w:p w14:paraId="1B324B14">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根据物料平衡、清洗炉、烘干炉使用热解油115.2t/a。同上表4-2，计算燃烧烟气污染物产生量为：氮氧化物0.349t/a，颗粒物0.03t/a。</w:t>
            </w:r>
          </w:p>
          <w:p w14:paraId="40579C33">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cs="Times New Roman"/>
                <w:b w:val="0"/>
                <w:bCs w:val="0"/>
                <w:color w:val="auto"/>
                <w:spacing w:val="0"/>
                <w:kern w:val="10"/>
                <w:position w:val="0"/>
                <w:sz w:val="24"/>
                <w:lang w:val="en-US" w:eastAsia="zh-CN"/>
              </w:rPr>
            </w:pPr>
            <w:r>
              <w:rPr>
                <w:rFonts w:hint="eastAsia" w:cs="Times New Roman"/>
                <w:b w:val="0"/>
                <w:bCs w:val="0"/>
                <w:color w:val="auto"/>
                <w:spacing w:val="0"/>
                <w:kern w:val="10"/>
                <w:position w:val="0"/>
                <w:sz w:val="24"/>
                <w:lang w:val="en-US" w:eastAsia="zh-CN"/>
              </w:rPr>
              <w:t>同前文计算，热解油中非甲烷总烃质量约112.2t/a。经炉内燃烧后，按99%充分燃烧，则燃烧废气中非甲烷总烃产生量约1.122t/a。</w:t>
            </w:r>
          </w:p>
          <w:p w14:paraId="220C7123">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C、</w:t>
            </w:r>
            <w:r>
              <w:rPr>
                <w:rFonts w:hint="eastAsia" w:ascii="Times New Roman" w:hAnsi="Times New Roman" w:cs="Times New Roman"/>
                <w:b/>
                <w:bCs/>
                <w:color w:val="auto"/>
                <w:spacing w:val="0"/>
                <w:kern w:val="10"/>
                <w:position w:val="0"/>
                <w:sz w:val="24"/>
                <w:lang w:val="en-US" w:eastAsia="zh-CN"/>
              </w:rPr>
              <w:t>燃气室烟气</w:t>
            </w:r>
          </w:p>
          <w:p w14:paraId="5FE18523">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燃气室烟气主要包括不凝气燃烧烟气和非甲烷总烃。</w:t>
            </w:r>
          </w:p>
          <w:p w14:paraId="567F8A5E">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根据物料平衡，燃气室不凝气燃烧量为4.85t/a（0.474万m</w:t>
            </w:r>
            <w:r>
              <w:rPr>
                <w:rFonts w:hint="eastAsia" w:ascii="Times New Roman" w:hAnsi="Times New Roman" w:cs="Times New Roman"/>
                <w:b w:val="0"/>
                <w:bCs w:val="0"/>
                <w:color w:val="auto"/>
                <w:spacing w:val="0"/>
                <w:kern w:val="10"/>
                <w:position w:val="0"/>
                <w:sz w:val="24"/>
                <w:vertAlign w:val="superscript"/>
                <w:lang w:val="en-US" w:eastAsia="zh-CN"/>
              </w:rPr>
              <w:t>3</w:t>
            </w:r>
            <w:r>
              <w:rPr>
                <w:rFonts w:hint="eastAsia" w:ascii="Times New Roman" w:hAnsi="Times New Roman" w:cs="Times New Roman"/>
                <w:b w:val="0"/>
                <w:bCs w:val="0"/>
                <w:color w:val="auto"/>
                <w:spacing w:val="0"/>
                <w:kern w:val="10"/>
                <w:position w:val="0"/>
                <w:sz w:val="24"/>
                <w:lang w:val="en-US" w:eastAsia="zh-CN"/>
              </w:rPr>
              <w:t>/a），同上表4-3，计算燃烧烟气污染物产生量为：氮氧化物0.009t/a，颗粒物0.001t/a。</w:t>
            </w:r>
          </w:p>
          <w:p w14:paraId="74FA9FBA">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bCs/>
                <w:color w:val="auto"/>
                <w:spacing w:val="0"/>
                <w:kern w:val="10"/>
                <w:position w:val="0"/>
                <w:sz w:val="21"/>
                <w:szCs w:val="21"/>
                <w:lang w:val="en-US" w:eastAsia="zh-CN"/>
              </w:rPr>
            </w:pPr>
            <w:r>
              <w:rPr>
                <w:rFonts w:hint="eastAsia" w:cs="Times New Roman"/>
                <w:b w:val="0"/>
                <w:bCs w:val="0"/>
                <w:color w:val="auto"/>
                <w:spacing w:val="0"/>
                <w:kern w:val="10"/>
                <w:position w:val="0"/>
                <w:sz w:val="24"/>
                <w:lang w:val="en-US" w:eastAsia="zh-CN"/>
              </w:rPr>
              <w:t>同前文计算，不凝气中非甲烷总烃质量约4.724t/a。经炉内燃烧后，按99%充分燃烧，则燃烧废气中非甲烷总烃产生量约0.047t/a。</w:t>
            </w:r>
          </w:p>
          <w:p w14:paraId="6A823911">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default" w:cs="Times New Roman"/>
                <w:caps w:val="0"/>
                <w:smallCaps w:val="0"/>
                <w:color w:val="auto"/>
                <w:spacing w:val="0"/>
                <w:w w:val="100"/>
                <w:position w:val="0"/>
                <w:sz w:val="24"/>
                <w:szCs w:val="24"/>
                <w:lang w:val="en-US" w:eastAsia="zh-CN"/>
              </w:rPr>
            </w:pPr>
            <w:r>
              <w:rPr>
                <w:rFonts w:hint="eastAsia" w:cs="Times New Roman"/>
                <w:b/>
                <w:bCs/>
                <w:color w:val="auto"/>
                <w:spacing w:val="0"/>
                <w:kern w:val="10"/>
                <w:position w:val="0"/>
                <w:sz w:val="24"/>
                <w:lang w:val="en-US" w:eastAsia="zh-CN"/>
              </w:rPr>
              <w:t>D、</w:t>
            </w:r>
            <w:r>
              <w:rPr>
                <w:rFonts w:hint="eastAsia" w:cs="Times New Roman"/>
                <w:b/>
                <w:bCs/>
                <w:caps w:val="0"/>
                <w:smallCaps w:val="0"/>
                <w:color w:val="auto"/>
                <w:spacing w:val="0"/>
                <w:w w:val="100"/>
                <w:position w:val="0"/>
                <w:sz w:val="24"/>
                <w:szCs w:val="24"/>
                <w:lang w:val="en-US" w:eastAsia="zh-CN"/>
              </w:rPr>
              <w:t>油罐呼吸气</w:t>
            </w:r>
          </w:p>
          <w:p w14:paraId="51F71E0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s="Times New Roman"/>
                <w:caps w:val="0"/>
                <w:smallCaps w:val="0"/>
                <w:color w:val="auto"/>
                <w:spacing w:val="0"/>
                <w:kern w:val="0"/>
                <w:position w:val="0"/>
                <w:sz w:val="24"/>
                <w:szCs w:val="24"/>
                <w:lang w:val="en-US" w:eastAsia="zh-CN"/>
              </w:rPr>
            </w:pPr>
            <w:r>
              <w:rPr>
                <w:rFonts w:hint="eastAsia" w:cs="Times New Roman"/>
                <w:caps w:val="0"/>
                <w:smallCaps w:val="0"/>
                <w:color w:val="auto"/>
                <w:spacing w:val="0"/>
                <w:w w:val="100"/>
                <w:position w:val="0"/>
                <w:sz w:val="24"/>
                <w:szCs w:val="24"/>
                <w:lang w:val="en-US" w:eastAsia="zh-CN"/>
              </w:rPr>
              <w:t>项目设8个中转油罐（Φ1.4m，D4.5m）和1个储油罐（Φ3m，D7.5m），</w:t>
            </w:r>
            <w:r>
              <w:rPr>
                <w:rFonts w:hint="default" w:ascii="Times New Roman" w:hAnsi="Times New Roman" w:eastAsia="宋体" w:cs="Times New Roman"/>
                <w:caps w:val="0"/>
                <w:smallCaps w:val="0"/>
                <w:color w:val="auto"/>
                <w:spacing w:val="0"/>
                <w:kern w:val="0"/>
                <w:position w:val="0"/>
                <w:sz w:val="24"/>
                <w:szCs w:val="24"/>
                <w:lang w:val="en-US" w:eastAsia="zh-CN"/>
              </w:rPr>
              <w:t>储罐主要有小呼吸排放和大呼吸排放两种排放方式，可采用中国石油化工</w:t>
            </w:r>
            <w:r>
              <w:rPr>
                <w:rFonts w:hint="default" w:ascii="Times New Roman" w:hAnsi="Times New Roman" w:cs="Times New Roman"/>
                <w:caps w:val="0"/>
                <w:smallCaps w:val="0"/>
                <w:color w:val="auto"/>
                <w:spacing w:val="0"/>
                <w:kern w:val="0"/>
                <w:position w:val="0"/>
                <w:sz w:val="24"/>
                <w:szCs w:val="24"/>
                <w:lang w:val="en-US" w:eastAsia="zh-CN"/>
              </w:rPr>
              <w:t>系统经验计算公式估算其排放量</w:t>
            </w:r>
            <w:r>
              <w:rPr>
                <w:rFonts w:hint="eastAsia" w:ascii="Times New Roman" w:hAnsi="Times New Roman" w:cs="Times New Roman"/>
                <w:caps w:val="0"/>
                <w:smallCaps w:val="0"/>
                <w:color w:val="auto"/>
                <w:spacing w:val="0"/>
                <w:kern w:val="0"/>
                <w:position w:val="0"/>
                <w:sz w:val="24"/>
                <w:szCs w:val="24"/>
                <w:lang w:val="en-US" w:eastAsia="zh-CN"/>
              </w:rPr>
              <w:t>。</w:t>
            </w:r>
          </w:p>
          <w:p w14:paraId="61361C76">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aps w:val="0"/>
                <w:smallCaps w:val="0"/>
                <w:color w:val="auto"/>
                <w:spacing w:val="0"/>
                <w:kern w:val="0"/>
                <w:position w:val="0"/>
                <w:sz w:val="24"/>
                <w:szCs w:val="24"/>
                <w:lang w:val="en-US" w:eastAsia="zh-CN"/>
              </w:rPr>
            </w:pPr>
            <w:r>
              <w:rPr>
                <w:rFonts w:hint="default" w:ascii="Times New Roman" w:hAnsi="Times New Roman" w:cs="Times New Roman"/>
                <w:b/>
                <w:bCs/>
                <w:caps w:val="0"/>
                <w:smallCaps w:val="0"/>
                <w:color w:val="auto"/>
                <w:spacing w:val="0"/>
                <w:kern w:val="0"/>
                <w:position w:val="0"/>
                <w:sz w:val="24"/>
                <w:szCs w:val="24"/>
                <w:lang w:val="en-US" w:eastAsia="zh-CN"/>
              </w:rPr>
              <w:t>①小呼吸排放量</w:t>
            </w:r>
          </w:p>
          <w:p w14:paraId="4C246779">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caps w:val="0"/>
                <w:smallCaps w:val="0"/>
                <w:color w:val="auto"/>
                <w:spacing w:val="0"/>
                <w:kern w:val="0"/>
                <w:position w:val="0"/>
                <w:sz w:val="24"/>
                <w:szCs w:val="24"/>
                <w:lang w:val="en-US" w:eastAsia="zh-CN"/>
              </w:rPr>
            </w:pPr>
            <w:r>
              <w:rPr>
                <w:rFonts w:hint="default" w:ascii="Times New Roman" w:hAnsi="Times New Roman" w:cs="Times New Roman"/>
                <w:caps w:val="0"/>
                <w:smallCaps w:val="0"/>
                <w:color w:val="auto"/>
                <w:spacing w:val="0"/>
                <w:kern w:val="0"/>
                <w:position w:val="0"/>
                <w:sz w:val="24"/>
                <w:szCs w:val="24"/>
                <w:lang w:val="en-US" w:eastAsia="zh-CN"/>
              </w:rPr>
              <w:t>小呼吸排放是由于温度和大气压力的变化引起蒸气的膨胀和收缩而产生的蒸气排出，它出现在罐内液面无任何变化的情况，是非人为干扰的自然排放方式。</w:t>
            </w:r>
          </w:p>
          <w:p w14:paraId="1E8D680E">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caps w:val="0"/>
                <w:smallCaps w:val="0"/>
                <w:color w:val="auto"/>
                <w:spacing w:val="0"/>
                <w:kern w:val="0"/>
                <w:position w:val="0"/>
                <w:sz w:val="24"/>
                <w:szCs w:val="24"/>
                <w:lang w:val="en-US" w:eastAsia="zh-CN"/>
              </w:rPr>
            </w:pPr>
            <w:r>
              <w:rPr>
                <w:rFonts w:hint="default" w:ascii="Times New Roman" w:hAnsi="Times New Roman" w:cs="Times New Roman"/>
                <w:caps w:val="0"/>
                <w:smallCaps w:val="0"/>
                <w:color w:val="auto"/>
                <w:spacing w:val="0"/>
                <w:kern w:val="0"/>
                <w:position w:val="0"/>
                <w:sz w:val="24"/>
                <w:szCs w:val="24"/>
                <w:lang w:val="en-US" w:eastAsia="zh-CN"/>
              </w:rPr>
              <w:t>储罐的呼吸排放可用下式估算其污染物的排放量：</w:t>
            </w:r>
          </w:p>
          <w:p w14:paraId="7B1F3E70">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LB=0.191×M（P/（100910-P））</w:t>
            </w:r>
            <w:r>
              <w:rPr>
                <w:rFonts w:hint="default" w:ascii="Times New Roman" w:hAnsi="Times New Roman" w:eastAsia="宋体" w:cs="Times New Roman"/>
                <w:b w:val="0"/>
                <w:bCs w:val="0"/>
                <w:caps w:val="0"/>
                <w:smallCaps w:val="0"/>
                <w:color w:val="auto"/>
                <w:spacing w:val="0"/>
                <w:kern w:val="0"/>
                <w:position w:val="0"/>
                <w:sz w:val="24"/>
                <w:szCs w:val="24"/>
                <w:vertAlign w:val="superscript"/>
                <w:lang w:val="en-US" w:eastAsia="zh-CN"/>
              </w:rPr>
              <w:t>0.68</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×D</w:t>
            </w:r>
            <w:r>
              <w:rPr>
                <w:rFonts w:hint="default" w:ascii="Times New Roman" w:hAnsi="Times New Roman" w:eastAsia="宋体" w:cs="Times New Roman"/>
                <w:b w:val="0"/>
                <w:bCs w:val="0"/>
                <w:caps w:val="0"/>
                <w:smallCaps w:val="0"/>
                <w:color w:val="auto"/>
                <w:spacing w:val="0"/>
                <w:kern w:val="0"/>
                <w:position w:val="0"/>
                <w:sz w:val="24"/>
                <w:szCs w:val="24"/>
                <w:vertAlign w:val="superscript"/>
                <w:lang w:val="en-US" w:eastAsia="zh-CN"/>
              </w:rPr>
              <w:t>1.73</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×H</w:t>
            </w:r>
            <w:r>
              <w:rPr>
                <w:rFonts w:hint="eastAsia" w:cs="Times New Roman"/>
                <w:b w:val="0"/>
                <w:bCs w:val="0"/>
                <w:caps w:val="0"/>
                <w:smallCaps w:val="0"/>
                <w:color w:val="auto"/>
                <w:spacing w:val="0"/>
                <w:kern w:val="0"/>
                <w:position w:val="0"/>
                <w:sz w:val="24"/>
                <w:szCs w:val="24"/>
                <w:vertAlign w:val="superscript"/>
                <w:lang w:val="en-US" w:eastAsia="zh-CN"/>
              </w:rPr>
              <w:t>0.255</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×△T</w:t>
            </w:r>
            <w:r>
              <w:rPr>
                <w:rFonts w:hint="default" w:ascii="Times New Roman" w:hAnsi="Times New Roman" w:eastAsia="宋体" w:cs="Times New Roman"/>
                <w:b w:val="0"/>
                <w:bCs w:val="0"/>
                <w:caps w:val="0"/>
                <w:smallCaps w:val="0"/>
                <w:color w:val="auto"/>
                <w:spacing w:val="0"/>
                <w:kern w:val="0"/>
                <w:position w:val="0"/>
                <w:sz w:val="24"/>
                <w:szCs w:val="24"/>
                <w:vertAlign w:val="superscript"/>
                <w:lang w:val="en-US" w:eastAsia="zh-CN"/>
              </w:rPr>
              <w:t>0.45</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×F</w:t>
            </w:r>
            <w:r>
              <w:rPr>
                <w:rFonts w:hint="default" w:ascii="Times New Roman" w:hAnsi="Times New Roman" w:eastAsia="宋体" w:cs="Times New Roman"/>
                <w:b w:val="0"/>
                <w:bCs w:val="0"/>
                <w:caps w:val="0"/>
                <w:smallCaps w:val="0"/>
                <w:color w:val="auto"/>
                <w:spacing w:val="0"/>
                <w:kern w:val="0"/>
                <w:position w:val="0"/>
                <w:sz w:val="24"/>
                <w:szCs w:val="24"/>
                <w:vertAlign w:val="subscript"/>
                <w:lang w:val="en-US" w:eastAsia="zh-CN"/>
              </w:rPr>
              <w:t>P</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×C×Kc</w:t>
            </w:r>
          </w:p>
          <w:p w14:paraId="0C823FFA">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式中：</w:t>
            </w:r>
          </w:p>
          <w:p w14:paraId="0077E729">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LB</w:t>
            </w:r>
            <w:r>
              <w:rPr>
                <w:rFonts w:hint="eastAsia" w:cs="Times New Roman"/>
                <w:b w:val="0"/>
                <w:bCs w:val="0"/>
                <w:caps w:val="0"/>
                <w:smallCaps w:val="0"/>
                <w:color w:val="auto"/>
                <w:spacing w:val="0"/>
                <w:kern w:val="0"/>
                <w:position w:val="0"/>
                <w:sz w:val="24"/>
                <w:szCs w:val="24"/>
                <w:lang w:val="en-US" w:eastAsia="zh-CN"/>
              </w:rPr>
              <w:t>——</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储罐的呼吸排放量（kg/a）</w:t>
            </w:r>
            <w:r>
              <w:rPr>
                <w:rFonts w:hint="eastAsia" w:cs="Times New Roman"/>
                <w:b w:val="0"/>
                <w:bCs w:val="0"/>
                <w:caps w:val="0"/>
                <w:smallCaps w:val="0"/>
                <w:color w:val="auto"/>
                <w:spacing w:val="0"/>
                <w:kern w:val="0"/>
                <w:position w:val="0"/>
                <w:sz w:val="24"/>
                <w:szCs w:val="24"/>
                <w:lang w:val="en-US" w:eastAsia="zh-CN"/>
              </w:rPr>
              <w:t>；</w:t>
            </w:r>
          </w:p>
          <w:p w14:paraId="3287C22E">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M——储罐内蒸气的分子量</w:t>
            </w:r>
            <w:r>
              <w:rPr>
                <w:rFonts w:hint="eastAsia" w:cs="Times New Roman"/>
                <w:b w:val="0"/>
                <w:bCs w:val="0"/>
                <w:caps w:val="0"/>
                <w:smallCaps w:val="0"/>
                <w:color w:val="auto"/>
                <w:spacing w:val="0"/>
                <w:kern w:val="0"/>
                <w:position w:val="0"/>
                <w:sz w:val="24"/>
                <w:szCs w:val="24"/>
                <w:lang w:val="en-US" w:eastAsia="zh-CN"/>
              </w:rPr>
              <w:t>；</w:t>
            </w:r>
          </w:p>
          <w:p w14:paraId="6430BC95">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P——在大量液体状态下，真实的蒸汽压力（Pa）</w:t>
            </w:r>
            <w:r>
              <w:rPr>
                <w:rFonts w:hint="eastAsia" w:cs="Times New Roman"/>
                <w:b w:val="0"/>
                <w:bCs w:val="0"/>
                <w:caps w:val="0"/>
                <w:smallCaps w:val="0"/>
                <w:color w:val="auto"/>
                <w:spacing w:val="0"/>
                <w:kern w:val="0"/>
                <w:position w:val="0"/>
                <w:sz w:val="24"/>
                <w:szCs w:val="24"/>
                <w:lang w:val="en-US" w:eastAsia="zh-CN"/>
              </w:rPr>
              <w:t>；</w:t>
            </w:r>
          </w:p>
          <w:p w14:paraId="37FCC21E">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D——罐的直径（m）</w:t>
            </w:r>
            <w:r>
              <w:rPr>
                <w:rFonts w:hint="eastAsia" w:cs="Times New Roman"/>
                <w:b w:val="0"/>
                <w:bCs w:val="0"/>
                <w:caps w:val="0"/>
                <w:smallCaps w:val="0"/>
                <w:color w:val="auto"/>
                <w:spacing w:val="0"/>
                <w:kern w:val="0"/>
                <w:position w:val="0"/>
                <w:sz w:val="24"/>
                <w:szCs w:val="24"/>
                <w:lang w:val="en-US" w:eastAsia="zh-CN"/>
              </w:rPr>
              <w:t>；</w:t>
            </w:r>
          </w:p>
          <w:p w14:paraId="419F3882">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H——平均蒸气空间高度（m）</w:t>
            </w:r>
            <w:r>
              <w:rPr>
                <w:rFonts w:hint="eastAsia" w:cs="Times New Roman"/>
                <w:b w:val="0"/>
                <w:bCs w:val="0"/>
                <w:caps w:val="0"/>
                <w:smallCaps w:val="0"/>
                <w:color w:val="auto"/>
                <w:spacing w:val="0"/>
                <w:kern w:val="0"/>
                <w:position w:val="0"/>
                <w:sz w:val="24"/>
                <w:szCs w:val="24"/>
                <w:lang w:val="en-US" w:eastAsia="zh-CN"/>
              </w:rPr>
              <w:t>；</w:t>
            </w:r>
          </w:p>
          <w:p w14:paraId="7969D7BF">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△T——一天之内的平均温差（℃）</w:t>
            </w:r>
            <w:r>
              <w:rPr>
                <w:rFonts w:hint="eastAsia" w:cs="Times New Roman"/>
                <w:b w:val="0"/>
                <w:bCs w:val="0"/>
                <w:caps w:val="0"/>
                <w:smallCaps w:val="0"/>
                <w:color w:val="auto"/>
                <w:spacing w:val="0"/>
                <w:kern w:val="0"/>
                <w:position w:val="0"/>
                <w:sz w:val="24"/>
                <w:szCs w:val="24"/>
                <w:lang w:val="en-US" w:eastAsia="zh-CN"/>
              </w:rPr>
              <w:t>；</w:t>
            </w:r>
          </w:p>
          <w:p w14:paraId="5012FF27">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F</w:t>
            </w:r>
            <w:r>
              <w:rPr>
                <w:rFonts w:hint="default" w:ascii="Times New Roman" w:hAnsi="Times New Roman" w:eastAsia="宋体" w:cs="Times New Roman"/>
                <w:b w:val="0"/>
                <w:bCs w:val="0"/>
                <w:caps w:val="0"/>
                <w:smallCaps w:val="0"/>
                <w:color w:val="auto"/>
                <w:spacing w:val="0"/>
                <w:kern w:val="0"/>
                <w:position w:val="0"/>
                <w:sz w:val="24"/>
                <w:szCs w:val="24"/>
                <w:vertAlign w:val="subscript"/>
                <w:lang w:val="en-US" w:eastAsia="zh-CN"/>
              </w:rPr>
              <w:t>P</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——涂层因子（无量纲），取值在1~1.5之间</w:t>
            </w:r>
            <w:r>
              <w:rPr>
                <w:rFonts w:hint="eastAsia" w:cs="Times New Roman"/>
                <w:b w:val="0"/>
                <w:bCs w:val="0"/>
                <w:caps w:val="0"/>
                <w:smallCaps w:val="0"/>
                <w:color w:val="auto"/>
                <w:spacing w:val="0"/>
                <w:kern w:val="0"/>
                <w:position w:val="0"/>
                <w:sz w:val="24"/>
                <w:szCs w:val="24"/>
                <w:lang w:val="en-US" w:eastAsia="zh-CN"/>
              </w:rPr>
              <w:t>；</w:t>
            </w:r>
          </w:p>
          <w:p w14:paraId="4AFA21D5">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C——用于小直径罐的调节因子（无量纲）。直径在0~9m之间的罐体，C=1-0.0123（D-9）</w:t>
            </w:r>
            <w:r>
              <w:rPr>
                <w:rFonts w:hint="default" w:ascii="Times New Roman" w:hAnsi="Times New Roman" w:eastAsia="宋体" w:cs="Times New Roman"/>
                <w:b w:val="0"/>
                <w:bCs w:val="0"/>
                <w:caps w:val="0"/>
                <w:smallCaps w:val="0"/>
                <w:color w:val="auto"/>
                <w:spacing w:val="0"/>
                <w:kern w:val="0"/>
                <w:position w:val="0"/>
                <w:sz w:val="24"/>
                <w:szCs w:val="24"/>
                <w:vertAlign w:val="superscript"/>
                <w:lang w:val="en-US" w:eastAsia="zh-CN"/>
              </w:rPr>
              <w:t>2</w:t>
            </w:r>
            <w:r>
              <w:rPr>
                <w:rFonts w:hint="eastAsia" w:cs="Times New Roman"/>
                <w:b w:val="0"/>
                <w:bCs w:val="0"/>
                <w:caps w:val="0"/>
                <w:smallCaps w:val="0"/>
                <w:color w:val="auto"/>
                <w:spacing w:val="0"/>
                <w:kern w:val="0"/>
                <w:position w:val="0"/>
                <w:sz w:val="24"/>
                <w:szCs w:val="24"/>
                <w:lang w:val="en-US" w:eastAsia="zh-CN"/>
              </w:rPr>
              <w:t>；</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罐径大于9m的C=1</w:t>
            </w:r>
            <w:r>
              <w:rPr>
                <w:rFonts w:hint="eastAsia" w:cs="Times New Roman"/>
                <w:b w:val="0"/>
                <w:bCs w:val="0"/>
                <w:caps w:val="0"/>
                <w:smallCaps w:val="0"/>
                <w:color w:val="auto"/>
                <w:spacing w:val="0"/>
                <w:kern w:val="0"/>
                <w:position w:val="0"/>
                <w:sz w:val="24"/>
                <w:szCs w:val="24"/>
                <w:lang w:val="en-US" w:eastAsia="zh-CN"/>
              </w:rPr>
              <w:t>；</w:t>
            </w:r>
          </w:p>
          <w:p w14:paraId="2393CBFB">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Kc——产品因子（石油原油Kc取0.65，其他的液体取1.0）。</w:t>
            </w:r>
          </w:p>
          <w:p w14:paraId="17FAAA67">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aps w:val="0"/>
                <w:smallCaps w:val="0"/>
                <w:color w:val="auto"/>
                <w:spacing w:val="0"/>
                <w:kern w:val="0"/>
                <w:position w:val="0"/>
                <w:sz w:val="24"/>
                <w:szCs w:val="24"/>
                <w:lang w:val="en-US" w:eastAsia="zh-CN"/>
              </w:rPr>
            </w:pPr>
            <w:r>
              <w:rPr>
                <w:rFonts w:hint="default" w:ascii="Times New Roman" w:hAnsi="Times New Roman" w:cs="Times New Roman"/>
                <w:b/>
                <w:bCs/>
                <w:caps w:val="0"/>
                <w:smallCaps w:val="0"/>
                <w:color w:val="auto"/>
                <w:spacing w:val="0"/>
                <w:kern w:val="0"/>
                <w:position w:val="0"/>
                <w:sz w:val="24"/>
                <w:szCs w:val="24"/>
                <w:lang w:val="en-US" w:eastAsia="zh-CN"/>
              </w:rPr>
              <w:t>②大呼吸排放量</w:t>
            </w:r>
          </w:p>
          <w:p w14:paraId="7ADEF13B">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大呼吸排放是由于人为的装料与卸料而产生的损失。因装料的结果，罐内压力超过释放压力时，蒸气从罐内压出</w:t>
            </w:r>
            <w:r>
              <w:rPr>
                <w:rFonts w:hint="eastAsia" w:cs="Times New Roman"/>
                <w:b w:val="0"/>
                <w:bCs w:val="0"/>
                <w:caps w:val="0"/>
                <w:smallCaps w:val="0"/>
                <w:color w:val="auto"/>
                <w:spacing w:val="0"/>
                <w:kern w:val="0"/>
                <w:position w:val="0"/>
                <w:sz w:val="24"/>
                <w:szCs w:val="24"/>
                <w:lang w:val="en-US" w:eastAsia="zh-CN"/>
              </w:rPr>
              <w:t>；</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而卸料损失发生于液面排出，空气被抽入罐体内，因空气变成有机蒸气饱和的气体而膨胀，因而超过蒸气空间容纳的能力。</w:t>
            </w:r>
          </w:p>
          <w:p w14:paraId="3AFF1EB0">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储罐的大呼吸排放可由下式估算：</w:t>
            </w:r>
          </w:p>
          <w:p w14:paraId="6B870A61">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LW=4.188×10</w:t>
            </w:r>
            <w:r>
              <w:rPr>
                <w:rFonts w:hint="default" w:ascii="Times New Roman" w:hAnsi="Times New Roman" w:eastAsia="宋体" w:cs="Times New Roman"/>
                <w:b w:val="0"/>
                <w:bCs w:val="0"/>
                <w:caps w:val="0"/>
                <w:smallCaps w:val="0"/>
                <w:color w:val="auto"/>
                <w:spacing w:val="0"/>
                <w:kern w:val="0"/>
                <w:position w:val="0"/>
                <w:sz w:val="24"/>
                <w:szCs w:val="24"/>
                <w:vertAlign w:val="superscript"/>
                <w:lang w:val="en-US" w:eastAsia="zh-CN"/>
              </w:rPr>
              <w:t>-7</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×M×P×Kn×Kc</w:t>
            </w:r>
          </w:p>
          <w:p w14:paraId="045191C4">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式中：</w:t>
            </w:r>
          </w:p>
          <w:p w14:paraId="00765184">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LW——固定顶罐的工作损失（Kg/m</w:t>
            </w:r>
            <w:r>
              <w:rPr>
                <w:rFonts w:hint="default" w:ascii="Times New Roman" w:hAnsi="Times New Roman" w:eastAsia="宋体" w:cs="Times New Roman"/>
                <w:b w:val="0"/>
                <w:bCs w:val="0"/>
                <w:caps w:val="0"/>
                <w:smallCaps w:val="0"/>
                <w:color w:val="auto"/>
                <w:spacing w:val="0"/>
                <w:kern w:val="0"/>
                <w:position w:val="0"/>
                <w:sz w:val="24"/>
                <w:szCs w:val="24"/>
                <w:vertAlign w:val="superscript"/>
                <w:lang w:val="en-US" w:eastAsia="zh-CN"/>
              </w:rPr>
              <w:t>3</w:t>
            </w:r>
            <w:r>
              <w:rPr>
                <w:rFonts w:hint="default" w:ascii="Times New Roman" w:hAnsi="Times New Roman" w:eastAsia="宋体" w:cs="Times New Roman"/>
                <w:b w:val="0"/>
                <w:bCs w:val="0"/>
                <w:caps w:val="0"/>
                <w:smallCaps w:val="0"/>
                <w:color w:val="auto"/>
                <w:spacing w:val="0"/>
                <w:kern w:val="0"/>
                <w:position w:val="0"/>
                <w:sz w:val="24"/>
                <w:szCs w:val="24"/>
                <w:vertAlign w:val="baseline"/>
                <w:lang w:val="en-US" w:eastAsia="zh-CN"/>
              </w:rPr>
              <w:t>投入量</w:t>
            </w:r>
            <w:r>
              <w:rPr>
                <w:rFonts w:hint="default" w:ascii="Times New Roman" w:hAnsi="Times New Roman" w:eastAsia="宋体" w:cs="Times New Roman"/>
                <w:b w:val="0"/>
                <w:bCs w:val="0"/>
                <w:caps w:val="0"/>
                <w:smallCaps w:val="0"/>
                <w:color w:val="auto"/>
                <w:spacing w:val="0"/>
                <w:kern w:val="0"/>
                <w:position w:val="0"/>
                <w:sz w:val="24"/>
                <w:szCs w:val="24"/>
                <w:lang w:val="en-US" w:eastAsia="zh-CN"/>
              </w:rPr>
              <w:t>）</w:t>
            </w:r>
            <w:r>
              <w:rPr>
                <w:rFonts w:hint="eastAsia" w:cs="Times New Roman"/>
                <w:b w:val="0"/>
                <w:bCs w:val="0"/>
                <w:caps w:val="0"/>
                <w:smallCaps w:val="0"/>
                <w:color w:val="auto"/>
                <w:spacing w:val="0"/>
                <w:kern w:val="0"/>
                <w:position w:val="0"/>
                <w:sz w:val="24"/>
                <w:szCs w:val="24"/>
                <w:lang w:val="en-US" w:eastAsia="zh-CN"/>
              </w:rPr>
              <w:t>；</w:t>
            </w:r>
          </w:p>
          <w:p w14:paraId="3F541AA8">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Kn——周转因子（无量纲），取值按年周转次数确定</w:t>
            </w:r>
            <w:r>
              <w:rPr>
                <w:rFonts w:hint="eastAsia" w:cs="Times New Roman"/>
                <w:b w:val="0"/>
                <w:bCs w:val="0"/>
                <w:caps w:val="0"/>
                <w:smallCaps w:val="0"/>
                <w:color w:val="auto"/>
                <w:spacing w:val="0"/>
                <w:kern w:val="0"/>
                <w:position w:val="0"/>
                <w:sz w:val="24"/>
                <w:szCs w:val="24"/>
                <w:lang w:val="en-US" w:eastAsia="zh-CN"/>
              </w:rPr>
              <w:t>；</w:t>
            </w:r>
          </w:p>
          <w:p w14:paraId="41D26069">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其中：K≤36，Kn=1</w:t>
            </w:r>
          </w:p>
          <w:p w14:paraId="221893AF">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36＜K≤220，Kn=11.467×K</w:t>
            </w:r>
            <w:r>
              <w:rPr>
                <w:rFonts w:hint="default" w:ascii="Times New Roman" w:hAnsi="Times New Roman" w:eastAsia="宋体" w:cs="Times New Roman"/>
                <w:b w:val="0"/>
                <w:bCs w:val="0"/>
                <w:caps w:val="0"/>
                <w:smallCaps w:val="0"/>
                <w:color w:val="auto"/>
                <w:spacing w:val="0"/>
                <w:kern w:val="0"/>
                <w:position w:val="0"/>
                <w:sz w:val="24"/>
                <w:szCs w:val="24"/>
                <w:vertAlign w:val="superscript"/>
                <w:lang w:val="en-US" w:eastAsia="zh-CN"/>
              </w:rPr>
              <w:t>-0.7026</w:t>
            </w:r>
          </w:p>
          <w:p w14:paraId="14B3D8B2">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aps w:val="0"/>
                <w:smallCaps w:val="0"/>
                <w:color w:val="auto"/>
                <w:spacing w:val="0"/>
                <w:kern w:val="0"/>
                <w:position w:val="0"/>
                <w:sz w:val="24"/>
                <w:szCs w:val="24"/>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K＞220，Kn=0.26。</w:t>
            </w:r>
          </w:p>
          <w:p w14:paraId="687F73D3">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M——储罐内蒸气的分子量</w:t>
            </w:r>
            <w:r>
              <w:rPr>
                <w:rFonts w:hint="eastAsia" w:cs="Times New Roman"/>
                <w:b w:val="0"/>
                <w:bCs w:val="0"/>
                <w:caps w:val="0"/>
                <w:smallCaps w:val="0"/>
                <w:color w:val="auto"/>
                <w:spacing w:val="0"/>
                <w:kern w:val="0"/>
                <w:position w:val="0"/>
                <w:sz w:val="24"/>
                <w:szCs w:val="24"/>
                <w:lang w:val="en-US" w:eastAsia="zh-CN"/>
              </w:rPr>
              <w:t>；</w:t>
            </w:r>
          </w:p>
          <w:p w14:paraId="3C3CBC56">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aps w:val="0"/>
                <w:smallCaps w:val="0"/>
                <w:color w:val="auto"/>
                <w:spacing w:val="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P——在大量液体状态下，真实的蒸汽压力（Pa）</w:t>
            </w:r>
            <w:r>
              <w:rPr>
                <w:rFonts w:hint="eastAsia" w:cs="Times New Roman"/>
                <w:b w:val="0"/>
                <w:bCs w:val="0"/>
                <w:caps w:val="0"/>
                <w:smallCaps w:val="0"/>
                <w:color w:val="auto"/>
                <w:spacing w:val="0"/>
                <w:kern w:val="0"/>
                <w:position w:val="0"/>
                <w:sz w:val="24"/>
                <w:szCs w:val="24"/>
                <w:lang w:val="en-US" w:eastAsia="zh-CN"/>
              </w:rPr>
              <w:t>；</w:t>
            </w:r>
          </w:p>
          <w:p w14:paraId="621BE0D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cs="Times New Roman"/>
                <w:caps w:val="0"/>
                <w:smallCaps w:val="0"/>
                <w:color w:val="auto"/>
                <w:spacing w:val="0"/>
                <w:w w:val="100"/>
                <w:position w:val="0"/>
                <w:sz w:val="24"/>
                <w:szCs w:val="24"/>
                <w:lang w:val="en-US" w:eastAsia="zh-CN"/>
              </w:rPr>
            </w:pPr>
            <w:r>
              <w:rPr>
                <w:rFonts w:hint="default" w:ascii="Times New Roman" w:hAnsi="Times New Roman" w:eastAsia="宋体" w:cs="Times New Roman"/>
                <w:b w:val="0"/>
                <w:bCs w:val="0"/>
                <w:caps w:val="0"/>
                <w:smallCaps w:val="0"/>
                <w:color w:val="auto"/>
                <w:spacing w:val="0"/>
                <w:kern w:val="0"/>
                <w:position w:val="0"/>
                <w:sz w:val="24"/>
                <w:szCs w:val="24"/>
                <w:lang w:val="en-US" w:eastAsia="zh-CN"/>
              </w:rPr>
              <w:t>Kc——产品因子（石油原油Kc取0.65，其他的液体取1.0）</w:t>
            </w:r>
          </w:p>
          <w:p w14:paraId="284BFD9E">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jc w:val="center"/>
              <w:textAlignment w:val="auto"/>
              <w:rPr>
                <w:rFonts w:hint="default" w:ascii="Times New Roman" w:hAnsi="Times New Roman" w:eastAsia="宋体" w:cs="Times New Roman"/>
                <w:caps w:val="0"/>
                <w:smallCaps w:val="0"/>
                <w:color w:val="auto"/>
                <w:spacing w:val="0"/>
                <w:kern w:val="0"/>
                <w:position w:val="0"/>
                <w:sz w:val="24"/>
                <w:lang w:val="en-US" w:eastAsia="zh-CN"/>
              </w:rPr>
            </w:pPr>
            <w:r>
              <w:rPr>
                <w:rFonts w:hint="eastAsia" w:cs="Times New Roman"/>
                <w:b/>
                <w:bCs/>
                <w:caps w:val="0"/>
                <w:smallCaps w:val="0"/>
                <w:color w:val="auto"/>
                <w:spacing w:val="0"/>
                <w:kern w:val="0"/>
                <w:position w:val="0"/>
                <w:sz w:val="21"/>
                <w:szCs w:val="21"/>
                <w:lang w:val="en-US" w:eastAsia="zh-CN"/>
              </w:rPr>
              <w:t>表4-4</w:t>
            </w:r>
            <w:r>
              <w:rPr>
                <w:rFonts w:hint="default" w:ascii="Times New Roman" w:hAnsi="Times New Roman" w:eastAsia="宋体" w:cs="Times New Roman"/>
                <w:b/>
                <w:bCs/>
                <w:caps w:val="0"/>
                <w:smallCaps w:val="0"/>
                <w:color w:val="auto"/>
                <w:spacing w:val="0"/>
                <w:kern w:val="0"/>
                <w:position w:val="0"/>
                <w:sz w:val="21"/>
                <w:szCs w:val="21"/>
                <w:lang w:val="en-US" w:eastAsia="zh-CN"/>
              </w:rPr>
              <w:t xml:space="preserve">  </w:t>
            </w:r>
            <w:r>
              <w:rPr>
                <w:rFonts w:hint="eastAsia" w:ascii="Times New Roman" w:hAnsi="Times New Roman" w:eastAsia="宋体" w:cs="Times New Roman"/>
                <w:b/>
                <w:bCs/>
                <w:caps w:val="0"/>
                <w:smallCaps w:val="0"/>
                <w:color w:val="auto"/>
                <w:spacing w:val="0"/>
                <w:kern w:val="0"/>
                <w:position w:val="0"/>
                <w:sz w:val="21"/>
                <w:szCs w:val="21"/>
                <w:lang w:val="en-US" w:eastAsia="zh-CN"/>
              </w:rPr>
              <w:t>热解油</w:t>
            </w:r>
            <w:r>
              <w:rPr>
                <w:rFonts w:hint="default" w:ascii="Times New Roman" w:hAnsi="Times New Roman" w:eastAsia="宋体" w:cs="Times New Roman"/>
                <w:b/>
                <w:bCs/>
                <w:caps w:val="0"/>
                <w:smallCaps w:val="0"/>
                <w:color w:val="auto"/>
                <w:spacing w:val="0"/>
                <w:kern w:val="0"/>
                <w:position w:val="0"/>
                <w:sz w:val="21"/>
                <w:szCs w:val="21"/>
                <w:lang w:val="en-US" w:eastAsia="zh-CN"/>
              </w:rPr>
              <w:t>周转次数及周转因子</w:t>
            </w:r>
          </w:p>
          <w:tbl>
            <w:tblPr>
              <w:tblStyle w:val="27"/>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974"/>
              <w:gridCol w:w="974"/>
              <w:gridCol w:w="916"/>
              <w:gridCol w:w="1698"/>
              <w:gridCol w:w="1314"/>
              <w:gridCol w:w="1129"/>
              <w:gridCol w:w="848"/>
              <w:gridCol w:w="647"/>
            </w:tblGrid>
            <w:tr w14:paraId="5A5FD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555" w:type="dxa"/>
                  <w:noWrap w:val="0"/>
                  <w:vAlign w:val="center"/>
                </w:tcPr>
                <w:p w14:paraId="51016B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pP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序号</w:t>
                  </w:r>
                </w:p>
              </w:tc>
              <w:tc>
                <w:tcPr>
                  <w:tcW w:w="974" w:type="dxa"/>
                  <w:noWrap w:val="0"/>
                  <w:vAlign w:val="center"/>
                </w:tcPr>
                <w:p w14:paraId="6F63AA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pPr>
                  <w:r>
                    <w:rPr>
                      <w:rFonts w:hint="eastAsia" w:ascii="Times New Roman" w:hAnsi="Times New Roman" w:eastAsia="宋体" w:cs="Times New Roman"/>
                      <w:b/>
                      <w:bCs/>
                      <w:caps w:val="0"/>
                      <w:smallCaps w:val="0"/>
                      <w:color w:val="auto"/>
                      <w:spacing w:val="0"/>
                      <w:kern w:val="0"/>
                      <w:position w:val="0"/>
                      <w:sz w:val="21"/>
                      <w:szCs w:val="21"/>
                      <w:vertAlign w:val="baseline"/>
                      <w:lang w:val="en-US" w:eastAsia="zh-CN"/>
                    </w:rPr>
                    <w:t>油罐类型</w:t>
                  </w:r>
                </w:p>
              </w:tc>
              <w:tc>
                <w:tcPr>
                  <w:tcW w:w="974" w:type="dxa"/>
                  <w:noWrap w:val="0"/>
                  <w:vAlign w:val="center"/>
                </w:tcPr>
                <w:p w14:paraId="2A0058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pP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物质</w:t>
                  </w:r>
                </w:p>
              </w:tc>
              <w:tc>
                <w:tcPr>
                  <w:tcW w:w="916" w:type="dxa"/>
                  <w:noWrap w:val="0"/>
                  <w:vAlign w:val="center"/>
                </w:tcPr>
                <w:p w14:paraId="4A5118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pP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年周转量（t/a）</w:t>
                  </w:r>
                </w:p>
              </w:tc>
              <w:tc>
                <w:tcPr>
                  <w:tcW w:w="1698" w:type="dxa"/>
                  <w:noWrap w:val="0"/>
                  <w:vAlign w:val="center"/>
                </w:tcPr>
                <w:p w14:paraId="4CF243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pP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储罐数量/容积</w:t>
                  </w:r>
                </w:p>
              </w:tc>
              <w:tc>
                <w:tcPr>
                  <w:tcW w:w="1314" w:type="dxa"/>
                  <w:noWrap w:val="0"/>
                  <w:vAlign w:val="center"/>
                </w:tcPr>
                <w:p w14:paraId="404F48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21"/>
                      <w:szCs w:val="21"/>
                      <w:vertAlign w:val="superscript"/>
                      <w:lang w:val="en-US" w:eastAsia="zh-CN"/>
                    </w:rPr>
                  </w:pP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密度（t/m</w:t>
                  </w:r>
                  <w:r>
                    <w:rPr>
                      <w:rFonts w:hint="default" w:ascii="Times New Roman" w:hAnsi="Times New Roman" w:eastAsia="宋体" w:cs="Times New Roman"/>
                      <w:b/>
                      <w:bCs/>
                      <w:caps w:val="0"/>
                      <w:smallCaps w:val="0"/>
                      <w:color w:val="auto"/>
                      <w:spacing w:val="0"/>
                      <w:kern w:val="0"/>
                      <w:position w:val="0"/>
                      <w:sz w:val="21"/>
                      <w:szCs w:val="21"/>
                      <w:vertAlign w:val="superscript"/>
                      <w:lang w:val="en-US" w:eastAsia="zh-CN"/>
                    </w:rPr>
                    <w:t>3</w:t>
                  </w: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w:t>
                  </w:r>
                </w:p>
              </w:tc>
              <w:tc>
                <w:tcPr>
                  <w:tcW w:w="1129" w:type="dxa"/>
                  <w:noWrap w:val="0"/>
                  <w:vAlign w:val="center"/>
                </w:tcPr>
                <w:p w14:paraId="4579AA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pP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最大储存量</w:t>
                  </w:r>
                  <w:r>
                    <w:rPr>
                      <w:rFonts w:hint="eastAsia" w:cs="Times New Roman"/>
                      <w:b/>
                      <w:bCs/>
                      <w:caps w:val="0"/>
                      <w:smallCaps w:val="0"/>
                      <w:color w:val="auto"/>
                      <w:spacing w:val="0"/>
                      <w:kern w:val="0"/>
                      <w:position w:val="0"/>
                      <w:sz w:val="21"/>
                      <w:szCs w:val="21"/>
                      <w:vertAlign w:val="baseline"/>
                      <w:lang w:val="en-US" w:eastAsia="zh-CN"/>
                    </w:rPr>
                    <w:t>（</w:t>
                  </w: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t</w:t>
                  </w:r>
                  <w:r>
                    <w:rPr>
                      <w:rFonts w:hint="eastAsia" w:cs="Times New Roman"/>
                      <w:b/>
                      <w:bCs/>
                      <w:caps w:val="0"/>
                      <w:smallCaps w:val="0"/>
                      <w:color w:val="auto"/>
                      <w:spacing w:val="0"/>
                      <w:kern w:val="0"/>
                      <w:position w:val="0"/>
                      <w:sz w:val="21"/>
                      <w:szCs w:val="21"/>
                      <w:vertAlign w:val="baseline"/>
                      <w:lang w:val="en-US" w:eastAsia="zh-CN"/>
                    </w:rPr>
                    <w:t>）</w:t>
                  </w:r>
                </w:p>
              </w:tc>
              <w:tc>
                <w:tcPr>
                  <w:tcW w:w="848" w:type="dxa"/>
                  <w:noWrap w:val="0"/>
                  <w:vAlign w:val="center"/>
                </w:tcPr>
                <w:p w14:paraId="4E097B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pP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周转次数</w:t>
                  </w:r>
                </w:p>
              </w:tc>
              <w:tc>
                <w:tcPr>
                  <w:tcW w:w="647" w:type="dxa"/>
                  <w:noWrap w:val="0"/>
                  <w:vAlign w:val="center"/>
                </w:tcPr>
                <w:p w14:paraId="134DA7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pPr>
                  <w:r>
                    <w:rPr>
                      <w:rFonts w:hint="default" w:ascii="Times New Roman" w:hAnsi="Times New Roman" w:eastAsia="宋体" w:cs="Times New Roman"/>
                      <w:b/>
                      <w:bCs/>
                      <w:caps w:val="0"/>
                      <w:smallCaps w:val="0"/>
                      <w:color w:val="auto"/>
                      <w:spacing w:val="0"/>
                      <w:kern w:val="0"/>
                      <w:position w:val="0"/>
                      <w:sz w:val="21"/>
                      <w:szCs w:val="21"/>
                      <w:vertAlign w:val="baseline"/>
                      <w:lang w:val="en-US" w:eastAsia="zh-CN"/>
                    </w:rPr>
                    <w:t>Kn</w:t>
                  </w:r>
                </w:p>
              </w:tc>
            </w:tr>
            <w:tr w14:paraId="4024E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555" w:type="dxa"/>
                  <w:noWrap w:val="0"/>
                  <w:vAlign w:val="center"/>
                </w:tcPr>
                <w:p w14:paraId="36D8F9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bidi="ar-SA"/>
                    </w:rPr>
                  </w:pPr>
                  <w:r>
                    <w:rPr>
                      <w:rFonts w:hint="default" w:ascii="Times New Roman" w:hAnsi="Times New Roman" w:eastAsia="宋体" w:cs="Times New Roman"/>
                      <w:caps w:val="0"/>
                      <w:smallCaps w:val="0"/>
                      <w:color w:val="auto"/>
                      <w:spacing w:val="0"/>
                      <w:kern w:val="0"/>
                      <w:position w:val="0"/>
                      <w:sz w:val="21"/>
                      <w:szCs w:val="21"/>
                      <w:vertAlign w:val="baseline"/>
                      <w:lang w:val="en-US" w:eastAsia="zh-CN"/>
                    </w:rPr>
                    <w:t>1</w:t>
                  </w:r>
                </w:p>
              </w:tc>
              <w:tc>
                <w:tcPr>
                  <w:tcW w:w="974" w:type="dxa"/>
                  <w:noWrap w:val="0"/>
                  <w:vAlign w:val="center"/>
                </w:tcPr>
                <w:p w14:paraId="1A2287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cs="Times New Roman"/>
                      <w:caps w:val="0"/>
                      <w:smallCaps w:val="0"/>
                      <w:color w:val="auto"/>
                      <w:spacing w:val="0"/>
                      <w:w w:val="100"/>
                      <w:position w:val="0"/>
                      <w:sz w:val="21"/>
                      <w:szCs w:val="21"/>
                      <w:lang w:val="en-US" w:eastAsia="zh-CN"/>
                    </w:rPr>
                    <w:t>中转油罐</w:t>
                  </w:r>
                </w:p>
              </w:tc>
              <w:tc>
                <w:tcPr>
                  <w:tcW w:w="974" w:type="dxa"/>
                  <w:noWrap w:val="0"/>
                  <w:vAlign w:val="center"/>
                </w:tcPr>
                <w:p w14:paraId="0E51FC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ascii="Times New Roman" w:hAnsi="Times New Roman" w:eastAsia="宋体" w:cs="Times New Roman"/>
                      <w:caps w:val="0"/>
                      <w:smallCaps w:val="0"/>
                      <w:color w:val="auto"/>
                      <w:spacing w:val="0"/>
                      <w:kern w:val="0"/>
                      <w:position w:val="0"/>
                      <w:sz w:val="21"/>
                      <w:szCs w:val="21"/>
                      <w:vertAlign w:val="baseline"/>
                      <w:lang w:val="en-US" w:eastAsia="zh-CN"/>
                    </w:rPr>
                    <w:t>热解油</w:t>
                  </w:r>
                </w:p>
              </w:tc>
              <w:tc>
                <w:tcPr>
                  <w:tcW w:w="916" w:type="dxa"/>
                  <w:noWrap w:val="0"/>
                  <w:vAlign w:val="center"/>
                </w:tcPr>
                <w:p w14:paraId="2D8AAD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ascii="Times New Roman" w:hAnsi="Times New Roman" w:eastAsia="宋体" w:cs="Times New Roman"/>
                      <w:caps w:val="0"/>
                      <w:smallCaps w:val="0"/>
                      <w:color w:val="auto"/>
                      <w:spacing w:val="0"/>
                      <w:kern w:val="0"/>
                      <w:position w:val="0"/>
                      <w:sz w:val="21"/>
                      <w:szCs w:val="21"/>
                      <w:vertAlign w:val="baseline"/>
                      <w:lang w:val="en-US" w:eastAsia="zh-CN"/>
                    </w:rPr>
                    <w:t>1212.75</w:t>
                  </w:r>
                </w:p>
              </w:tc>
              <w:tc>
                <w:tcPr>
                  <w:tcW w:w="1698" w:type="dxa"/>
                  <w:noWrap w:val="0"/>
                  <w:vAlign w:val="center"/>
                </w:tcPr>
                <w:p w14:paraId="553690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ascii="Times New Roman" w:hAnsi="Times New Roman" w:cs="Times New Roman"/>
                      <w:caps w:val="0"/>
                      <w:smallCaps w:val="0"/>
                      <w:color w:val="auto"/>
                      <w:spacing w:val="0"/>
                      <w:kern w:val="0"/>
                      <w:position w:val="0"/>
                      <w:sz w:val="21"/>
                      <w:szCs w:val="21"/>
                      <w:vertAlign w:val="baseline"/>
                      <w:lang w:val="en-US" w:eastAsia="zh-CN"/>
                    </w:rPr>
                    <w:t>8</w:t>
                  </w:r>
                  <w:r>
                    <w:rPr>
                      <w:rFonts w:hint="default" w:ascii="Times New Roman" w:hAnsi="Times New Roman" w:eastAsia="宋体" w:cs="Times New Roman"/>
                      <w:caps w:val="0"/>
                      <w:smallCaps w:val="0"/>
                      <w:color w:val="auto"/>
                      <w:spacing w:val="0"/>
                      <w:kern w:val="0"/>
                      <w:position w:val="0"/>
                      <w:sz w:val="21"/>
                      <w:szCs w:val="21"/>
                      <w:vertAlign w:val="baseline"/>
                      <w:lang w:val="en-US" w:eastAsia="zh-CN"/>
                    </w:rPr>
                    <w:t>个/</w:t>
                  </w:r>
                  <w:r>
                    <w:rPr>
                      <w:rFonts w:hint="eastAsia" w:cs="Times New Roman"/>
                      <w:caps w:val="0"/>
                      <w:smallCaps w:val="0"/>
                      <w:color w:val="auto"/>
                      <w:spacing w:val="0"/>
                      <w:kern w:val="0"/>
                      <w:position w:val="0"/>
                      <w:sz w:val="21"/>
                      <w:szCs w:val="21"/>
                      <w:vertAlign w:val="baseline"/>
                      <w:lang w:val="en-US" w:eastAsia="zh-CN"/>
                    </w:rPr>
                    <w:t>6</w:t>
                  </w:r>
                  <w:r>
                    <w:rPr>
                      <w:rFonts w:hint="default" w:ascii="Times New Roman" w:hAnsi="Times New Roman" w:eastAsia="宋体" w:cs="Times New Roman"/>
                      <w:caps w:val="0"/>
                      <w:smallCaps w:val="0"/>
                      <w:color w:val="auto"/>
                      <w:spacing w:val="0"/>
                      <w:kern w:val="0"/>
                      <w:position w:val="0"/>
                      <w:sz w:val="21"/>
                      <w:szCs w:val="21"/>
                      <w:vertAlign w:val="baseline"/>
                      <w:lang w:val="en-US" w:eastAsia="zh-CN"/>
                    </w:rPr>
                    <w:t>m</w:t>
                  </w:r>
                  <w:r>
                    <w:rPr>
                      <w:rFonts w:hint="default" w:ascii="Times New Roman" w:hAnsi="Times New Roman" w:eastAsia="宋体" w:cs="Times New Roman"/>
                      <w:caps w:val="0"/>
                      <w:smallCaps w:val="0"/>
                      <w:color w:val="auto"/>
                      <w:spacing w:val="0"/>
                      <w:kern w:val="0"/>
                      <w:position w:val="0"/>
                      <w:sz w:val="21"/>
                      <w:szCs w:val="21"/>
                      <w:vertAlign w:val="superscript"/>
                      <w:lang w:val="en-US" w:eastAsia="zh-CN"/>
                    </w:rPr>
                    <w:t>3</w:t>
                  </w:r>
                </w:p>
              </w:tc>
              <w:tc>
                <w:tcPr>
                  <w:tcW w:w="1314" w:type="dxa"/>
                  <w:noWrap w:val="0"/>
                  <w:vAlign w:val="center"/>
                </w:tcPr>
                <w:p w14:paraId="78ED6E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ascii="Times New Roman" w:hAnsi="Times New Roman" w:eastAsia="宋体" w:cs="Times New Roman"/>
                      <w:caps w:val="0"/>
                      <w:smallCaps w:val="0"/>
                      <w:color w:val="auto"/>
                      <w:spacing w:val="0"/>
                      <w:kern w:val="0"/>
                      <w:position w:val="0"/>
                      <w:sz w:val="21"/>
                      <w:szCs w:val="21"/>
                      <w:vertAlign w:val="baseline"/>
                      <w:lang w:val="en-US" w:eastAsia="zh-CN"/>
                    </w:rPr>
                    <w:t>0.9</w:t>
                  </w:r>
                </w:p>
              </w:tc>
              <w:tc>
                <w:tcPr>
                  <w:tcW w:w="1129" w:type="dxa"/>
                  <w:noWrap w:val="0"/>
                  <w:vAlign w:val="center"/>
                </w:tcPr>
                <w:p w14:paraId="37F4EF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cs="Times New Roman"/>
                      <w:caps w:val="0"/>
                      <w:smallCaps w:val="0"/>
                      <w:color w:val="auto"/>
                      <w:spacing w:val="0"/>
                      <w:kern w:val="0"/>
                      <w:position w:val="0"/>
                      <w:sz w:val="21"/>
                      <w:szCs w:val="21"/>
                      <w:vertAlign w:val="baseline"/>
                      <w:lang w:val="en-US" w:eastAsia="zh-CN"/>
                    </w:rPr>
                    <w:t>5.4</w:t>
                  </w:r>
                </w:p>
              </w:tc>
              <w:tc>
                <w:tcPr>
                  <w:tcW w:w="848" w:type="dxa"/>
                  <w:noWrap w:val="0"/>
                  <w:vAlign w:val="center"/>
                </w:tcPr>
                <w:p w14:paraId="357F9A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cs="Times New Roman"/>
                      <w:caps w:val="0"/>
                      <w:smallCaps w:val="0"/>
                      <w:color w:val="auto"/>
                      <w:spacing w:val="0"/>
                      <w:kern w:val="0"/>
                      <w:position w:val="0"/>
                      <w:sz w:val="21"/>
                      <w:szCs w:val="21"/>
                      <w:vertAlign w:val="baseline"/>
                      <w:lang w:val="en-US" w:eastAsia="zh-CN"/>
                    </w:rPr>
                    <w:t>225</w:t>
                  </w:r>
                </w:p>
              </w:tc>
              <w:tc>
                <w:tcPr>
                  <w:tcW w:w="647" w:type="dxa"/>
                  <w:noWrap w:val="0"/>
                  <w:vAlign w:val="center"/>
                </w:tcPr>
                <w:p w14:paraId="7C5276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ascii="Times New Roman" w:hAnsi="Times New Roman" w:eastAsia="宋体" w:cs="Times New Roman"/>
                      <w:caps w:val="0"/>
                      <w:smallCaps w:val="0"/>
                      <w:color w:val="auto"/>
                      <w:spacing w:val="0"/>
                      <w:kern w:val="0"/>
                      <w:position w:val="0"/>
                      <w:sz w:val="21"/>
                      <w:szCs w:val="21"/>
                      <w:vertAlign w:val="baseline"/>
                      <w:lang w:val="en-US" w:eastAsia="zh-CN"/>
                    </w:rPr>
                    <w:t>0.26</w:t>
                  </w:r>
                </w:p>
              </w:tc>
            </w:tr>
            <w:tr w14:paraId="199A4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55" w:type="dxa"/>
                  <w:noWrap w:val="0"/>
                  <w:vAlign w:val="center"/>
                </w:tcPr>
                <w:p w14:paraId="02621C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cs="Times New Roman"/>
                      <w:caps w:val="0"/>
                      <w:smallCaps w:val="0"/>
                      <w:color w:val="auto"/>
                      <w:spacing w:val="0"/>
                      <w:kern w:val="0"/>
                      <w:position w:val="0"/>
                      <w:sz w:val="21"/>
                      <w:szCs w:val="21"/>
                      <w:vertAlign w:val="baseline"/>
                      <w:lang w:val="en-US" w:eastAsia="zh-CN"/>
                    </w:rPr>
                    <w:t>2</w:t>
                  </w:r>
                </w:p>
              </w:tc>
              <w:tc>
                <w:tcPr>
                  <w:tcW w:w="974" w:type="dxa"/>
                  <w:noWrap w:val="0"/>
                  <w:vAlign w:val="center"/>
                </w:tcPr>
                <w:p w14:paraId="225822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aps w:val="0"/>
                      <w:smallCaps w:val="0"/>
                      <w:color w:val="auto"/>
                      <w:spacing w:val="0"/>
                      <w:kern w:val="0"/>
                      <w:position w:val="0"/>
                      <w:sz w:val="21"/>
                      <w:szCs w:val="21"/>
                      <w:vertAlign w:val="baseline"/>
                      <w:lang w:val="en-US" w:eastAsia="zh-CN"/>
                    </w:rPr>
                  </w:pPr>
                  <w:r>
                    <w:rPr>
                      <w:rFonts w:hint="eastAsia" w:cs="Times New Roman"/>
                      <w:caps w:val="0"/>
                      <w:smallCaps w:val="0"/>
                      <w:color w:val="auto"/>
                      <w:spacing w:val="0"/>
                      <w:kern w:val="0"/>
                      <w:position w:val="0"/>
                      <w:sz w:val="21"/>
                      <w:szCs w:val="21"/>
                      <w:vertAlign w:val="baseline"/>
                      <w:lang w:val="en-US" w:eastAsia="zh-CN"/>
                    </w:rPr>
                    <w:t>储油罐</w:t>
                  </w:r>
                </w:p>
              </w:tc>
              <w:tc>
                <w:tcPr>
                  <w:tcW w:w="974" w:type="dxa"/>
                  <w:noWrap w:val="0"/>
                  <w:vAlign w:val="center"/>
                </w:tcPr>
                <w:p w14:paraId="280C26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ascii="Times New Roman" w:hAnsi="Times New Roman" w:eastAsia="宋体" w:cs="Times New Roman"/>
                      <w:caps w:val="0"/>
                      <w:smallCaps w:val="0"/>
                      <w:color w:val="auto"/>
                      <w:spacing w:val="0"/>
                      <w:kern w:val="0"/>
                      <w:position w:val="0"/>
                      <w:sz w:val="21"/>
                      <w:szCs w:val="21"/>
                      <w:vertAlign w:val="baseline"/>
                      <w:lang w:val="en-US" w:eastAsia="zh-CN"/>
                    </w:rPr>
                    <w:t>热解油</w:t>
                  </w:r>
                </w:p>
              </w:tc>
              <w:tc>
                <w:tcPr>
                  <w:tcW w:w="916" w:type="dxa"/>
                  <w:noWrap w:val="0"/>
                  <w:vAlign w:val="center"/>
                </w:tcPr>
                <w:p w14:paraId="07D47C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aps w:val="0"/>
                      <w:smallCaps w:val="0"/>
                      <w:color w:val="auto"/>
                      <w:spacing w:val="0"/>
                      <w:kern w:val="0"/>
                      <w:position w:val="0"/>
                      <w:sz w:val="21"/>
                      <w:szCs w:val="21"/>
                      <w:vertAlign w:val="baseline"/>
                      <w:lang w:val="en-US" w:eastAsia="zh-CN"/>
                    </w:rPr>
                  </w:pPr>
                  <w:r>
                    <w:rPr>
                      <w:rFonts w:hint="eastAsia" w:ascii="Times New Roman" w:hAnsi="Times New Roman" w:eastAsia="宋体" w:cs="Times New Roman"/>
                      <w:caps w:val="0"/>
                      <w:smallCaps w:val="0"/>
                      <w:color w:val="auto"/>
                      <w:spacing w:val="0"/>
                      <w:kern w:val="0"/>
                      <w:position w:val="0"/>
                      <w:sz w:val="21"/>
                      <w:szCs w:val="21"/>
                      <w:vertAlign w:val="baseline"/>
                      <w:lang w:val="en-US" w:eastAsia="zh-CN"/>
                    </w:rPr>
                    <w:t>1212.75</w:t>
                  </w:r>
                </w:p>
              </w:tc>
              <w:tc>
                <w:tcPr>
                  <w:tcW w:w="1698" w:type="dxa"/>
                  <w:noWrap w:val="0"/>
                  <w:vAlign w:val="center"/>
                </w:tcPr>
                <w:p w14:paraId="6C2573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aps w:val="0"/>
                      <w:smallCaps w:val="0"/>
                      <w:color w:val="auto"/>
                      <w:spacing w:val="0"/>
                      <w:kern w:val="0"/>
                      <w:position w:val="0"/>
                      <w:sz w:val="21"/>
                      <w:szCs w:val="21"/>
                      <w:vertAlign w:val="baseline"/>
                      <w:lang w:val="en-US" w:eastAsia="zh-CN"/>
                    </w:rPr>
                  </w:pPr>
                  <w:r>
                    <w:rPr>
                      <w:rFonts w:hint="default" w:ascii="Times New Roman" w:hAnsi="Times New Roman" w:cs="Times New Roman"/>
                      <w:caps w:val="0"/>
                      <w:smallCaps w:val="0"/>
                      <w:color w:val="auto"/>
                      <w:spacing w:val="0"/>
                      <w:kern w:val="0"/>
                      <w:position w:val="0"/>
                      <w:sz w:val="21"/>
                      <w:szCs w:val="21"/>
                      <w:vertAlign w:val="baseline"/>
                      <w:lang w:val="en-US" w:eastAsia="zh-CN"/>
                    </w:rPr>
                    <w:t>1</w:t>
                  </w:r>
                  <w:r>
                    <w:rPr>
                      <w:rFonts w:hint="default" w:ascii="Times New Roman" w:hAnsi="Times New Roman" w:eastAsia="宋体" w:cs="Times New Roman"/>
                      <w:caps w:val="0"/>
                      <w:smallCaps w:val="0"/>
                      <w:color w:val="auto"/>
                      <w:spacing w:val="0"/>
                      <w:kern w:val="0"/>
                      <w:position w:val="0"/>
                      <w:sz w:val="21"/>
                      <w:szCs w:val="21"/>
                      <w:vertAlign w:val="baseline"/>
                      <w:lang w:val="en-US" w:eastAsia="zh-CN"/>
                    </w:rPr>
                    <w:t>个/</w:t>
                  </w:r>
                  <w:r>
                    <w:rPr>
                      <w:rFonts w:hint="eastAsia" w:cs="Times New Roman"/>
                      <w:caps w:val="0"/>
                      <w:smallCaps w:val="0"/>
                      <w:color w:val="auto"/>
                      <w:spacing w:val="0"/>
                      <w:kern w:val="0"/>
                      <w:position w:val="0"/>
                      <w:sz w:val="21"/>
                      <w:szCs w:val="21"/>
                      <w:vertAlign w:val="baseline"/>
                      <w:lang w:val="en-US" w:eastAsia="zh-CN"/>
                    </w:rPr>
                    <w:t>50</w:t>
                  </w:r>
                  <w:r>
                    <w:rPr>
                      <w:rFonts w:hint="default" w:ascii="Times New Roman" w:hAnsi="Times New Roman" w:eastAsia="宋体" w:cs="Times New Roman"/>
                      <w:caps w:val="0"/>
                      <w:smallCaps w:val="0"/>
                      <w:color w:val="auto"/>
                      <w:spacing w:val="0"/>
                      <w:kern w:val="0"/>
                      <w:position w:val="0"/>
                      <w:sz w:val="21"/>
                      <w:szCs w:val="21"/>
                      <w:vertAlign w:val="baseline"/>
                      <w:lang w:val="en-US" w:eastAsia="zh-CN"/>
                    </w:rPr>
                    <w:t>m</w:t>
                  </w:r>
                  <w:r>
                    <w:rPr>
                      <w:rFonts w:hint="default" w:ascii="Times New Roman" w:hAnsi="Times New Roman" w:eastAsia="宋体" w:cs="Times New Roman"/>
                      <w:caps w:val="0"/>
                      <w:smallCaps w:val="0"/>
                      <w:color w:val="auto"/>
                      <w:spacing w:val="0"/>
                      <w:kern w:val="0"/>
                      <w:position w:val="0"/>
                      <w:sz w:val="21"/>
                      <w:szCs w:val="21"/>
                      <w:vertAlign w:val="superscript"/>
                      <w:lang w:val="en-US" w:eastAsia="zh-CN"/>
                    </w:rPr>
                    <w:t>3</w:t>
                  </w:r>
                </w:p>
              </w:tc>
              <w:tc>
                <w:tcPr>
                  <w:tcW w:w="1314" w:type="dxa"/>
                  <w:noWrap w:val="0"/>
                  <w:vAlign w:val="center"/>
                </w:tcPr>
                <w:p w14:paraId="7E0C10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cs="Times New Roman"/>
                      <w:caps w:val="0"/>
                      <w:smallCaps w:val="0"/>
                      <w:color w:val="auto"/>
                      <w:spacing w:val="0"/>
                      <w:kern w:val="0"/>
                      <w:position w:val="0"/>
                      <w:sz w:val="21"/>
                      <w:szCs w:val="21"/>
                      <w:vertAlign w:val="baseline"/>
                      <w:lang w:val="en-US" w:eastAsia="zh-CN"/>
                    </w:rPr>
                    <w:t>0.9</w:t>
                  </w:r>
                </w:p>
              </w:tc>
              <w:tc>
                <w:tcPr>
                  <w:tcW w:w="1129" w:type="dxa"/>
                  <w:noWrap w:val="0"/>
                  <w:vAlign w:val="center"/>
                </w:tcPr>
                <w:p w14:paraId="5B277C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aps w:val="0"/>
                      <w:smallCaps w:val="0"/>
                      <w:color w:val="auto"/>
                      <w:spacing w:val="0"/>
                      <w:kern w:val="0"/>
                      <w:position w:val="0"/>
                      <w:sz w:val="21"/>
                      <w:szCs w:val="21"/>
                      <w:vertAlign w:val="baseline"/>
                      <w:lang w:val="en-US" w:eastAsia="zh-CN"/>
                    </w:rPr>
                  </w:pPr>
                  <w:r>
                    <w:rPr>
                      <w:rFonts w:hint="eastAsia" w:cs="Times New Roman"/>
                      <w:caps w:val="0"/>
                      <w:smallCaps w:val="0"/>
                      <w:color w:val="auto"/>
                      <w:spacing w:val="0"/>
                      <w:kern w:val="0"/>
                      <w:position w:val="0"/>
                      <w:sz w:val="21"/>
                      <w:szCs w:val="21"/>
                      <w:vertAlign w:val="baseline"/>
                      <w:lang w:val="en-US" w:eastAsia="zh-CN"/>
                    </w:rPr>
                    <w:t>45</w:t>
                  </w:r>
                </w:p>
              </w:tc>
              <w:tc>
                <w:tcPr>
                  <w:tcW w:w="848" w:type="dxa"/>
                  <w:noWrap w:val="0"/>
                  <w:vAlign w:val="center"/>
                </w:tcPr>
                <w:p w14:paraId="0B06E1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aps w:val="0"/>
                      <w:smallCaps w:val="0"/>
                      <w:color w:val="auto"/>
                      <w:spacing w:val="0"/>
                      <w:kern w:val="0"/>
                      <w:position w:val="0"/>
                      <w:sz w:val="21"/>
                      <w:szCs w:val="21"/>
                      <w:vertAlign w:val="baseline"/>
                      <w:lang w:val="en-US" w:eastAsia="zh-CN"/>
                    </w:rPr>
                  </w:pPr>
                  <w:r>
                    <w:rPr>
                      <w:rFonts w:hint="eastAsia" w:cs="Times New Roman"/>
                      <w:caps w:val="0"/>
                      <w:smallCaps w:val="0"/>
                      <w:color w:val="auto"/>
                      <w:spacing w:val="0"/>
                      <w:kern w:val="0"/>
                      <w:position w:val="0"/>
                      <w:sz w:val="21"/>
                      <w:szCs w:val="21"/>
                      <w:vertAlign w:val="baseline"/>
                      <w:lang w:val="en-US" w:eastAsia="zh-CN"/>
                    </w:rPr>
                    <w:t>27</w:t>
                  </w:r>
                </w:p>
              </w:tc>
              <w:tc>
                <w:tcPr>
                  <w:tcW w:w="647" w:type="dxa"/>
                  <w:noWrap w:val="0"/>
                  <w:vAlign w:val="center"/>
                </w:tcPr>
                <w:p w14:paraId="272FED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21"/>
                      <w:szCs w:val="21"/>
                      <w:vertAlign w:val="baseline"/>
                      <w:lang w:val="en-US" w:eastAsia="zh-CN"/>
                    </w:rPr>
                  </w:pPr>
                  <w:r>
                    <w:rPr>
                      <w:rFonts w:hint="eastAsia" w:cs="Times New Roman"/>
                      <w:caps w:val="0"/>
                      <w:smallCaps w:val="0"/>
                      <w:color w:val="auto"/>
                      <w:spacing w:val="0"/>
                      <w:kern w:val="0"/>
                      <w:position w:val="0"/>
                      <w:sz w:val="21"/>
                      <w:szCs w:val="21"/>
                      <w:vertAlign w:val="baseline"/>
                      <w:lang w:val="en-US" w:eastAsia="zh-CN"/>
                    </w:rPr>
                    <w:t>1.0</w:t>
                  </w:r>
                </w:p>
              </w:tc>
            </w:tr>
          </w:tbl>
          <w:p w14:paraId="4F704DF7">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caps w:val="0"/>
                <w:smallCaps w:val="0"/>
                <w:color w:val="auto"/>
                <w:spacing w:val="0"/>
                <w:kern w:val="0"/>
                <w:position w:val="0"/>
                <w:sz w:val="24"/>
                <w:szCs w:val="32"/>
                <w:lang w:val="en-US" w:eastAsia="zh-CN"/>
              </w:rPr>
            </w:pPr>
            <w:r>
              <w:rPr>
                <w:rFonts w:hint="default" w:ascii="Times New Roman" w:hAnsi="Times New Roman" w:cs="Times New Roman"/>
                <w:caps w:val="0"/>
                <w:smallCaps w:val="0"/>
                <w:color w:val="auto"/>
                <w:spacing w:val="0"/>
                <w:kern w:val="0"/>
                <w:position w:val="0"/>
                <w:sz w:val="24"/>
                <w:szCs w:val="32"/>
                <w:lang w:val="en-US" w:eastAsia="zh-CN"/>
              </w:rPr>
              <w:t>储罐区大小呼吸气计算参数选取及产生情况见下表所示：</w:t>
            </w:r>
          </w:p>
          <w:p w14:paraId="087AA285">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jc w:val="center"/>
              <w:textAlignment w:val="auto"/>
              <w:rPr>
                <w:rFonts w:hint="eastAsia" w:cs="Times New Roman"/>
                <w:b/>
                <w:bCs/>
                <w:caps w:val="0"/>
                <w:smallCaps w:val="0"/>
                <w:color w:val="auto"/>
                <w:spacing w:val="0"/>
                <w:kern w:val="0"/>
                <w:position w:val="0"/>
                <w:sz w:val="21"/>
                <w:szCs w:val="21"/>
                <w:lang w:val="en-US" w:eastAsia="zh-CN"/>
              </w:rPr>
            </w:pPr>
          </w:p>
          <w:p w14:paraId="037CCCBF">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jc w:val="center"/>
              <w:textAlignment w:val="auto"/>
              <w:rPr>
                <w:rFonts w:hint="eastAsia" w:cs="Times New Roman"/>
                <w:b/>
                <w:bCs/>
                <w:caps w:val="0"/>
                <w:smallCaps w:val="0"/>
                <w:color w:val="auto"/>
                <w:spacing w:val="0"/>
                <w:kern w:val="0"/>
                <w:position w:val="0"/>
                <w:sz w:val="21"/>
                <w:szCs w:val="21"/>
                <w:lang w:val="en-US" w:eastAsia="zh-CN"/>
              </w:rPr>
            </w:pPr>
          </w:p>
          <w:p w14:paraId="29C93C79">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jc w:val="center"/>
              <w:textAlignment w:val="auto"/>
              <w:rPr>
                <w:rFonts w:hint="eastAsia" w:cs="Times New Roman"/>
                <w:b/>
                <w:bCs/>
                <w:caps w:val="0"/>
                <w:smallCaps w:val="0"/>
                <w:color w:val="auto"/>
                <w:spacing w:val="0"/>
                <w:kern w:val="0"/>
                <w:position w:val="0"/>
                <w:sz w:val="21"/>
                <w:szCs w:val="21"/>
                <w:lang w:val="en-US" w:eastAsia="zh-CN"/>
              </w:rPr>
            </w:pPr>
          </w:p>
          <w:p w14:paraId="7546BA26">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jc w:val="center"/>
              <w:textAlignment w:val="auto"/>
              <w:rPr>
                <w:rFonts w:hint="default" w:ascii="Times New Roman" w:hAnsi="Times New Roman" w:cs="Times New Roman"/>
                <w:b/>
                <w:bCs/>
                <w:caps w:val="0"/>
                <w:smallCaps w:val="0"/>
                <w:color w:val="auto"/>
                <w:spacing w:val="0"/>
                <w:kern w:val="0"/>
                <w:position w:val="0"/>
                <w:sz w:val="21"/>
                <w:szCs w:val="21"/>
                <w:lang w:val="en-US" w:eastAsia="zh-CN"/>
              </w:rPr>
            </w:pPr>
            <w:r>
              <w:rPr>
                <w:rFonts w:hint="eastAsia" w:cs="Times New Roman"/>
                <w:b/>
                <w:bCs/>
                <w:caps w:val="0"/>
                <w:smallCaps w:val="0"/>
                <w:color w:val="auto"/>
                <w:spacing w:val="0"/>
                <w:kern w:val="0"/>
                <w:position w:val="0"/>
                <w:sz w:val="21"/>
                <w:szCs w:val="21"/>
                <w:lang w:val="en-US" w:eastAsia="zh-CN"/>
              </w:rPr>
              <w:t>表4-5</w:t>
            </w:r>
            <w:r>
              <w:rPr>
                <w:rFonts w:hint="default" w:ascii="Times New Roman" w:hAnsi="Times New Roman" w:cs="Times New Roman"/>
                <w:b/>
                <w:bCs/>
                <w:caps w:val="0"/>
                <w:smallCaps w:val="0"/>
                <w:color w:val="auto"/>
                <w:spacing w:val="0"/>
                <w:kern w:val="0"/>
                <w:position w:val="0"/>
                <w:sz w:val="21"/>
                <w:szCs w:val="21"/>
                <w:lang w:val="en-US" w:eastAsia="zh-CN"/>
              </w:rPr>
              <w:t xml:space="preserve">  储罐呼吸气产生情况汇总表</w:t>
            </w:r>
          </w:p>
          <w:tbl>
            <w:tblPr>
              <w:tblStyle w:val="27"/>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
              <w:gridCol w:w="597"/>
              <w:gridCol w:w="566"/>
              <w:gridCol w:w="492"/>
              <w:gridCol w:w="524"/>
              <w:gridCol w:w="378"/>
              <w:gridCol w:w="507"/>
              <w:gridCol w:w="518"/>
              <w:gridCol w:w="478"/>
              <w:gridCol w:w="518"/>
              <w:gridCol w:w="445"/>
              <w:gridCol w:w="429"/>
              <w:gridCol w:w="840"/>
              <w:gridCol w:w="502"/>
              <w:gridCol w:w="794"/>
              <w:gridCol w:w="994"/>
            </w:tblGrid>
            <w:tr w14:paraId="60BF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0" w:type="dxa"/>
                  <w:noWrap w:val="0"/>
                  <w:vAlign w:val="center"/>
                </w:tcPr>
                <w:p w14:paraId="26CC1F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序号</w:t>
                  </w:r>
                </w:p>
              </w:tc>
              <w:tc>
                <w:tcPr>
                  <w:tcW w:w="597" w:type="dxa"/>
                  <w:noWrap w:val="0"/>
                  <w:vAlign w:val="center"/>
                </w:tcPr>
                <w:p w14:paraId="426039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罐区</w:t>
                  </w:r>
                </w:p>
              </w:tc>
              <w:tc>
                <w:tcPr>
                  <w:tcW w:w="566" w:type="dxa"/>
                  <w:noWrap w:val="0"/>
                  <w:vAlign w:val="center"/>
                </w:tcPr>
                <w:p w14:paraId="2137BB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物质</w:t>
                  </w:r>
                </w:p>
              </w:tc>
              <w:tc>
                <w:tcPr>
                  <w:tcW w:w="492" w:type="dxa"/>
                  <w:noWrap w:val="0"/>
                  <w:vAlign w:val="center"/>
                </w:tcPr>
                <w:p w14:paraId="01BED9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M</w:t>
                  </w:r>
                </w:p>
              </w:tc>
              <w:tc>
                <w:tcPr>
                  <w:tcW w:w="524" w:type="dxa"/>
                  <w:noWrap w:val="0"/>
                  <w:vAlign w:val="center"/>
                </w:tcPr>
                <w:p w14:paraId="378B59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P</w:t>
                  </w:r>
                </w:p>
              </w:tc>
              <w:tc>
                <w:tcPr>
                  <w:tcW w:w="378" w:type="dxa"/>
                  <w:noWrap w:val="0"/>
                  <w:vAlign w:val="center"/>
                </w:tcPr>
                <w:p w14:paraId="5BD7C1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D</w:t>
                  </w:r>
                </w:p>
              </w:tc>
              <w:tc>
                <w:tcPr>
                  <w:tcW w:w="507" w:type="dxa"/>
                  <w:noWrap w:val="0"/>
                  <w:vAlign w:val="center"/>
                </w:tcPr>
                <w:p w14:paraId="2BF709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H</w:t>
                  </w:r>
                </w:p>
              </w:tc>
              <w:tc>
                <w:tcPr>
                  <w:tcW w:w="518" w:type="dxa"/>
                  <w:noWrap w:val="0"/>
                  <w:vAlign w:val="center"/>
                </w:tcPr>
                <w:p w14:paraId="4D06A9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△T</w:t>
                  </w:r>
                </w:p>
              </w:tc>
              <w:tc>
                <w:tcPr>
                  <w:tcW w:w="478" w:type="dxa"/>
                  <w:noWrap w:val="0"/>
                  <w:vAlign w:val="center"/>
                </w:tcPr>
                <w:p w14:paraId="63F71D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F</w:t>
                  </w:r>
                  <w:r>
                    <w:rPr>
                      <w:rFonts w:hint="default" w:ascii="Times New Roman" w:hAnsi="Times New Roman" w:eastAsia="宋体" w:cs="Times New Roman"/>
                      <w:b/>
                      <w:bCs/>
                      <w:caps w:val="0"/>
                      <w:smallCaps w:val="0"/>
                      <w:color w:val="auto"/>
                      <w:spacing w:val="0"/>
                      <w:kern w:val="0"/>
                      <w:position w:val="0"/>
                      <w:sz w:val="18"/>
                      <w:szCs w:val="18"/>
                      <w:vertAlign w:val="subscript"/>
                      <w:lang w:val="en-US" w:eastAsia="zh-CN"/>
                    </w:rPr>
                    <w:t>P</w:t>
                  </w:r>
                </w:p>
              </w:tc>
              <w:tc>
                <w:tcPr>
                  <w:tcW w:w="518" w:type="dxa"/>
                  <w:noWrap w:val="0"/>
                  <w:vAlign w:val="center"/>
                </w:tcPr>
                <w:p w14:paraId="5DEFC0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C</w:t>
                  </w:r>
                </w:p>
              </w:tc>
              <w:tc>
                <w:tcPr>
                  <w:tcW w:w="445" w:type="dxa"/>
                  <w:noWrap w:val="0"/>
                  <w:vAlign w:val="center"/>
                </w:tcPr>
                <w:p w14:paraId="6F6D58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K</w:t>
                  </w:r>
                  <w:r>
                    <w:rPr>
                      <w:rFonts w:hint="default" w:ascii="Times New Roman" w:hAnsi="Times New Roman" w:eastAsia="宋体" w:cs="Times New Roman"/>
                      <w:b/>
                      <w:bCs/>
                      <w:caps w:val="0"/>
                      <w:smallCaps w:val="0"/>
                      <w:color w:val="auto"/>
                      <w:spacing w:val="0"/>
                      <w:kern w:val="0"/>
                      <w:position w:val="0"/>
                      <w:sz w:val="18"/>
                      <w:szCs w:val="18"/>
                      <w:vertAlign w:val="subscript"/>
                      <w:lang w:val="en-US" w:eastAsia="zh-CN"/>
                    </w:rPr>
                    <w:t>C</w:t>
                  </w:r>
                </w:p>
              </w:tc>
              <w:tc>
                <w:tcPr>
                  <w:tcW w:w="429" w:type="dxa"/>
                  <w:noWrap w:val="0"/>
                  <w:vAlign w:val="center"/>
                </w:tcPr>
                <w:p w14:paraId="5B0CDF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Kn</w:t>
                  </w:r>
                </w:p>
              </w:tc>
              <w:tc>
                <w:tcPr>
                  <w:tcW w:w="840" w:type="dxa"/>
                  <w:noWrap w:val="0"/>
                  <w:vAlign w:val="center"/>
                </w:tcPr>
                <w:p w14:paraId="7F1C61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LB（kg/a）</w:t>
                  </w:r>
                </w:p>
              </w:tc>
              <w:tc>
                <w:tcPr>
                  <w:tcW w:w="502" w:type="dxa"/>
                  <w:noWrap w:val="0"/>
                  <w:vAlign w:val="center"/>
                </w:tcPr>
                <w:p w14:paraId="2C3F8F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LW</w:t>
                  </w:r>
                </w:p>
              </w:tc>
              <w:tc>
                <w:tcPr>
                  <w:tcW w:w="794" w:type="dxa"/>
                  <w:noWrap w:val="0"/>
                  <w:vAlign w:val="center"/>
                </w:tcPr>
                <w:p w14:paraId="11A38C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总体积</w:t>
                  </w:r>
                  <w:r>
                    <w:rPr>
                      <w:rFonts w:hint="eastAsia" w:cs="Times New Roman"/>
                      <w:b/>
                      <w:bCs/>
                      <w:caps w:val="0"/>
                      <w:smallCaps w:val="0"/>
                      <w:color w:val="auto"/>
                      <w:spacing w:val="0"/>
                      <w:kern w:val="0"/>
                      <w:position w:val="0"/>
                      <w:sz w:val="18"/>
                      <w:szCs w:val="18"/>
                      <w:vertAlign w:val="baseline"/>
                      <w:lang w:val="en-US" w:eastAsia="zh-CN"/>
                    </w:rPr>
                    <w:t>V（m</w:t>
                  </w:r>
                  <w:r>
                    <w:rPr>
                      <w:rFonts w:hint="eastAsia" w:cs="Times New Roman"/>
                      <w:b/>
                      <w:bCs/>
                      <w:caps w:val="0"/>
                      <w:smallCaps w:val="0"/>
                      <w:color w:val="auto"/>
                      <w:spacing w:val="0"/>
                      <w:kern w:val="0"/>
                      <w:position w:val="0"/>
                      <w:sz w:val="18"/>
                      <w:szCs w:val="18"/>
                      <w:vertAlign w:val="superscript"/>
                      <w:lang w:val="en-US" w:eastAsia="zh-CN"/>
                    </w:rPr>
                    <w:t>3</w:t>
                  </w:r>
                  <w:r>
                    <w:rPr>
                      <w:rFonts w:hint="eastAsia" w:cs="Times New Roman"/>
                      <w:b/>
                      <w:bCs/>
                      <w:caps w:val="0"/>
                      <w:smallCaps w:val="0"/>
                      <w:color w:val="auto"/>
                      <w:spacing w:val="0"/>
                      <w:kern w:val="0"/>
                      <w:position w:val="0"/>
                      <w:sz w:val="18"/>
                      <w:szCs w:val="18"/>
                      <w:vertAlign w:val="baseline"/>
                      <w:lang w:val="en-US" w:eastAsia="zh-CN"/>
                    </w:rPr>
                    <w:t>）</w:t>
                  </w:r>
                </w:p>
              </w:tc>
              <w:tc>
                <w:tcPr>
                  <w:tcW w:w="994" w:type="dxa"/>
                  <w:noWrap w:val="0"/>
                  <w:vAlign w:val="center"/>
                </w:tcPr>
                <w:p w14:paraId="6AE330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t>大呼吸量（kg/a）</w:t>
                  </w:r>
                </w:p>
              </w:tc>
            </w:tr>
            <w:tr w14:paraId="3AFE9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470" w:type="dxa"/>
                  <w:noWrap w:val="0"/>
                  <w:vAlign w:val="center"/>
                </w:tcPr>
                <w:p w14:paraId="2C96B2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caps w:val="0"/>
                      <w:smallCaps w:val="0"/>
                      <w:color w:val="auto"/>
                      <w:spacing w:val="0"/>
                      <w:kern w:val="0"/>
                      <w:position w:val="0"/>
                      <w:sz w:val="18"/>
                      <w:szCs w:val="18"/>
                      <w:vertAlign w:val="baseline"/>
                      <w:lang w:val="en-US" w:eastAsia="zh-CN"/>
                    </w:rPr>
                    <w:t>1</w:t>
                  </w:r>
                </w:p>
              </w:tc>
              <w:tc>
                <w:tcPr>
                  <w:tcW w:w="597" w:type="dxa"/>
                  <w:noWrap w:val="0"/>
                  <w:vAlign w:val="center"/>
                </w:tcPr>
                <w:p w14:paraId="57CC8B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w w:val="100"/>
                      <w:position w:val="0"/>
                      <w:sz w:val="18"/>
                      <w:szCs w:val="18"/>
                      <w:lang w:val="en-US" w:eastAsia="zh-CN"/>
                    </w:rPr>
                    <w:t>中转油罐</w:t>
                  </w:r>
                </w:p>
              </w:tc>
              <w:tc>
                <w:tcPr>
                  <w:tcW w:w="566" w:type="dxa"/>
                  <w:vMerge w:val="restart"/>
                  <w:noWrap w:val="0"/>
                  <w:vAlign w:val="center"/>
                </w:tcPr>
                <w:p w14:paraId="51DAF3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ascii="Times New Roman" w:hAnsi="Times New Roman" w:eastAsia="宋体" w:cs="Times New Roman"/>
                      <w:caps w:val="0"/>
                      <w:smallCaps w:val="0"/>
                      <w:color w:val="auto"/>
                      <w:spacing w:val="0"/>
                      <w:kern w:val="0"/>
                      <w:position w:val="0"/>
                      <w:sz w:val="18"/>
                      <w:szCs w:val="18"/>
                      <w:vertAlign w:val="baseline"/>
                      <w:lang w:val="en-US" w:eastAsia="zh-CN"/>
                    </w:rPr>
                    <w:t>热解油</w:t>
                  </w:r>
                </w:p>
              </w:tc>
              <w:tc>
                <w:tcPr>
                  <w:tcW w:w="492" w:type="dxa"/>
                  <w:noWrap w:val="0"/>
                  <w:vAlign w:val="center"/>
                </w:tcPr>
                <w:p w14:paraId="30892E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ascii="Times New Roman" w:hAnsi="Times New Roman" w:eastAsia="宋体" w:cs="Times New Roman"/>
                      <w:caps w:val="0"/>
                      <w:smallCaps w:val="0"/>
                      <w:color w:val="auto"/>
                      <w:spacing w:val="0"/>
                      <w:kern w:val="0"/>
                      <w:position w:val="0"/>
                      <w:sz w:val="18"/>
                      <w:szCs w:val="18"/>
                      <w:vertAlign w:val="baseline"/>
                      <w:lang w:val="en-US" w:eastAsia="zh-CN"/>
                    </w:rPr>
                    <w:t>170</w:t>
                  </w:r>
                </w:p>
              </w:tc>
              <w:tc>
                <w:tcPr>
                  <w:tcW w:w="524" w:type="dxa"/>
                  <w:noWrap w:val="0"/>
                  <w:vAlign w:val="center"/>
                </w:tcPr>
                <w:p w14:paraId="000A9C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kern w:val="0"/>
                      <w:position w:val="0"/>
                      <w:sz w:val="18"/>
                      <w:szCs w:val="18"/>
                      <w:vertAlign w:val="baseline"/>
                      <w:lang w:val="en-US" w:eastAsia="zh-CN"/>
                    </w:rPr>
                    <w:t>300</w:t>
                  </w:r>
                </w:p>
              </w:tc>
              <w:tc>
                <w:tcPr>
                  <w:tcW w:w="378" w:type="dxa"/>
                  <w:noWrap w:val="0"/>
                  <w:vAlign w:val="center"/>
                </w:tcPr>
                <w:p w14:paraId="477F47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kern w:val="0"/>
                      <w:position w:val="0"/>
                      <w:sz w:val="18"/>
                      <w:szCs w:val="18"/>
                      <w:vertAlign w:val="baseline"/>
                      <w:lang w:val="en-US" w:eastAsia="zh-CN"/>
                    </w:rPr>
                    <w:t>1.4</w:t>
                  </w:r>
                </w:p>
              </w:tc>
              <w:tc>
                <w:tcPr>
                  <w:tcW w:w="507" w:type="dxa"/>
                  <w:noWrap w:val="0"/>
                  <w:vAlign w:val="center"/>
                </w:tcPr>
                <w:p w14:paraId="1CB247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kern w:val="0"/>
                      <w:position w:val="0"/>
                      <w:sz w:val="18"/>
                      <w:szCs w:val="18"/>
                      <w:vertAlign w:val="baseline"/>
                      <w:lang w:val="en-US" w:eastAsia="zh-CN"/>
                    </w:rPr>
                    <w:t>4.5</w:t>
                  </w:r>
                </w:p>
              </w:tc>
              <w:tc>
                <w:tcPr>
                  <w:tcW w:w="518" w:type="dxa"/>
                  <w:noWrap w:val="0"/>
                  <w:vAlign w:val="center"/>
                </w:tcPr>
                <w:p w14:paraId="38E60A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caps w:val="0"/>
                      <w:smallCaps w:val="0"/>
                      <w:color w:val="auto"/>
                      <w:spacing w:val="0"/>
                      <w:kern w:val="0"/>
                      <w:position w:val="0"/>
                      <w:sz w:val="18"/>
                      <w:szCs w:val="18"/>
                      <w:vertAlign w:val="baseline"/>
                      <w:lang w:val="en-US" w:eastAsia="zh-CN"/>
                    </w:rPr>
                    <w:t>10</w:t>
                  </w:r>
                </w:p>
              </w:tc>
              <w:tc>
                <w:tcPr>
                  <w:tcW w:w="478" w:type="dxa"/>
                  <w:noWrap w:val="0"/>
                  <w:vAlign w:val="center"/>
                </w:tcPr>
                <w:p w14:paraId="142BD7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caps w:val="0"/>
                      <w:smallCaps w:val="0"/>
                      <w:color w:val="auto"/>
                      <w:spacing w:val="0"/>
                      <w:kern w:val="0"/>
                      <w:position w:val="0"/>
                      <w:sz w:val="18"/>
                      <w:szCs w:val="18"/>
                      <w:vertAlign w:val="baseline"/>
                      <w:lang w:val="en-US" w:eastAsia="zh-CN"/>
                    </w:rPr>
                    <w:t>1.2</w:t>
                  </w:r>
                </w:p>
              </w:tc>
              <w:tc>
                <w:tcPr>
                  <w:tcW w:w="518" w:type="dxa"/>
                  <w:noWrap w:val="0"/>
                  <w:vAlign w:val="center"/>
                </w:tcPr>
                <w:p w14:paraId="3A325A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caps w:val="0"/>
                      <w:smallCaps w:val="0"/>
                      <w:color w:val="auto"/>
                      <w:spacing w:val="0"/>
                      <w:kern w:val="0"/>
                      <w:position w:val="0"/>
                      <w:sz w:val="18"/>
                      <w:szCs w:val="18"/>
                      <w:vertAlign w:val="baseline"/>
                      <w:lang w:val="en-US" w:eastAsia="zh-CN"/>
                    </w:rPr>
                    <w:t>0.</w:t>
                  </w:r>
                  <w:r>
                    <w:rPr>
                      <w:rFonts w:hint="eastAsia" w:ascii="Times New Roman" w:hAnsi="Times New Roman" w:eastAsia="宋体" w:cs="Times New Roman"/>
                      <w:caps w:val="0"/>
                      <w:smallCaps w:val="0"/>
                      <w:color w:val="auto"/>
                      <w:spacing w:val="0"/>
                      <w:kern w:val="0"/>
                      <w:position w:val="0"/>
                      <w:sz w:val="18"/>
                      <w:szCs w:val="18"/>
                      <w:vertAlign w:val="baseline"/>
                      <w:lang w:val="en-US" w:eastAsia="zh-CN"/>
                    </w:rPr>
                    <w:t>29</w:t>
                  </w:r>
                </w:p>
              </w:tc>
              <w:tc>
                <w:tcPr>
                  <w:tcW w:w="445" w:type="dxa"/>
                  <w:noWrap w:val="0"/>
                  <w:vAlign w:val="center"/>
                </w:tcPr>
                <w:p w14:paraId="646239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caps w:val="0"/>
                      <w:smallCaps w:val="0"/>
                      <w:color w:val="auto"/>
                      <w:spacing w:val="0"/>
                      <w:kern w:val="0"/>
                      <w:position w:val="0"/>
                      <w:sz w:val="18"/>
                      <w:szCs w:val="18"/>
                      <w:vertAlign w:val="baseline"/>
                      <w:lang w:val="en-US" w:eastAsia="zh-CN"/>
                    </w:rPr>
                    <w:t>1.0</w:t>
                  </w:r>
                </w:p>
              </w:tc>
              <w:tc>
                <w:tcPr>
                  <w:tcW w:w="429" w:type="dxa"/>
                  <w:noWrap w:val="0"/>
                  <w:vAlign w:val="center"/>
                </w:tcPr>
                <w:p w14:paraId="1E2BF7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kern w:val="0"/>
                      <w:position w:val="0"/>
                      <w:sz w:val="18"/>
                      <w:szCs w:val="18"/>
                      <w:vertAlign w:val="baseline"/>
                      <w:lang w:val="en-US" w:eastAsia="zh-CN"/>
                    </w:rPr>
                    <w:t>0.26</w:t>
                  </w:r>
                </w:p>
              </w:tc>
              <w:tc>
                <w:tcPr>
                  <w:tcW w:w="840" w:type="dxa"/>
                  <w:noWrap w:val="0"/>
                  <w:vAlign w:val="center"/>
                </w:tcPr>
                <w:p w14:paraId="508FE0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kern w:val="0"/>
                      <w:position w:val="0"/>
                      <w:sz w:val="18"/>
                      <w:szCs w:val="18"/>
                      <w:vertAlign w:val="baseline"/>
                      <w:lang w:val="en-US" w:eastAsia="zh-CN"/>
                    </w:rPr>
                    <w:t>2.35</w:t>
                  </w:r>
                </w:p>
              </w:tc>
              <w:tc>
                <w:tcPr>
                  <w:tcW w:w="502" w:type="dxa"/>
                  <w:noWrap w:val="0"/>
                  <w:vAlign w:val="center"/>
                </w:tcPr>
                <w:p w14:paraId="5267C88C">
                  <w:pPr>
                    <w:keepNext w:val="0"/>
                    <w:keepLines w:val="0"/>
                    <w:widowControl/>
                    <w:suppressLineNumbers w:val="0"/>
                    <w:jc w:val="center"/>
                    <w:textAlignment w:val="center"/>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0.00555 </w:t>
                  </w:r>
                </w:p>
              </w:tc>
              <w:tc>
                <w:tcPr>
                  <w:tcW w:w="794" w:type="dxa"/>
                  <w:noWrap w:val="0"/>
                  <w:vAlign w:val="center"/>
                </w:tcPr>
                <w:p w14:paraId="263A2801">
                  <w:pPr>
                    <w:keepNext w:val="0"/>
                    <w:keepLines w:val="0"/>
                    <w:widowControl/>
                    <w:suppressLineNumbers w:val="0"/>
                    <w:jc w:val="center"/>
                    <w:textAlignment w:val="center"/>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i w:val="0"/>
                      <w:iCs w:val="0"/>
                      <w:color w:val="000000"/>
                      <w:kern w:val="0"/>
                      <w:sz w:val="18"/>
                      <w:szCs w:val="18"/>
                      <w:u w:val="none"/>
                      <w:lang w:val="en-US" w:eastAsia="zh-CN" w:bidi="ar"/>
                    </w:rPr>
                    <w:t>1350</w:t>
                  </w:r>
                </w:p>
              </w:tc>
              <w:tc>
                <w:tcPr>
                  <w:tcW w:w="994" w:type="dxa"/>
                  <w:noWrap w:val="0"/>
                  <w:vAlign w:val="center"/>
                </w:tcPr>
                <w:p w14:paraId="7F11049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 xml:space="preserve">7.50 </w:t>
                  </w:r>
                </w:p>
              </w:tc>
            </w:tr>
            <w:tr w14:paraId="5D16A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470" w:type="dxa"/>
                  <w:noWrap w:val="0"/>
                  <w:vAlign w:val="center"/>
                </w:tcPr>
                <w:p w14:paraId="790E48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kern w:val="0"/>
                      <w:position w:val="0"/>
                      <w:sz w:val="18"/>
                      <w:szCs w:val="18"/>
                      <w:vertAlign w:val="baseline"/>
                      <w:lang w:val="en-US" w:eastAsia="zh-CN"/>
                    </w:rPr>
                    <w:t>2</w:t>
                  </w:r>
                </w:p>
              </w:tc>
              <w:tc>
                <w:tcPr>
                  <w:tcW w:w="597" w:type="dxa"/>
                  <w:noWrap w:val="0"/>
                  <w:vAlign w:val="center"/>
                </w:tcPr>
                <w:p w14:paraId="1DEA19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kern w:val="0"/>
                      <w:position w:val="0"/>
                      <w:sz w:val="18"/>
                      <w:szCs w:val="18"/>
                      <w:vertAlign w:val="baseline"/>
                      <w:lang w:val="en-US" w:eastAsia="zh-CN"/>
                    </w:rPr>
                    <w:t>储油罐</w:t>
                  </w:r>
                </w:p>
              </w:tc>
              <w:tc>
                <w:tcPr>
                  <w:tcW w:w="566" w:type="dxa"/>
                  <w:vMerge w:val="continue"/>
                  <w:noWrap w:val="0"/>
                  <w:vAlign w:val="center"/>
                </w:tcPr>
                <w:p w14:paraId="364AE0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p>
              </w:tc>
              <w:tc>
                <w:tcPr>
                  <w:tcW w:w="492" w:type="dxa"/>
                  <w:shd w:val="clear" w:color="auto" w:fill="auto"/>
                  <w:noWrap w:val="0"/>
                  <w:vAlign w:val="center"/>
                </w:tcPr>
                <w:p w14:paraId="01E239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bidi="ar-SA"/>
                    </w:rPr>
                  </w:pPr>
                  <w:r>
                    <w:rPr>
                      <w:rFonts w:hint="eastAsia" w:ascii="Times New Roman" w:hAnsi="Times New Roman" w:eastAsia="宋体" w:cs="Times New Roman"/>
                      <w:caps w:val="0"/>
                      <w:smallCaps w:val="0"/>
                      <w:color w:val="auto"/>
                      <w:spacing w:val="0"/>
                      <w:kern w:val="0"/>
                      <w:position w:val="0"/>
                      <w:sz w:val="18"/>
                      <w:szCs w:val="18"/>
                      <w:vertAlign w:val="baseline"/>
                      <w:lang w:val="en-US" w:eastAsia="zh-CN"/>
                    </w:rPr>
                    <w:t>170</w:t>
                  </w:r>
                </w:p>
              </w:tc>
              <w:tc>
                <w:tcPr>
                  <w:tcW w:w="524" w:type="dxa"/>
                  <w:shd w:val="clear" w:color="auto" w:fill="auto"/>
                  <w:noWrap w:val="0"/>
                  <w:vAlign w:val="center"/>
                </w:tcPr>
                <w:p w14:paraId="018FE0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bidi="ar-SA"/>
                    </w:rPr>
                  </w:pPr>
                  <w:r>
                    <w:rPr>
                      <w:rFonts w:hint="eastAsia" w:cs="Times New Roman"/>
                      <w:caps w:val="0"/>
                      <w:smallCaps w:val="0"/>
                      <w:color w:val="auto"/>
                      <w:spacing w:val="0"/>
                      <w:kern w:val="0"/>
                      <w:position w:val="0"/>
                      <w:sz w:val="18"/>
                      <w:szCs w:val="18"/>
                      <w:vertAlign w:val="baseline"/>
                      <w:lang w:val="en-US" w:eastAsia="zh-CN"/>
                    </w:rPr>
                    <w:t>300</w:t>
                  </w:r>
                </w:p>
              </w:tc>
              <w:tc>
                <w:tcPr>
                  <w:tcW w:w="378" w:type="dxa"/>
                  <w:shd w:val="clear" w:color="auto" w:fill="auto"/>
                  <w:noWrap w:val="0"/>
                  <w:vAlign w:val="center"/>
                </w:tcPr>
                <w:p w14:paraId="699F06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aps w:val="0"/>
                      <w:smallCaps w:val="0"/>
                      <w:color w:val="auto"/>
                      <w:spacing w:val="0"/>
                      <w:kern w:val="0"/>
                      <w:position w:val="0"/>
                      <w:sz w:val="18"/>
                      <w:szCs w:val="18"/>
                      <w:vertAlign w:val="baseline"/>
                      <w:lang w:val="en-US" w:eastAsia="zh-CN" w:bidi="ar-SA"/>
                    </w:rPr>
                  </w:pPr>
                  <w:r>
                    <w:rPr>
                      <w:rFonts w:hint="eastAsia" w:cs="Times New Roman"/>
                      <w:caps w:val="0"/>
                      <w:smallCaps w:val="0"/>
                      <w:color w:val="auto"/>
                      <w:spacing w:val="0"/>
                      <w:kern w:val="0"/>
                      <w:position w:val="0"/>
                      <w:sz w:val="18"/>
                      <w:szCs w:val="18"/>
                      <w:vertAlign w:val="baseline"/>
                      <w:lang w:val="en-US" w:eastAsia="zh-CN"/>
                    </w:rPr>
                    <w:t>3</w:t>
                  </w:r>
                </w:p>
              </w:tc>
              <w:tc>
                <w:tcPr>
                  <w:tcW w:w="507" w:type="dxa"/>
                  <w:shd w:val="clear" w:color="auto" w:fill="auto"/>
                  <w:noWrap w:val="0"/>
                  <w:vAlign w:val="center"/>
                </w:tcPr>
                <w:p w14:paraId="7D259F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bidi="ar-SA"/>
                    </w:rPr>
                  </w:pPr>
                  <w:r>
                    <w:rPr>
                      <w:rFonts w:hint="eastAsia" w:cs="Times New Roman"/>
                      <w:caps w:val="0"/>
                      <w:smallCaps w:val="0"/>
                      <w:color w:val="auto"/>
                      <w:spacing w:val="0"/>
                      <w:kern w:val="0"/>
                      <w:position w:val="0"/>
                      <w:sz w:val="18"/>
                      <w:szCs w:val="18"/>
                      <w:vertAlign w:val="baseline"/>
                      <w:lang w:val="en-US" w:eastAsia="zh-CN"/>
                    </w:rPr>
                    <w:t>7.5</w:t>
                  </w:r>
                </w:p>
              </w:tc>
              <w:tc>
                <w:tcPr>
                  <w:tcW w:w="518" w:type="dxa"/>
                  <w:shd w:val="clear" w:color="auto" w:fill="auto"/>
                  <w:noWrap w:val="0"/>
                  <w:vAlign w:val="center"/>
                </w:tcPr>
                <w:p w14:paraId="0E2C94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caps w:val="0"/>
                      <w:smallCaps w:val="0"/>
                      <w:color w:val="auto"/>
                      <w:spacing w:val="0"/>
                      <w:kern w:val="0"/>
                      <w:position w:val="0"/>
                      <w:sz w:val="18"/>
                      <w:szCs w:val="18"/>
                      <w:vertAlign w:val="baseline"/>
                      <w:lang w:val="en-US" w:eastAsia="zh-CN"/>
                    </w:rPr>
                    <w:t>10</w:t>
                  </w:r>
                </w:p>
              </w:tc>
              <w:tc>
                <w:tcPr>
                  <w:tcW w:w="478" w:type="dxa"/>
                  <w:shd w:val="clear" w:color="auto" w:fill="auto"/>
                  <w:noWrap w:val="0"/>
                  <w:vAlign w:val="center"/>
                </w:tcPr>
                <w:p w14:paraId="4A4D5F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caps w:val="0"/>
                      <w:smallCaps w:val="0"/>
                      <w:color w:val="auto"/>
                      <w:spacing w:val="0"/>
                      <w:kern w:val="0"/>
                      <w:position w:val="0"/>
                      <w:sz w:val="18"/>
                      <w:szCs w:val="18"/>
                      <w:vertAlign w:val="baseline"/>
                      <w:lang w:val="en-US" w:eastAsia="zh-CN"/>
                    </w:rPr>
                    <w:t>1.2</w:t>
                  </w:r>
                </w:p>
              </w:tc>
              <w:tc>
                <w:tcPr>
                  <w:tcW w:w="518" w:type="dxa"/>
                  <w:shd w:val="clear" w:color="auto" w:fill="auto"/>
                  <w:noWrap w:val="0"/>
                  <w:vAlign w:val="center"/>
                </w:tcPr>
                <w:p w14:paraId="4A51A0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caps w:val="0"/>
                      <w:smallCaps w:val="0"/>
                      <w:color w:val="auto"/>
                      <w:spacing w:val="0"/>
                      <w:kern w:val="0"/>
                      <w:position w:val="0"/>
                      <w:sz w:val="18"/>
                      <w:szCs w:val="18"/>
                      <w:vertAlign w:val="baseline"/>
                      <w:lang w:val="en-US" w:eastAsia="zh-CN"/>
                    </w:rPr>
                    <w:t>0.</w:t>
                  </w:r>
                  <w:r>
                    <w:rPr>
                      <w:rFonts w:hint="eastAsia" w:ascii="Times New Roman" w:hAnsi="Times New Roman" w:eastAsia="宋体" w:cs="Times New Roman"/>
                      <w:caps w:val="0"/>
                      <w:smallCaps w:val="0"/>
                      <w:color w:val="auto"/>
                      <w:spacing w:val="0"/>
                      <w:kern w:val="0"/>
                      <w:position w:val="0"/>
                      <w:sz w:val="18"/>
                      <w:szCs w:val="18"/>
                      <w:vertAlign w:val="baseline"/>
                      <w:lang w:val="en-US" w:eastAsia="zh-CN"/>
                    </w:rPr>
                    <w:t>56</w:t>
                  </w:r>
                </w:p>
              </w:tc>
              <w:tc>
                <w:tcPr>
                  <w:tcW w:w="445" w:type="dxa"/>
                  <w:shd w:val="clear" w:color="auto" w:fill="auto"/>
                  <w:noWrap w:val="0"/>
                  <w:vAlign w:val="center"/>
                </w:tcPr>
                <w:p w14:paraId="0F73AC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bidi="ar-SA"/>
                    </w:rPr>
                  </w:pPr>
                  <w:r>
                    <w:rPr>
                      <w:rFonts w:hint="default" w:ascii="Times New Roman" w:hAnsi="Times New Roman" w:eastAsia="宋体" w:cs="Times New Roman"/>
                      <w:caps w:val="0"/>
                      <w:smallCaps w:val="0"/>
                      <w:color w:val="auto"/>
                      <w:spacing w:val="0"/>
                      <w:kern w:val="0"/>
                      <w:position w:val="0"/>
                      <w:sz w:val="18"/>
                      <w:szCs w:val="18"/>
                      <w:vertAlign w:val="baseline"/>
                      <w:lang w:val="en-US" w:eastAsia="zh-CN"/>
                    </w:rPr>
                    <w:t>1.0</w:t>
                  </w:r>
                </w:p>
              </w:tc>
              <w:tc>
                <w:tcPr>
                  <w:tcW w:w="429" w:type="dxa"/>
                  <w:noWrap w:val="0"/>
                  <w:vAlign w:val="center"/>
                </w:tcPr>
                <w:p w14:paraId="5C99AA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kern w:val="0"/>
                      <w:position w:val="0"/>
                      <w:sz w:val="18"/>
                      <w:szCs w:val="18"/>
                      <w:vertAlign w:val="baseline"/>
                      <w:lang w:val="en-US" w:eastAsia="zh-CN"/>
                    </w:rPr>
                    <w:t>1</w:t>
                  </w:r>
                </w:p>
              </w:tc>
              <w:tc>
                <w:tcPr>
                  <w:tcW w:w="840" w:type="dxa"/>
                  <w:noWrap w:val="0"/>
                  <w:vAlign w:val="center"/>
                </w:tcPr>
                <w:p w14:paraId="326EE3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eastAsia" w:cs="Times New Roman"/>
                      <w:caps w:val="0"/>
                      <w:smallCaps w:val="0"/>
                      <w:color w:val="auto"/>
                      <w:spacing w:val="0"/>
                      <w:kern w:val="0"/>
                      <w:position w:val="0"/>
                      <w:sz w:val="18"/>
                      <w:szCs w:val="18"/>
                      <w:vertAlign w:val="baseline"/>
                      <w:lang w:val="en-US" w:eastAsia="zh-CN"/>
                    </w:rPr>
                    <w:t>22.04</w:t>
                  </w:r>
                </w:p>
              </w:tc>
              <w:tc>
                <w:tcPr>
                  <w:tcW w:w="502" w:type="dxa"/>
                  <w:noWrap w:val="0"/>
                  <w:vAlign w:val="center"/>
                </w:tcPr>
                <w:p w14:paraId="4F845285">
                  <w:pPr>
                    <w:keepNext w:val="0"/>
                    <w:keepLines w:val="0"/>
                    <w:widowControl/>
                    <w:suppressLineNumbers w:val="0"/>
                    <w:jc w:val="center"/>
                    <w:textAlignment w:val="center"/>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0.02136 </w:t>
                  </w:r>
                </w:p>
              </w:tc>
              <w:tc>
                <w:tcPr>
                  <w:tcW w:w="794" w:type="dxa"/>
                  <w:noWrap w:val="0"/>
                  <w:vAlign w:val="center"/>
                </w:tcPr>
                <w:p w14:paraId="12808F6A">
                  <w:pPr>
                    <w:keepNext w:val="0"/>
                    <w:keepLines w:val="0"/>
                    <w:widowControl/>
                    <w:suppressLineNumbers w:val="0"/>
                    <w:jc w:val="center"/>
                    <w:textAlignment w:val="center"/>
                    <w:rPr>
                      <w:rFonts w:hint="default" w:ascii="Times New Roman" w:hAnsi="Times New Roman" w:eastAsia="宋体" w:cs="Times New Roman"/>
                      <w:caps w:val="0"/>
                      <w:smallCaps w:val="0"/>
                      <w:color w:val="auto"/>
                      <w:spacing w:val="0"/>
                      <w:kern w:val="0"/>
                      <w:position w:val="0"/>
                      <w:sz w:val="18"/>
                      <w:szCs w:val="18"/>
                      <w:vertAlign w:val="baseline"/>
                      <w:lang w:val="en-US" w:eastAsia="zh-CN"/>
                    </w:rPr>
                  </w:pPr>
                  <w:r>
                    <w:rPr>
                      <w:rFonts w:hint="default" w:ascii="Times New Roman" w:hAnsi="Times New Roman" w:eastAsia="宋体" w:cs="Times New Roman"/>
                      <w:i w:val="0"/>
                      <w:iCs w:val="0"/>
                      <w:color w:val="000000"/>
                      <w:kern w:val="0"/>
                      <w:sz w:val="18"/>
                      <w:szCs w:val="18"/>
                      <w:u w:val="none"/>
                      <w:lang w:val="en-US" w:eastAsia="zh-CN" w:bidi="ar"/>
                    </w:rPr>
                    <w:t>1350</w:t>
                  </w:r>
                </w:p>
              </w:tc>
              <w:tc>
                <w:tcPr>
                  <w:tcW w:w="994" w:type="dxa"/>
                  <w:noWrap w:val="0"/>
                  <w:vAlign w:val="center"/>
                </w:tcPr>
                <w:p w14:paraId="6D9AFF9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 xml:space="preserve">28.83 </w:t>
                  </w:r>
                </w:p>
              </w:tc>
            </w:tr>
            <w:tr w14:paraId="7D2E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922" w:type="dxa"/>
                  <w:gridSpan w:val="12"/>
                  <w:noWrap w:val="0"/>
                  <w:vAlign w:val="center"/>
                </w:tcPr>
                <w:p w14:paraId="44B5CA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bCs/>
                      <w:caps w:val="0"/>
                      <w:smallCaps w:val="0"/>
                      <w:color w:val="auto"/>
                      <w:spacing w:val="0"/>
                      <w:kern w:val="0"/>
                      <w:position w:val="0"/>
                      <w:sz w:val="18"/>
                      <w:szCs w:val="18"/>
                      <w:vertAlign w:val="baseline"/>
                      <w:lang w:val="en-US" w:eastAsia="zh-CN"/>
                    </w:rPr>
                  </w:pPr>
                  <w:r>
                    <w:rPr>
                      <w:rFonts w:hint="eastAsia" w:cs="Times New Roman"/>
                      <w:b/>
                      <w:bCs/>
                      <w:caps w:val="0"/>
                      <w:smallCaps w:val="0"/>
                      <w:color w:val="auto"/>
                      <w:spacing w:val="0"/>
                      <w:kern w:val="0"/>
                      <w:position w:val="0"/>
                      <w:sz w:val="18"/>
                      <w:szCs w:val="18"/>
                      <w:vertAlign w:val="baseline"/>
                      <w:lang w:val="en-US" w:eastAsia="zh-CN"/>
                    </w:rPr>
                    <w:t>合计</w:t>
                  </w:r>
                </w:p>
              </w:tc>
              <w:tc>
                <w:tcPr>
                  <w:tcW w:w="840" w:type="dxa"/>
                  <w:noWrap w:val="0"/>
                  <w:vAlign w:val="center"/>
                </w:tcPr>
                <w:p w14:paraId="2B38DE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bCs/>
                      <w:caps w:val="0"/>
                      <w:smallCaps w:val="0"/>
                      <w:color w:val="auto"/>
                      <w:spacing w:val="0"/>
                      <w:kern w:val="0"/>
                      <w:position w:val="0"/>
                      <w:sz w:val="18"/>
                      <w:szCs w:val="18"/>
                      <w:vertAlign w:val="baseline"/>
                      <w:lang w:val="en-US" w:eastAsia="zh-CN"/>
                    </w:rPr>
                  </w:pPr>
                  <w:r>
                    <w:rPr>
                      <w:rFonts w:hint="eastAsia" w:cs="Times New Roman"/>
                      <w:b/>
                      <w:bCs/>
                      <w:caps w:val="0"/>
                      <w:smallCaps w:val="0"/>
                      <w:color w:val="auto"/>
                      <w:spacing w:val="0"/>
                      <w:kern w:val="0"/>
                      <w:position w:val="0"/>
                      <w:sz w:val="18"/>
                      <w:szCs w:val="18"/>
                      <w:vertAlign w:val="baseline"/>
                      <w:lang w:val="en-US" w:eastAsia="zh-CN"/>
                    </w:rPr>
                    <w:t>24.39</w:t>
                  </w:r>
                </w:p>
              </w:tc>
              <w:tc>
                <w:tcPr>
                  <w:tcW w:w="502" w:type="dxa"/>
                  <w:noWrap w:val="0"/>
                  <w:vAlign w:val="center"/>
                </w:tcPr>
                <w:p w14:paraId="13D733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p>
              </w:tc>
              <w:tc>
                <w:tcPr>
                  <w:tcW w:w="794" w:type="dxa"/>
                  <w:noWrap w:val="0"/>
                  <w:vAlign w:val="center"/>
                </w:tcPr>
                <w:p w14:paraId="22258B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p>
              </w:tc>
              <w:tc>
                <w:tcPr>
                  <w:tcW w:w="994" w:type="dxa"/>
                  <w:noWrap w:val="0"/>
                  <w:vAlign w:val="center"/>
                </w:tcPr>
                <w:p w14:paraId="7B7F8D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aps w:val="0"/>
                      <w:smallCaps w:val="0"/>
                      <w:color w:val="auto"/>
                      <w:spacing w:val="0"/>
                      <w:kern w:val="0"/>
                      <w:position w:val="0"/>
                      <w:sz w:val="18"/>
                      <w:szCs w:val="18"/>
                      <w:vertAlign w:val="baseline"/>
                      <w:lang w:val="en-US" w:eastAsia="zh-CN"/>
                    </w:rPr>
                  </w:pPr>
                  <w:r>
                    <w:rPr>
                      <w:rFonts w:hint="eastAsia" w:ascii="Times New Roman" w:hAnsi="Times New Roman" w:eastAsia="宋体" w:cs="Times New Roman"/>
                      <w:b/>
                      <w:bCs/>
                      <w:caps w:val="0"/>
                      <w:smallCaps w:val="0"/>
                      <w:color w:val="auto"/>
                      <w:spacing w:val="0"/>
                      <w:kern w:val="0"/>
                      <w:position w:val="0"/>
                      <w:sz w:val="18"/>
                      <w:szCs w:val="18"/>
                      <w:vertAlign w:val="baseline"/>
                      <w:lang w:val="en-US" w:eastAsia="zh-CN"/>
                    </w:rPr>
                    <w:t>36.3</w:t>
                  </w:r>
                </w:p>
              </w:tc>
            </w:tr>
          </w:tbl>
          <w:p w14:paraId="4FE4BFC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cs="Times New Roman"/>
                <w:caps w:val="0"/>
                <w:smallCaps w:val="0"/>
                <w:color w:val="auto"/>
                <w:spacing w:val="0"/>
                <w:w w:val="100"/>
                <w:position w:val="0"/>
                <w:sz w:val="24"/>
                <w:szCs w:val="24"/>
                <w:lang w:val="en-US" w:eastAsia="zh-CN"/>
              </w:rPr>
            </w:pPr>
            <w:r>
              <w:rPr>
                <w:rFonts w:hint="default" w:ascii="Times New Roman" w:hAnsi="Times New Roman" w:cs="Times New Roman"/>
                <w:b w:val="0"/>
                <w:bCs/>
                <w:caps w:val="0"/>
                <w:smallCaps w:val="0"/>
                <w:color w:val="auto"/>
                <w:spacing w:val="0"/>
                <w:w w:val="100"/>
                <w:kern w:val="0"/>
                <w:position w:val="0"/>
                <w:sz w:val="24"/>
                <w:szCs w:val="24"/>
                <w:lang w:val="en-US" w:eastAsia="zh-CN"/>
              </w:rPr>
              <w:t>根据上表计算，</w:t>
            </w:r>
            <w:r>
              <w:rPr>
                <w:rFonts w:hint="eastAsia" w:cs="Times New Roman"/>
                <w:b w:val="0"/>
                <w:bCs/>
                <w:caps w:val="0"/>
                <w:smallCaps w:val="0"/>
                <w:color w:val="auto"/>
                <w:spacing w:val="0"/>
                <w:w w:val="100"/>
                <w:kern w:val="0"/>
                <w:position w:val="0"/>
                <w:sz w:val="24"/>
                <w:szCs w:val="24"/>
                <w:lang w:val="en-US" w:eastAsia="zh-CN"/>
              </w:rPr>
              <w:t>储油罐</w:t>
            </w:r>
            <w:r>
              <w:rPr>
                <w:rFonts w:hint="default" w:ascii="Times New Roman" w:hAnsi="Times New Roman" w:cs="Times New Roman"/>
                <w:caps w:val="0"/>
                <w:smallCaps w:val="0"/>
                <w:color w:val="auto"/>
                <w:spacing w:val="0"/>
                <w:kern w:val="0"/>
                <w:position w:val="0"/>
                <w:sz w:val="24"/>
                <w:szCs w:val="24"/>
                <w:lang w:val="en-US" w:eastAsia="zh-CN"/>
              </w:rPr>
              <w:t>呼吸量约</w:t>
            </w:r>
            <w:r>
              <w:rPr>
                <w:rFonts w:hint="eastAsia" w:ascii="Times New Roman" w:hAnsi="Times New Roman" w:cs="Times New Roman"/>
                <w:caps w:val="0"/>
                <w:smallCaps w:val="0"/>
                <w:color w:val="auto"/>
                <w:spacing w:val="0"/>
                <w:kern w:val="0"/>
                <w:position w:val="0"/>
                <w:sz w:val="24"/>
                <w:szCs w:val="24"/>
                <w:lang w:val="en-US" w:eastAsia="zh-CN"/>
              </w:rPr>
              <w:t>60.72</w:t>
            </w:r>
            <w:r>
              <w:rPr>
                <w:rFonts w:hint="default" w:ascii="Times New Roman" w:hAnsi="Times New Roman" w:cs="Times New Roman"/>
                <w:caps w:val="0"/>
                <w:smallCaps w:val="0"/>
                <w:color w:val="auto"/>
                <w:spacing w:val="0"/>
                <w:kern w:val="0"/>
                <w:position w:val="0"/>
                <w:sz w:val="24"/>
                <w:szCs w:val="24"/>
                <w:lang w:val="en-US" w:eastAsia="zh-CN"/>
              </w:rPr>
              <w:t>kg/a。</w:t>
            </w:r>
            <w:r>
              <w:rPr>
                <w:rFonts w:hint="eastAsia" w:ascii="Times New Roman" w:hAnsi="Times New Roman" w:cs="Times New Roman"/>
                <w:caps w:val="0"/>
                <w:smallCaps w:val="0"/>
                <w:color w:val="auto"/>
                <w:spacing w:val="0"/>
                <w:kern w:val="0"/>
                <w:position w:val="0"/>
                <w:sz w:val="24"/>
                <w:szCs w:val="24"/>
                <w:lang w:val="en-US" w:eastAsia="zh-CN"/>
              </w:rPr>
              <w:t>1#生产区4个中转油罐呼吸气和厂区总储油罐呼吸气并入1#生产区烟气处理系统，呼吸气量为55.795</w:t>
            </w:r>
            <w:r>
              <w:rPr>
                <w:rFonts w:hint="default" w:ascii="Times New Roman" w:hAnsi="Times New Roman" w:cs="Times New Roman"/>
                <w:caps w:val="0"/>
                <w:smallCaps w:val="0"/>
                <w:color w:val="auto"/>
                <w:spacing w:val="0"/>
                <w:kern w:val="0"/>
                <w:position w:val="0"/>
                <w:sz w:val="24"/>
                <w:szCs w:val="24"/>
                <w:lang w:val="en-US" w:eastAsia="zh-CN"/>
              </w:rPr>
              <w:t>kg/a</w:t>
            </w:r>
            <w:r>
              <w:rPr>
                <w:rFonts w:hint="eastAsia" w:ascii="Times New Roman" w:hAnsi="Times New Roman" w:cs="Times New Roman"/>
                <w:caps w:val="0"/>
                <w:smallCaps w:val="0"/>
                <w:color w:val="auto"/>
                <w:spacing w:val="0"/>
                <w:kern w:val="0"/>
                <w:position w:val="0"/>
                <w:sz w:val="24"/>
                <w:szCs w:val="24"/>
                <w:lang w:val="en-US" w:eastAsia="zh-CN"/>
              </w:rPr>
              <w:t>，2#生产区4个中转油罐呼吸气并入2#生产区烟气处理系统，呼吸气量为4.925</w:t>
            </w:r>
            <w:r>
              <w:rPr>
                <w:rFonts w:hint="default" w:ascii="Times New Roman" w:hAnsi="Times New Roman" w:cs="Times New Roman"/>
                <w:caps w:val="0"/>
                <w:smallCaps w:val="0"/>
                <w:color w:val="auto"/>
                <w:spacing w:val="0"/>
                <w:kern w:val="0"/>
                <w:position w:val="0"/>
                <w:sz w:val="24"/>
                <w:szCs w:val="24"/>
                <w:lang w:val="en-US" w:eastAsia="zh-CN"/>
              </w:rPr>
              <w:t>kg/a</w:t>
            </w:r>
            <w:r>
              <w:rPr>
                <w:rFonts w:hint="eastAsia" w:ascii="Times New Roman" w:hAnsi="Times New Roman" w:cs="Times New Roman"/>
                <w:caps w:val="0"/>
                <w:smallCaps w:val="0"/>
                <w:color w:val="auto"/>
                <w:spacing w:val="0"/>
                <w:kern w:val="0"/>
                <w:position w:val="0"/>
                <w:sz w:val="24"/>
                <w:szCs w:val="24"/>
                <w:lang w:val="en-US" w:eastAsia="zh-CN"/>
              </w:rPr>
              <w:t>。</w:t>
            </w:r>
          </w:p>
          <w:p w14:paraId="75DCDCBC">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综上，</w:t>
            </w:r>
            <w:r>
              <w:rPr>
                <w:rFonts w:hint="eastAsia" w:ascii="Times New Roman" w:hAnsi="Times New Roman" w:eastAsia="宋体" w:cs="Times New Roman"/>
                <w:b w:val="0"/>
                <w:bCs w:val="0"/>
                <w:color w:val="auto"/>
                <w:spacing w:val="0"/>
                <w:kern w:val="10"/>
                <w:position w:val="0"/>
                <w:sz w:val="24"/>
                <w:lang w:val="en-US" w:eastAsia="zh-CN"/>
              </w:rPr>
              <w:t>热解炉尾气、燃烧室不凝气燃烧废气、清洗炉燃烧烟气、烘干炉燃烧烟气污染物产生情况如下：</w:t>
            </w:r>
          </w:p>
          <w:p w14:paraId="1ED75DBE">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eastAsia" w:ascii="Times New Roman" w:hAnsi="Times New Roman" w:eastAsia="宋体" w:cs="Times New Roman"/>
                <w:b/>
                <w:bCs/>
                <w:color w:val="auto"/>
                <w:spacing w:val="0"/>
                <w:kern w:val="10"/>
                <w:position w:val="0"/>
                <w:sz w:val="21"/>
                <w:szCs w:val="21"/>
                <w:lang w:val="en-US" w:eastAsia="zh-CN"/>
              </w:rPr>
            </w:pPr>
            <w:r>
              <w:rPr>
                <w:rFonts w:hint="eastAsia" w:ascii="Times New Roman" w:hAnsi="Times New Roman" w:cs="Times New Roman"/>
                <w:b/>
                <w:bCs/>
                <w:color w:val="auto"/>
                <w:spacing w:val="0"/>
                <w:kern w:val="10"/>
                <w:position w:val="0"/>
                <w:sz w:val="21"/>
                <w:szCs w:val="21"/>
                <w:lang w:val="en-US" w:eastAsia="zh-CN"/>
              </w:rPr>
              <w:t xml:space="preserve">表4-6  </w:t>
            </w:r>
            <w:r>
              <w:rPr>
                <w:rFonts w:hint="eastAsia" w:ascii="Times New Roman" w:hAnsi="Times New Roman" w:eastAsia="宋体" w:cs="Times New Roman"/>
                <w:b/>
                <w:bCs/>
                <w:color w:val="auto"/>
                <w:spacing w:val="0"/>
                <w:kern w:val="10"/>
                <w:position w:val="0"/>
                <w:sz w:val="21"/>
                <w:szCs w:val="21"/>
                <w:lang w:val="en-US" w:eastAsia="zh-CN"/>
              </w:rPr>
              <w:t>热解炉尾气、燃烧室不凝气燃烧废气、清洗炉燃烧烟气、烘干炉燃烧烟气</w:t>
            </w:r>
            <w:r>
              <w:rPr>
                <w:rFonts w:hint="eastAsia" w:cs="Times New Roman"/>
                <w:b/>
                <w:bCs/>
                <w:color w:val="auto"/>
                <w:spacing w:val="0"/>
                <w:kern w:val="10"/>
                <w:position w:val="0"/>
                <w:sz w:val="21"/>
                <w:szCs w:val="21"/>
                <w:lang w:val="en-US" w:eastAsia="zh-CN"/>
              </w:rPr>
              <w:t>、油罐呼吸气</w:t>
            </w:r>
            <w:r>
              <w:rPr>
                <w:rFonts w:hint="eastAsia" w:ascii="Times New Roman" w:hAnsi="Times New Roman" w:eastAsia="宋体" w:cs="Times New Roman"/>
                <w:b/>
                <w:bCs/>
                <w:color w:val="auto"/>
                <w:spacing w:val="0"/>
                <w:kern w:val="10"/>
                <w:position w:val="0"/>
                <w:sz w:val="21"/>
                <w:szCs w:val="21"/>
                <w:lang w:val="en-US" w:eastAsia="zh-CN"/>
              </w:rPr>
              <w:t>污染物产生情况</w:t>
            </w:r>
          </w:p>
          <w:tbl>
            <w:tblPr>
              <w:tblStyle w:val="26"/>
              <w:tblW w:w="8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6"/>
              <w:gridCol w:w="749"/>
              <w:gridCol w:w="1308"/>
              <w:gridCol w:w="1015"/>
              <w:gridCol w:w="809"/>
              <w:gridCol w:w="1042"/>
              <w:gridCol w:w="1146"/>
              <w:gridCol w:w="1248"/>
              <w:gridCol w:w="1063"/>
            </w:tblGrid>
            <w:tr w14:paraId="0A96D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 w:hRule="atLeast"/>
                <w:jc w:val="center"/>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142BE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spacing w:val="0"/>
                      <w:kern w:val="0"/>
                      <w:sz w:val="21"/>
                      <w:szCs w:val="21"/>
                      <w:u w:val="none"/>
                      <w:lang w:val="en-US" w:eastAsia="zh-CN" w:bidi="ar"/>
                    </w:rPr>
                    <w:t>序号</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D952E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spacing w:val="0"/>
                      <w:kern w:val="0"/>
                      <w:sz w:val="21"/>
                      <w:szCs w:val="21"/>
                      <w:u w:val="none"/>
                      <w:lang w:val="en-US" w:eastAsia="zh-CN" w:bidi="ar"/>
                    </w:rPr>
                    <w:t>废气类型</w:t>
                  </w:r>
                </w:p>
              </w:tc>
              <w:tc>
                <w:tcPr>
                  <w:tcW w:w="13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D9F72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spacing w:val="0"/>
                      <w:kern w:val="0"/>
                      <w:sz w:val="21"/>
                      <w:szCs w:val="21"/>
                      <w:u w:val="none"/>
                      <w:lang w:val="en-US" w:eastAsia="zh-CN" w:bidi="ar"/>
                    </w:rPr>
                    <w:t>污染因子</w:t>
                  </w:r>
                </w:p>
              </w:tc>
              <w:tc>
                <w:tcPr>
                  <w:tcW w:w="10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CEA1B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r>
                    <w:rPr>
                      <w:rFonts w:hint="default" w:ascii="Times New Roman" w:hAnsi="Times New Roman" w:eastAsia="宋体" w:cs="Times New Roman"/>
                      <w:b/>
                      <w:bCs/>
                      <w:i w:val="0"/>
                      <w:iCs w:val="0"/>
                      <w:color w:val="000000"/>
                      <w:spacing w:val="0"/>
                      <w:kern w:val="0"/>
                      <w:sz w:val="21"/>
                      <w:szCs w:val="21"/>
                      <w:u w:val="none"/>
                      <w:lang w:val="en-US" w:eastAsia="zh-CN" w:bidi="ar"/>
                    </w:rPr>
                    <w:t>产生量t/a</w:t>
                  </w:r>
                </w:p>
              </w:tc>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5666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r>
                    <w:rPr>
                      <w:rFonts w:hint="default" w:ascii="Times New Roman" w:hAnsi="Times New Roman" w:eastAsia="宋体" w:cs="Times New Roman"/>
                      <w:b/>
                      <w:bCs/>
                      <w:i w:val="0"/>
                      <w:iCs w:val="0"/>
                      <w:color w:val="000000"/>
                      <w:spacing w:val="0"/>
                      <w:kern w:val="0"/>
                      <w:sz w:val="21"/>
                      <w:szCs w:val="21"/>
                      <w:u w:val="none"/>
                      <w:lang w:val="en-US" w:eastAsia="zh-CN" w:bidi="ar"/>
                    </w:rPr>
                    <w:t>收集效率</w:t>
                  </w:r>
                </w:p>
              </w:tc>
              <w:tc>
                <w:tcPr>
                  <w:tcW w:w="34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F10D3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r>
                    <w:rPr>
                      <w:rFonts w:hint="default" w:ascii="Times New Roman" w:hAnsi="Times New Roman" w:eastAsia="宋体" w:cs="Times New Roman"/>
                      <w:b/>
                      <w:bCs/>
                      <w:i w:val="0"/>
                      <w:iCs w:val="0"/>
                      <w:color w:val="000000"/>
                      <w:spacing w:val="0"/>
                      <w:kern w:val="0"/>
                      <w:sz w:val="21"/>
                      <w:szCs w:val="21"/>
                      <w:u w:val="none"/>
                      <w:lang w:val="en-US" w:eastAsia="zh-CN" w:bidi="ar"/>
                    </w:rPr>
                    <w:t>有组织废气产生量</w:t>
                  </w:r>
                </w:p>
              </w:tc>
              <w:tc>
                <w:tcPr>
                  <w:tcW w:w="10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D6DE8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spacing w:val="0"/>
                      <w:kern w:val="0"/>
                      <w:sz w:val="21"/>
                      <w:szCs w:val="21"/>
                      <w:u w:val="none"/>
                      <w:lang w:val="en-US" w:eastAsia="zh-CN" w:bidi="ar"/>
                    </w:rPr>
                    <w:t>无组织废气排放量</w:t>
                  </w:r>
                </w:p>
              </w:tc>
            </w:tr>
            <w:tr w14:paraId="364B1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EA8A8">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A022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000000"/>
                      <w:sz w:val="21"/>
                      <w:szCs w:val="21"/>
                      <w:u w:val="none"/>
                    </w:rPr>
                  </w:pP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F1D4F">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000000"/>
                      <w:sz w:val="21"/>
                      <w:szCs w:val="21"/>
                      <w:u w:val="none"/>
                    </w:rPr>
                  </w:pPr>
                </w:p>
              </w:tc>
              <w:tc>
                <w:tcPr>
                  <w:tcW w:w="1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2CD8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F4F3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44F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r>
                    <w:rPr>
                      <w:rFonts w:hint="default" w:ascii="Times New Roman" w:hAnsi="Times New Roman" w:eastAsia="宋体" w:cs="Times New Roman"/>
                      <w:b/>
                      <w:bCs/>
                      <w:i w:val="0"/>
                      <w:iCs w:val="0"/>
                      <w:color w:val="000000"/>
                      <w:spacing w:val="0"/>
                      <w:kern w:val="0"/>
                      <w:sz w:val="21"/>
                      <w:szCs w:val="21"/>
                      <w:u w:val="none"/>
                      <w:lang w:val="en-US" w:eastAsia="zh-CN" w:bidi="ar"/>
                    </w:rPr>
                    <w:t>合计</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700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r>
                    <w:rPr>
                      <w:rFonts w:hint="default" w:ascii="Times New Roman" w:hAnsi="Times New Roman" w:eastAsia="宋体" w:cs="Times New Roman"/>
                      <w:b/>
                      <w:bCs/>
                      <w:i w:val="0"/>
                      <w:iCs w:val="0"/>
                      <w:color w:val="000000"/>
                      <w:spacing w:val="0"/>
                      <w:kern w:val="0"/>
                      <w:sz w:val="21"/>
                      <w:szCs w:val="21"/>
                      <w:u w:val="none"/>
                      <w:lang w:val="en-US" w:eastAsia="zh-CN" w:bidi="ar"/>
                    </w:rPr>
                    <w:t>1#生产区产生量</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244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000000"/>
                      <w:spacing w:val="0"/>
                      <w:kern w:val="0"/>
                      <w:sz w:val="21"/>
                      <w:szCs w:val="21"/>
                      <w:u w:val="none"/>
                      <w:lang w:val="en-US" w:eastAsia="zh-CN" w:bidi="ar"/>
                    </w:rPr>
                  </w:pPr>
                  <w:r>
                    <w:rPr>
                      <w:rFonts w:hint="default" w:ascii="Times New Roman" w:hAnsi="Times New Roman" w:eastAsia="宋体" w:cs="Times New Roman"/>
                      <w:b/>
                      <w:bCs/>
                      <w:i w:val="0"/>
                      <w:iCs w:val="0"/>
                      <w:color w:val="000000"/>
                      <w:spacing w:val="0"/>
                      <w:kern w:val="0"/>
                      <w:sz w:val="21"/>
                      <w:szCs w:val="21"/>
                      <w:u w:val="none"/>
                      <w:lang w:val="en-US" w:eastAsia="zh-CN" w:bidi="ar"/>
                    </w:rPr>
                    <w:t>2#生产区产生量</w:t>
                  </w:r>
                </w:p>
              </w:tc>
              <w:tc>
                <w:tcPr>
                  <w:tcW w:w="10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612A4">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000000"/>
                      <w:sz w:val="21"/>
                      <w:szCs w:val="21"/>
                      <w:u w:val="none"/>
                    </w:rPr>
                  </w:pPr>
                </w:p>
              </w:tc>
            </w:tr>
            <w:tr w14:paraId="18ABE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 w:hRule="atLeast"/>
                <w:jc w:val="center"/>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9076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CAFC6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热解炉尾气</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25D4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二氧化硫</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871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6.08E-06</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E4E2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99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5E47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6.02E-06</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45C0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3.01E-06</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801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3.01E-06</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591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6.08E-08</w:t>
                  </w:r>
                </w:p>
              </w:tc>
            </w:tr>
            <w:tr w14:paraId="5D4EB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8E488">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34A4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916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氮氧化物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350D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3.360</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8FB5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99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2A3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3.326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0D8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1.663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7224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1.663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7ABC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0.034 </w:t>
                  </w:r>
                </w:p>
              </w:tc>
            </w:tr>
            <w:tr w14:paraId="72DE5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C5E40">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882D4">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949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颗粒物（</w:t>
                  </w:r>
                  <w:r>
                    <w:rPr>
                      <w:rFonts w:hint="eastAsia" w:cs="Times New Roman"/>
                      <w:i w:val="0"/>
                      <w:iCs w:val="0"/>
                      <w:color w:val="000000"/>
                      <w:spacing w:val="0"/>
                      <w:kern w:val="0"/>
                      <w:sz w:val="21"/>
                      <w:szCs w:val="21"/>
                      <w:u w:val="none"/>
                      <w:lang w:val="en-US" w:eastAsia="zh-CN" w:bidi="ar"/>
                    </w:rPr>
                    <w:t>含炭黑尘、铜、锡等</w:t>
                  </w:r>
                  <w:r>
                    <w:rPr>
                      <w:rFonts w:hint="default" w:ascii="Times New Roman" w:hAnsi="Times New Roman" w:eastAsia="宋体" w:cs="Times New Roman"/>
                      <w:i w:val="0"/>
                      <w:iCs w:val="0"/>
                      <w:color w:val="000000"/>
                      <w:spacing w:val="0"/>
                      <w:kern w:val="0"/>
                      <w:sz w:val="21"/>
                      <w:szCs w:val="21"/>
                      <w:u w:val="none"/>
                      <w:lang w:val="en-US" w:eastAsia="zh-CN" w:bidi="ar"/>
                    </w:rPr>
                    <w:t>）</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A50B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0.891</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7BE5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99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FF8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0.883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DFD4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0.441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A0D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0.441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0D01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0.009 </w:t>
                  </w:r>
                </w:p>
              </w:tc>
            </w:tr>
            <w:tr w14:paraId="2E042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21B77">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6EDBF">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AF2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锡及其化合物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42F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0.008</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512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99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E6DF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0.008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9049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E82D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0.004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E74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8E-05</w:t>
                  </w:r>
                </w:p>
              </w:tc>
            </w:tr>
            <w:tr w14:paraId="561F0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DCAA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B1E3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D673">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铜及其化合物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7635">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0.150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F372C">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B5041">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0.149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757A7">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0.074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BC702">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0.074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02BD5">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0.0015</w:t>
                  </w:r>
                </w:p>
              </w:tc>
            </w:tr>
            <w:tr w14:paraId="2787A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75104">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B91FF">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9623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氟化物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04D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2.800</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2ADF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99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1C98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2.772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6A43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1.386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D908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1.386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8F9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0.028</w:t>
                  </w:r>
                </w:p>
              </w:tc>
            </w:tr>
            <w:tr w14:paraId="66CD6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D20B0">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40DF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946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非甲烷总烃</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C06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11.716</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031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99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D82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11.599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7FAA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5.799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9BDE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5.799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9C5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0.117 </w:t>
                  </w:r>
                </w:p>
              </w:tc>
            </w:tr>
            <w:tr w14:paraId="66228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jc w:val="center"/>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FCF52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2</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AFC7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清洗炉、烘干炉烟气</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13FB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氮氧化物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CA50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0.349</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A73F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100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87EA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0.349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405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0.175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A867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0.175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14D0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w:t>
                  </w:r>
                </w:p>
              </w:tc>
            </w:tr>
            <w:tr w14:paraId="64E3A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9DD80">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1669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283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颗粒物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1516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0.030</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29E2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100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72B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0.030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DFC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0.015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D8B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0.015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1A21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w:t>
                  </w:r>
                </w:p>
              </w:tc>
            </w:tr>
            <w:tr w14:paraId="31BBD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F825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6503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456F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非甲烷总烃</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39C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1.122</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D54A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100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896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1.122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ADD5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0.561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1FE5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0.561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D28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w:t>
                  </w:r>
                </w:p>
              </w:tc>
            </w:tr>
            <w:tr w14:paraId="20B9D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jc w:val="center"/>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E407A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3</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2ADB0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燃气室烟气</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887F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氮氧化物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4D6F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0.009</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DBD9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100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FEE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0.009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2652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2A6E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6B09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w:t>
                  </w:r>
                </w:p>
              </w:tc>
            </w:tr>
            <w:tr w14:paraId="086BD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50D2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AD30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A333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颗粒物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641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0.001</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5D35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100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FEF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0.001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4DD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55F6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0.001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28CC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w:t>
                  </w:r>
                </w:p>
              </w:tc>
            </w:tr>
            <w:tr w14:paraId="2EEEA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393D8">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2DC4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4DA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非甲烷总烃</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A94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0.047</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6E64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100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44B7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0.047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251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0.024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04A7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0.024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687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w:t>
                  </w:r>
                </w:p>
              </w:tc>
            </w:tr>
            <w:tr w14:paraId="54CD7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21D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4</w:t>
                  </w:r>
                </w:p>
              </w:tc>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B08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油罐呼吸气</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966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非甲烷总烃</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DA99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0.061</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2624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100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4A9D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0.061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4DB1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0.056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4D2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E7C6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w:t>
                  </w:r>
                </w:p>
              </w:tc>
            </w:tr>
            <w:tr w14:paraId="0A930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 w:hRule="atLeast"/>
                <w:jc w:val="center"/>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2E27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4</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4DB59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合计</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B891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二氧化硫</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571A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6.08E-06</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90CE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9.90E+01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F854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6.02E-06</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817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3.01E-06</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6252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3.01E-06</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A7C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6.08E-08</w:t>
                  </w:r>
                </w:p>
              </w:tc>
            </w:tr>
            <w:tr w14:paraId="3DAB7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1A07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F10C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8B87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氮氧化物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D693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3.718</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F71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F39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3.684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74F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1.842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82D1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1.842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EAD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0.034 </w:t>
                  </w:r>
                </w:p>
              </w:tc>
            </w:tr>
            <w:tr w14:paraId="3B2A1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880A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56DD0">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1FA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颗粒物（</w:t>
                  </w:r>
                  <w:r>
                    <w:rPr>
                      <w:rFonts w:hint="eastAsia" w:cs="Times New Roman"/>
                      <w:i w:val="0"/>
                      <w:iCs w:val="0"/>
                      <w:color w:val="000000"/>
                      <w:spacing w:val="0"/>
                      <w:kern w:val="0"/>
                      <w:sz w:val="21"/>
                      <w:szCs w:val="21"/>
                      <w:u w:val="none"/>
                      <w:lang w:val="en-US" w:eastAsia="zh-CN" w:bidi="ar"/>
                    </w:rPr>
                    <w:t>含炭黑尘、铜、锡等</w:t>
                  </w:r>
                  <w:r>
                    <w:rPr>
                      <w:rFonts w:hint="default" w:ascii="Times New Roman" w:hAnsi="Times New Roman" w:eastAsia="宋体" w:cs="Times New Roman"/>
                      <w:i w:val="0"/>
                      <w:iCs w:val="0"/>
                      <w:color w:val="000000"/>
                      <w:spacing w:val="0"/>
                      <w:kern w:val="0"/>
                      <w:sz w:val="21"/>
                      <w:szCs w:val="21"/>
                      <w:u w:val="none"/>
                      <w:lang w:val="en-US" w:eastAsia="zh-CN" w:bidi="ar"/>
                    </w:rPr>
                    <w:t>）</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7D2A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0.922</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4226">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D433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0.914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730D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0.457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59B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0.457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E3E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0.009 </w:t>
                  </w:r>
                </w:p>
              </w:tc>
            </w:tr>
            <w:tr w14:paraId="7E7FB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C7FE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15DB8">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720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锡及其化合物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9DA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0.008</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C6B95">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AC9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0.008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64C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378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0.004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790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8.00E-05</w:t>
                  </w:r>
                </w:p>
              </w:tc>
            </w:tr>
            <w:tr w14:paraId="744D9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2455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170F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030F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eastAsia" w:cs="Times New Roman"/>
                      <w:i w:val="0"/>
                      <w:iCs w:val="0"/>
                      <w:color w:val="000000"/>
                      <w:spacing w:val="0"/>
                      <w:kern w:val="0"/>
                      <w:sz w:val="21"/>
                      <w:szCs w:val="21"/>
                      <w:u w:val="none"/>
                      <w:lang w:val="en-US" w:eastAsia="zh-CN" w:bidi="ar"/>
                    </w:rPr>
                    <w:t>铜及其化合物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330E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eastAsia" w:cs="Times New Roman"/>
                      <w:i w:val="0"/>
                      <w:iCs w:val="0"/>
                      <w:color w:val="000000"/>
                      <w:spacing w:val="0"/>
                      <w:kern w:val="0"/>
                      <w:sz w:val="21"/>
                      <w:szCs w:val="21"/>
                      <w:u w:val="none"/>
                      <w:lang w:val="en-US" w:eastAsia="zh-CN" w:bidi="ar"/>
                    </w:rPr>
                    <w:t>0.150</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5FB5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98B1">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0.149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5F98">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0.074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A25C">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0.074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F2BF4">
                  <w:pPr>
                    <w:keepNext w:val="0"/>
                    <w:keepLines w:val="0"/>
                    <w:widowControl/>
                    <w:suppressLineNumbers w:val="0"/>
                    <w:jc w:val="center"/>
                    <w:textAlignment w:val="center"/>
                    <w:rPr>
                      <w:rFonts w:hint="default" w:ascii="Times New Roman" w:hAnsi="Times New Roman" w:eastAsia="宋体" w:cs="Times New Roman"/>
                      <w:i w:val="0"/>
                      <w:iCs w:val="0"/>
                      <w:color w:val="000000"/>
                      <w:spacing w:val="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0.0015</w:t>
                  </w:r>
                </w:p>
              </w:tc>
            </w:tr>
            <w:tr w14:paraId="50A11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0B79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84D48">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006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氟化物</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F4B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2.800</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C0F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6585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2.772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340C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1.386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E7E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1.386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93B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0.028 </w:t>
                  </w:r>
                </w:p>
              </w:tc>
            </w:tr>
            <w:tr w14:paraId="061EF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8550BA">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AB807">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B7B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非甲烷总烃</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274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12.946</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816F5">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000000"/>
                      <w:sz w:val="21"/>
                      <w:szCs w:val="21"/>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C41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12.829 </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465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6.440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A6F6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6.389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6D4D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pacing w:val="0"/>
                      <w:kern w:val="0"/>
                      <w:sz w:val="21"/>
                      <w:szCs w:val="21"/>
                      <w:u w:val="none"/>
                      <w:lang w:val="en-US" w:eastAsia="zh-CN" w:bidi="ar"/>
                    </w:rPr>
                    <w:t xml:space="preserve">0.117 </w:t>
                  </w:r>
                </w:p>
              </w:tc>
            </w:tr>
            <w:tr w14:paraId="1B3EB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 w:hRule="atLeast"/>
                <w:jc w:val="center"/>
              </w:trPr>
              <w:tc>
                <w:tcPr>
                  <w:tcW w:w="895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ED639E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i w:val="0"/>
                      <w:iCs w:val="0"/>
                      <w:color w:val="000000"/>
                      <w:spacing w:val="0"/>
                      <w:kern w:val="0"/>
                      <w:sz w:val="21"/>
                      <w:szCs w:val="21"/>
                      <w:u w:val="none"/>
                      <w:lang w:val="en-US" w:eastAsia="zh-CN" w:bidi="ar"/>
                    </w:rPr>
                  </w:pPr>
                  <w:r>
                    <w:rPr>
                      <w:rFonts w:hint="eastAsia" w:cs="Times New Roman"/>
                      <w:b/>
                      <w:bCs/>
                      <w:color w:val="auto"/>
                      <w:spacing w:val="0"/>
                      <w:kern w:val="10"/>
                      <w:position w:val="0"/>
                      <w:sz w:val="21"/>
                      <w:szCs w:val="21"/>
                      <w:lang w:val="en-US" w:eastAsia="zh-CN"/>
                    </w:rPr>
                    <w:t>注：（1）</w:t>
                  </w:r>
                  <w:r>
                    <w:rPr>
                      <w:rFonts w:hint="eastAsia" w:ascii="Times New Roman" w:hAnsi="Times New Roman" w:cs="Times New Roman"/>
                      <w:b/>
                      <w:bCs/>
                      <w:color w:val="auto"/>
                      <w:spacing w:val="0"/>
                      <w:kern w:val="10"/>
                      <w:position w:val="0"/>
                      <w:sz w:val="21"/>
                      <w:szCs w:val="21"/>
                      <w:lang w:val="en-US" w:eastAsia="zh-CN"/>
                    </w:rPr>
                    <w:t>项目1#生产区和2#生产区生产线布置一致，年处理规模均为1.5万吨废旧光伏组件，因此</w:t>
                  </w:r>
                  <w:r>
                    <w:rPr>
                      <w:rFonts w:hint="eastAsia" w:ascii="Times New Roman" w:hAnsi="Times New Roman" w:eastAsia="宋体" w:cs="Times New Roman"/>
                      <w:b/>
                      <w:bCs/>
                      <w:color w:val="auto"/>
                      <w:spacing w:val="0"/>
                      <w:kern w:val="10"/>
                      <w:position w:val="0"/>
                      <w:sz w:val="21"/>
                      <w:szCs w:val="21"/>
                      <w:lang w:val="en-US" w:eastAsia="zh-CN"/>
                    </w:rPr>
                    <w:t>热解炉尾气、燃烧室不凝气燃烧废气、清洗炉燃烧烟气、烘干炉燃烧烟气</w:t>
                  </w:r>
                  <w:r>
                    <w:rPr>
                      <w:rFonts w:hint="eastAsia" w:ascii="Times New Roman" w:hAnsi="Times New Roman" w:cs="Times New Roman"/>
                      <w:b/>
                      <w:bCs/>
                      <w:color w:val="auto"/>
                      <w:spacing w:val="0"/>
                      <w:kern w:val="10"/>
                      <w:position w:val="0"/>
                      <w:sz w:val="21"/>
                      <w:szCs w:val="21"/>
                      <w:lang w:val="en-US" w:eastAsia="zh-CN"/>
                    </w:rPr>
                    <w:t>污染物产生量平均分配。</w:t>
                  </w:r>
                  <w:r>
                    <w:rPr>
                      <w:rFonts w:hint="eastAsia" w:cs="Times New Roman"/>
                      <w:b/>
                      <w:bCs/>
                      <w:color w:val="auto"/>
                      <w:spacing w:val="0"/>
                      <w:kern w:val="10"/>
                      <w:position w:val="0"/>
                      <w:sz w:val="21"/>
                      <w:szCs w:val="21"/>
                      <w:lang w:val="en-US" w:eastAsia="zh-CN"/>
                    </w:rPr>
                    <w:t>（2）热解炉开炉会有少量废气逸散，由于开炉仅在热解结束后，平均开炉时间0.5h/批次，因此废气逃逸量较少，按1%计。</w:t>
                  </w:r>
                </w:p>
              </w:tc>
            </w:tr>
          </w:tbl>
          <w:p w14:paraId="58A2309C">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（2）收集处理措施</w:t>
            </w:r>
          </w:p>
          <w:p w14:paraId="43361EF3">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olor w:val="auto"/>
                <w:spacing w:val="0"/>
                <w:kern w:val="10"/>
                <w:position w:val="0"/>
                <w:sz w:val="24"/>
                <w:lang w:val="en-US" w:eastAsia="zh-CN"/>
              </w:rPr>
            </w:pPr>
            <w:r>
              <w:rPr>
                <w:rFonts w:hint="eastAsia" w:cs="Times New Roman"/>
                <w:b w:val="0"/>
                <w:bCs w:val="0"/>
                <w:color w:val="auto"/>
                <w:spacing w:val="0"/>
                <w:kern w:val="10"/>
                <w:position w:val="0"/>
                <w:sz w:val="24"/>
                <w:lang w:val="en-US" w:eastAsia="zh-CN"/>
              </w:rPr>
              <w:t>热解炉、燃气室、清洗炉和烘干炉均设置密闭管道，热解炉炉体出料口上方设置集气罩，油罐采用呼吸阀接密闭管道，</w:t>
            </w:r>
            <w:r>
              <w:rPr>
                <w:rFonts w:hint="eastAsia" w:ascii="Times New Roman" w:hAnsi="Times New Roman" w:eastAsia="宋体" w:cs="Times New Roman"/>
                <w:b w:val="0"/>
                <w:bCs w:val="0"/>
                <w:color w:val="auto"/>
                <w:spacing w:val="0"/>
                <w:kern w:val="10"/>
                <w:position w:val="0"/>
                <w:sz w:val="24"/>
                <w:lang w:val="en-US" w:eastAsia="zh-CN"/>
              </w:rPr>
              <w:t>热解炉尾气、燃烧室不凝气燃烧废气、清洗炉燃烧烟气、烘干炉燃烧烟气</w:t>
            </w:r>
            <w:r>
              <w:rPr>
                <w:rFonts w:hint="eastAsia" w:cs="Times New Roman"/>
                <w:b w:val="0"/>
                <w:bCs w:val="0"/>
                <w:color w:val="auto"/>
                <w:spacing w:val="0"/>
                <w:kern w:val="10"/>
                <w:position w:val="0"/>
                <w:sz w:val="24"/>
                <w:lang w:val="en-US" w:eastAsia="zh-CN"/>
              </w:rPr>
              <w:t>、油罐呼吸气</w:t>
            </w:r>
            <w:r>
              <w:rPr>
                <w:rFonts w:hint="eastAsia" w:ascii="Times New Roman" w:hAnsi="Times New Roman" w:eastAsia="宋体" w:cs="Times New Roman"/>
                <w:b w:val="0"/>
                <w:bCs w:val="0"/>
                <w:color w:val="auto"/>
                <w:spacing w:val="0"/>
                <w:kern w:val="10"/>
                <w:position w:val="0"/>
                <w:sz w:val="24"/>
                <w:lang w:val="en-US" w:eastAsia="zh-CN"/>
              </w:rPr>
              <w:t>经</w:t>
            </w:r>
            <w:r>
              <w:rPr>
                <w:rFonts w:hint="eastAsia" w:cs="Times New Roman"/>
                <w:b w:val="0"/>
                <w:bCs w:val="0"/>
                <w:color w:val="auto"/>
                <w:spacing w:val="0"/>
                <w:kern w:val="10"/>
                <w:position w:val="0"/>
                <w:sz w:val="24"/>
                <w:lang w:val="en-US" w:eastAsia="zh-CN"/>
              </w:rPr>
              <w:t>负压</w:t>
            </w:r>
            <w:r>
              <w:rPr>
                <w:rFonts w:hint="eastAsia" w:ascii="Times New Roman" w:hAnsi="Times New Roman" w:eastAsia="宋体" w:cs="Times New Roman"/>
                <w:b w:val="0"/>
                <w:bCs w:val="0"/>
                <w:color w:val="auto"/>
                <w:spacing w:val="0"/>
                <w:kern w:val="10"/>
                <w:position w:val="0"/>
                <w:sz w:val="24"/>
                <w:lang w:val="en-US" w:eastAsia="zh-CN"/>
              </w:rPr>
              <w:t>收集进入“</w:t>
            </w:r>
            <w:r>
              <w:rPr>
                <w:rFonts w:hint="eastAsia" w:cs="Times New Roman"/>
                <w:b w:val="0"/>
                <w:bCs w:val="0"/>
                <w:color w:val="auto"/>
                <w:spacing w:val="0"/>
                <w:kern w:val="10"/>
                <w:position w:val="0"/>
                <w:sz w:val="24"/>
                <w:lang w:val="en-US" w:eastAsia="zh-CN"/>
              </w:rPr>
              <w:t>碱喷淋塔+干式过滤器+覆膜布袋除尘器+二级活性炭吸附装置</w:t>
            </w:r>
            <w:r>
              <w:rPr>
                <w:rFonts w:hint="eastAsia" w:ascii="Times New Roman" w:hAnsi="Times New Roman" w:eastAsia="宋体" w:cs="Times New Roman"/>
                <w:b w:val="0"/>
                <w:bCs w:val="0"/>
                <w:color w:val="auto"/>
                <w:spacing w:val="0"/>
                <w:kern w:val="10"/>
                <w:position w:val="0"/>
                <w:sz w:val="24"/>
                <w:lang w:val="en-US" w:eastAsia="zh-CN"/>
              </w:rPr>
              <w:t>”处理后通过一根15m高排气筒排放。1#生产区和2#生产区分别设置一套废气收集处理系统</w:t>
            </w:r>
            <w:r>
              <w:rPr>
                <w:rFonts w:hint="eastAsia" w:cs="Times New Roman"/>
                <w:b w:val="0"/>
                <w:bCs w:val="0"/>
                <w:color w:val="auto"/>
                <w:spacing w:val="0"/>
                <w:kern w:val="10"/>
                <w:position w:val="0"/>
                <w:sz w:val="24"/>
                <w:lang w:val="en-US" w:eastAsia="zh-CN"/>
              </w:rPr>
              <w:t>，排气筒编号分别为DA001和DA003</w:t>
            </w:r>
            <w:r>
              <w:rPr>
                <w:rFonts w:hint="eastAsia" w:ascii="Times New Roman" w:hAnsi="Times New Roman" w:eastAsia="宋体" w:cs="Times New Roman"/>
                <w:b w:val="0"/>
                <w:bCs w:val="0"/>
                <w:color w:val="auto"/>
                <w:spacing w:val="0"/>
                <w:kern w:val="10"/>
                <w:position w:val="0"/>
                <w:sz w:val="24"/>
                <w:lang w:val="en-US" w:eastAsia="zh-CN"/>
              </w:rPr>
              <w:t>。</w:t>
            </w:r>
          </w:p>
          <w:p w14:paraId="46E1D51B">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olor w:val="auto"/>
                <w:spacing w:val="0"/>
                <w:kern w:val="10"/>
                <w:position w:val="0"/>
                <w:sz w:val="24"/>
                <w:lang w:val="en-US" w:eastAsia="zh-CN"/>
              </w:rPr>
            </w:pPr>
            <w:r>
              <w:rPr>
                <w:rFonts w:hint="default" w:ascii="Times New Roman" w:hAnsi="Times New Roman" w:eastAsia="宋体" w:cs="Times New Roman"/>
                <w:b w:val="0"/>
                <w:bCs/>
                <w:i w:val="0"/>
                <w:iCs w:val="0"/>
                <w:caps w:val="0"/>
                <w:smallCaps w:val="0"/>
                <w:color w:val="auto"/>
                <w:spacing w:val="0"/>
                <w:w w:val="100"/>
                <w:position w:val="0"/>
                <w:sz w:val="24"/>
                <w:lang w:val="en-US" w:eastAsia="zh-CN"/>
              </w:rPr>
              <w:t>参照《污染源源强核算技术指南 电镀》（HJ 984-2018），酸碱废气采用喷淋塔中和法，</w:t>
            </w:r>
            <w:r>
              <w:rPr>
                <w:rFonts w:hint="default" w:ascii="Times New Roman" w:hAnsi="Times New Roman" w:cs="Times New Roman"/>
                <w:b w:val="0"/>
                <w:bCs/>
                <w:i w:val="0"/>
                <w:iCs w:val="0"/>
                <w:caps w:val="0"/>
                <w:smallCaps w:val="0"/>
                <w:color w:val="auto"/>
                <w:spacing w:val="0"/>
                <w:w w:val="100"/>
                <w:position w:val="0"/>
                <w:sz w:val="24"/>
                <w:lang w:val="en-US" w:eastAsia="zh-CN"/>
              </w:rPr>
              <w:t>对氟化物的去除效率</w:t>
            </w:r>
            <w:r>
              <w:rPr>
                <w:rFonts w:hint="default" w:ascii="Times New Roman" w:hAnsi="Times New Roman" w:eastAsia="宋体" w:cs="Times New Roman"/>
                <w:b w:val="0"/>
                <w:bCs/>
                <w:i w:val="0"/>
                <w:iCs w:val="0"/>
                <w:caps w:val="0"/>
                <w:smallCaps w:val="0"/>
                <w:color w:val="auto"/>
                <w:spacing w:val="0"/>
                <w:w w:val="100"/>
                <w:position w:val="0"/>
                <w:sz w:val="24"/>
                <w:lang w:val="en-US" w:eastAsia="zh-CN"/>
              </w:rPr>
              <w:t>≥</w:t>
            </w:r>
            <w:r>
              <w:rPr>
                <w:rFonts w:hint="default" w:ascii="Times New Roman" w:hAnsi="Times New Roman" w:cs="Times New Roman"/>
                <w:b w:val="0"/>
                <w:bCs/>
                <w:i w:val="0"/>
                <w:iCs w:val="0"/>
                <w:caps w:val="0"/>
                <w:smallCaps w:val="0"/>
                <w:color w:val="auto"/>
                <w:spacing w:val="0"/>
                <w:w w:val="100"/>
                <w:position w:val="0"/>
                <w:sz w:val="24"/>
                <w:lang w:val="en-US" w:eastAsia="zh-CN"/>
              </w:rPr>
              <w:t>85</w:t>
            </w:r>
            <w:r>
              <w:rPr>
                <w:rFonts w:hint="default" w:ascii="Times New Roman" w:hAnsi="Times New Roman" w:eastAsia="宋体" w:cs="Times New Roman"/>
                <w:b w:val="0"/>
                <w:bCs/>
                <w:i w:val="0"/>
                <w:iCs w:val="0"/>
                <w:caps w:val="0"/>
                <w:smallCaps w:val="0"/>
                <w:color w:val="auto"/>
                <w:spacing w:val="0"/>
                <w:w w:val="100"/>
                <w:position w:val="0"/>
                <w:sz w:val="24"/>
                <w:lang w:val="en-US" w:eastAsia="zh-CN"/>
              </w:rPr>
              <w:t>%</w:t>
            </w:r>
            <w:r>
              <w:rPr>
                <w:rFonts w:hint="eastAsia" w:ascii="Times New Roman" w:hAnsi="Times New Roman" w:eastAsia="宋体" w:cs="Times New Roman"/>
                <w:b w:val="0"/>
                <w:bCs/>
                <w:i w:val="0"/>
                <w:iCs w:val="0"/>
                <w:caps w:val="0"/>
                <w:smallCaps w:val="0"/>
                <w:color w:val="auto"/>
                <w:spacing w:val="0"/>
                <w:w w:val="100"/>
                <w:position w:val="0"/>
                <w:sz w:val="24"/>
                <w:lang w:val="en-US" w:eastAsia="zh-CN"/>
              </w:rPr>
              <w:t>，本次取值85%。覆膜布袋除尘器对颗粒物的去除效率不低于99%，二级活性炭吸附效率不低于90%。</w:t>
            </w:r>
          </w:p>
          <w:p w14:paraId="34215229">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风量计算：</w:t>
            </w:r>
          </w:p>
          <w:p w14:paraId="26753D2A">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ascii="Times New Roman" w:hAnsi="Times New Roman" w:eastAsia="宋体" w:cs="Times New Roman"/>
                <w:b w:val="0"/>
                <w:bCs w:val="0"/>
                <w:color w:val="auto"/>
                <w:spacing w:val="0"/>
                <w:kern w:val="10"/>
                <w:position w:val="0"/>
                <w:sz w:val="24"/>
                <w:lang w:val="en-US" w:eastAsia="zh-CN"/>
              </w:rPr>
            </w:pPr>
            <w:r>
              <w:rPr>
                <w:rFonts w:hint="eastAsia" w:cs="Times New Roman"/>
                <w:b w:val="0"/>
                <w:bCs w:val="0"/>
                <w:color w:val="auto"/>
                <w:spacing w:val="0"/>
                <w:kern w:val="10"/>
                <w:position w:val="0"/>
                <w:sz w:val="24"/>
                <w:lang w:val="en-US" w:eastAsia="zh-CN"/>
              </w:rPr>
              <w:t>热解炉、燃气室、清洗炉和烘干炉运行过程均</w:t>
            </w:r>
            <w:r>
              <w:rPr>
                <w:rFonts w:hint="eastAsia" w:ascii="Times New Roman" w:hAnsi="Times New Roman" w:cs="Times New Roman"/>
                <w:b w:val="0"/>
                <w:bCs w:val="0"/>
                <w:color w:val="auto"/>
                <w:spacing w:val="0"/>
                <w:kern w:val="10"/>
                <w:position w:val="0"/>
                <w:sz w:val="24"/>
                <w:lang w:val="en-US" w:eastAsia="zh-CN"/>
              </w:rPr>
              <w:t>为密闭</w:t>
            </w:r>
            <w:r>
              <w:rPr>
                <w:rFonts w:hint="eastAsia" w:ascii="Times New Roman" w:hAnsi="Times New Roman" w:eastAsia="宋体" w:cs="Times New Roman"/>
                <w:b w:val="0"/>
                <w:bCs w:val="0"/>
                <w:color w:val="auto"/>
                <w:spacing w:val="0"/>
                <w:kern w:val="10"/>
                <w:position w:val="0"/>
                <w:sz w:val="24"/>
                <w:lang w:val="en-US" w:eastAsia="zh-CN"/>
              </w:rPr>
              <w:t>状态，每个炉体和燃气室燃均设置直径为</w:t>
            </w:r>
            <w:r>
              <w:rPr>
                <w:rFonts w:hint="eastAsia" w:cs="Times New Roman"/>
                <w:b w:val="0"/>
                <w:bCs w:val="0"/>
                <w:color w:val="auto"/>
                <w:spacing w:val="0"/>
                <w:kern w:val="10"/>
                <w:position w:val="0"/>
                <w:sz w:val="24"/>
                <w:lang w:val="en-US" w:eastAsia="zh-CN"/>
              </w:rPr>
              <w:t>20</w:t>
            </w:r>
            <w:r>
              <w:rPr>
                <w:rFonts w:hint="eastAsia" w:ascii="Times New Roman" w:hAnsi="Times New Roman" w:eastAsia="宋体" w:cs="Times New Roman"/>
                <w:b w:val="0"/>
                <w:bCs w:val="0"/>
                <w:color w:val="auto"/>
                <w:spacing w:val="0"/>
                <w:kern w:val="10"/>
                <w:position w:val="0"/>
                <w:sz w:val="24"/>
                <w:lang w:val="en-US" w:eastAsia="zh-CN"/>
              </w:rPr>
              <w:t>0mm集气管道，管道风速1</w:t>
            </w:r>
            <w:r>
              <w:rPr>
                <w:rFonts w:hint="eastAsia" w:cs="Times New Roman"/>
                <w:b w:val="0"/>
                <w:bCs w:val="0"/>
                <w:color w:val="auto"/>
                <w:spacing w:val="0"/>
                <w:kern w:val="10"/>
                <w:position w:val="0"/>
                <w:sz w:val="24"/>
                <w:lang w:val="en-US" w:eastAsia="zh-CN"/>
              </w:rPr>
              <w:t>2</w:t>
            </w:r>
            <w:r>
              <w:rPr>
                <w:rFonts w:hint="eastAsia" w:ascii="Times New Roman" w:hAnsi="Times New Roman" w:eastAsia="宋体" w:cs="Times New Roman"/>
                <w:b w:val="0"/>
                <w:bCs w:val="0"/>
                <w:color w:val="auto"/>
                <w:spacing w:val="0"/>
                <w:kern w:val="10"/>
                <w:position w:val="0"/>
                <w:sz w:val="24"/>
                <w:lang w:val="en-US" w:eastAsia="zh-CN"/>
              </w:rPr>
              <w:t>m/s。1#生产区和2#生产区均配置4台热解炉、1个燃气室、1台清洗炉和1台烘干炉，</w:t>
            </w:r>
            <w:r>
              <w:rPr>
                <w:rFonts w:hint="eastAsia" w:cs="Times New Roman"/>
                <w:b w:val="0"/>
                <w:bCs w:val="0"/>
                <w:color w:val="auto"/>
                <w:spacing w:val="0"/>
                <w:kern w:val="10"/>
                <w:position w:val="0"/>
                <w:sz w:val="24"/>
                <w:lang w:val="en-US" w:eastAsia="zh-CN"/>
              </w:rPr>
              <w:t>集气风量应不低于9495.36</w:t>
            </w:r>
            <w:r>
              <w:rPr>
                <w:rFonts w:hint="eastAsia" w:ascii="Times New Roman" w:hAnsi="Times New Roman" w:eastAsia="宋体" w:cs="Times New Roman"/>
                <w:b w:val="0"/>
                <w:bCs w:val="0"/>
                <w:color w:val="auto"/>
                <w:spacing w:val="0"/>
                <w:kern w:val="10"/>
                <w:position w:val="0"/>
                <w:sz w:val="24"/>
                <w:lang w:val="en-US" w:eastAsia="zh-CN"/>
              </w:rPr>
              <w:t>m</w:t>
            </w:r>
            <w:r>
              <w:rPr>
                <w:rFonts w:hint="eastAsia" w:ascii="Times New Roman" w:hAnsi="Times New Roman" w:eastAsia="宋体" w:cs="Times New Roman"/>
                <w:b w:val="0"/>
                <w:bCs w:val="0"/>
                <w:color w:val="auto"/>
                <w:spacing w:val="0"/>
                <w:kern w:val="10"/>
                <w:position w:val="0"/>
                <w:sz w:val="24"/>
                <w:vertAlign w:val="superscript"/>
                <w:lang w:val="en-US" w:eastAsia="zh-CN"/>
              </w:rPr>
              <w:t>3</w:t>
            </w:r>
            <w:r>
              <w:rPr>
                <w:rFonts w:hint="eastAsia" w:ascii="Times New Roman" w:hAnsi="Times New Roman" w:eastAsia="宋体" w:cs="Times New Roman"/>
                <w:b w:val="0"/>
                <w:bCs w:val="0"/>
                <w:color w:val="auto"/>
                <w:spacing w:val="0"/>
                <w:kern w:val="10"/>
                <w:position w:val="0"/>
                <w:sz w:val="24"/>
                <w:lang w:val="en-US" w:eastAsia="zh-CN"/>
              </w:rPr>
              <w:t>/h</w:t>
            </w:r>
            <w:r>
              <w:rPr>
                <w:rFonts w:hint="eastAsia" w:cs="Times New Roman"/>
                <w:b w:val="0"/>
                <w:bCs w:val="0"/>
                <w:color w:val="auto"/>
                <w:spacing w:val="0"/>
                <w:kern w:val="10"/>
                <w:position w:val="0"/>
                <w:sz w:val="24"/>
                <w:lang w:val="en-US" w:eastAsia="zh-CN"/>
              </w:rPr>
              <w:t>。</w:t>
            </w:r>
          </w:p>
          <w:p w14:paraId="78F7601D">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b w:val="0"/>
                <w:bCs w:val="0"/>
                <w:color w:val="auto"/>
                <w:spacing w:val="0"/>
                <w:kern w:val="10"/>
                <w:position w:val="0"/>
                <w:sz w:val="24"/>
                <w:lang w:val="en-US" w:eastAsia="zh-CN"/>
              </w:rPr>
            </w:pPr>
            <w:r>
              <w:rPr>
                <w:rFonts w:hint="eastAsia" w:cs="Times New Roman"/>
                <w:b w:val="0"/>
                <w:bCs w:val="0"/>
                <w:color w:val="auto"/>
                <w:spacing w:val="0"/>
                <w:kern w:val="10"/>
                <w:position w:val="0"/>
                <w:sz w:val="24"/>
                <w:lang w:val="en-US" w:eastAsia="zh-CN"/>
              </w:rPr>
              <w:t>此外，油罐采用呼吸阀接密闭管道收集呼吸气，热解炉炉体出料口上方设置集气罩（1m</w:t>
            </w:r>
            <w:r>
              <w:rPr>
                <w:rFonts w:hint="eastAsia" w:cs="Times New Roman"/>
                <w:b w:val="0"/>
                <w:bCs w:val="0"/>
                <w:color w:val="auto"/>
                <w:spacing w:val="0"/>
                <w:kern w:val="10"/>
                <w:position w:val="0"/>
                <w:sz w:val="24"/>
                <w:vertAlign w:val="superscript"/>
                <w:lang w:val="en-US" w:eastAsia="zh-CN"/>
              </w:rPr>
              <w:t>2</w:t>
            </w:r>
            <w:r>
              <w:rPr>
                <w:rFonts w:hint="eastAsia" w:cs="Times New Roman"/>
                <w:b w:val="0"/>
                <w:bCs w:val="0"/>
                <w:color w:val="auto"/>
                <w:spacing w:val="0"/>
                <w:kern w:val="10"/>
                <w:position w:val="0"/>
                <w:sz w:val="24"/>
                <w:lang w:val="en-US" w:eastAsia="zh-CN"/>
              </w:rPr>
              <w:t>）收集开炉废气，</w:t>
            </w:r>
            <w:r>
              <w:rPr>
                <w:rFonts w:hint="eastAsia" w:ascii="Times New Roman" w:hAnsi="Times New Roman" w:eastAsia="宋体" w:cs="Times New Roman"/>
                <w:b w:val="0"/>
                <w:bCs w:val="0"/>
                <w:color w:val="auto"/>
                <w:spacing w:val="0"/>
                <w:kern w:val="10"/>
                <w:position w:val="0"/>
                <w:sz w:val="24"/>
                <w:lang w:val="en-US" w:eastAsia="zh-CN"/>
              </w:rPr>
              <w:t>考虑风力损耗，</w:t>
            </w:r>
            <w:r>
              <w:rPr>
                <w:rFonts w:hint="eastAsia" w:cs="Times New Roman"/>
                <w:b w:val="0"/>
                <w:bCs w:val="0"/>
                <w:color w:val="auto"/>
                <w:spacing w:val="0"/>
                <w:kern w:val="10"/>
                <w:position w:val="0"/>
                <w:sz w:val="24"/>
                <w:lang w:val="en-US" w:eastAsia="zh-CN"/>
              </w:rPr>
              <w:t>综合设计</w:t>
            </w:r>
            <w:r>
              <w:rPr>
                <w:rFonts w:hint="eastAsia" w:ascii="Times New Roman" w:hAnsi="Times New Roman" w:eastAsia="宋体" w:cs="Times New Roman"/>
                <w:b w:val="0"/>
                <w:bCs w:val="0"/>
                <w:color w:val="auto"/>
                <w:spacing w:val="0"/>
                <w:kern w:val="10"/>
                <w:position w:val="0"/>
                <w:sz w:val="24"/>
                <w:lang w:val="en-US" w:eastAsia="zh-CN"/>
              </w:rPr>
              <w:t>风量为</w:t>
            </w:r>
            <w:r>
              <w:rPr>
                <w:rFonts w:hint="eastAsia" w:cs="Times New Roman"/>
                <w:b w:val="0"/>
                <w:bCs w:val="0"/>
                <w:color w:val="auto"/>
                <w:spacing w:val="0"/>
                <w:kern w:val="10"/>
                <w:position w:val="0"/>
                <w:sz w:val="24"/>
                <w:lang w:val="en-US" w:eastAsia="zh-CN"/>
              </w:rPr>
              <w:t>12</w:t>
            </w:r>
            <w:r>
              <w:rPr>
                <w:rFonts w:hint="eastAsia" w:ascii="Times New Roman" w:hAnsi="Times New Roman" w:eastAsia="宋体" w:cs="Times New Roman"/>
                <w:b w:val="0"/>
                <w:bCs w:val="0"/>
                <w:color w:val="auto"/>
                <w:spacing w:val="0"/>
                <w:kern w:val="10"/>
                <w:position w:val="0"/>
                <w:sz w:val="24"/>
                <w:lang w:val="en-US" w:eastAsia="zh-CN"/>
              </w:rPr>
              <w:t>000m³/h。</w:t>
            </w:r>
          </w:p>
          <w:p w14:paraId="3191F7A5">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二、</w:t>
            </w:r>
            <w:r>
              <w:rPr>
                <w:rFonts w:hint="eastAsia" w:ascii="Times New Roman" w:hAnsi="Times New Roman" w:cs="Times New Roman"/>
                <w:b/>
                <w:bCs/>
                <w:color w:val="auto"/>
                <w:spacing w:val="0"/>
                <w:kern w:val="10"/>
                <w:position w:val="0"/>
                <w:sz w:val="24"/>
                <w:lang w:val="en-US" w:eastAsia="zh-CN"/>
              </w:rPr>
              <w:t>生产线粉尘</w:t>
            </w:r>
          </w:p>
          <w:p w14:paraId="61619093">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ascii="Times New Roman" w:hAnsi="Times New Roman"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（1）源强核算</w:t>
            </w:r>
          </w:p>
          <w:p w14:paraId="40C18310">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生产线粉尘包括分选粉尘、出炉粉尘、进仓粉尘、筛分粉尘、旋风分离粉尘、风选粉尘、包装粉尘。</w:t>
            </w:r>
          </w:p>
          <w:p w14:paraId="187643F7">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分选粉尘、筛分粉尘、风选粉尘产污系数参照《排放源统计调查产排污核算方法和系数手册》（生态环境部公告2021年第24号）中“42废弃资源综合利用行业系数手册中“玻璃废碎料-破碎+分选+水洗”颗粒物产污系数：225g/t-原料。</w:t>
            </w:r>
          </w:p>
          <w:p w14:paraId="5631ED3A">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包装粉尘产污系数参照《排放源统计调查产排污核算方法和系数手册》（生态环境部公告2021年第24号）中</w:t>
            </w:r>
            <w:r>
              <w:rPr>
                <w:rFonts w:hint="eastAsia" w:ascii="Times New Roman" w:hAnsi="Times New Roman" w:eastAsia="宋体" w:cs="Times New Roman"/>
                <w:color w:val="auto"/>
                <w:kern w:val="2"/>
                <w:sz w:val="24"/>
                <w:szCs w:val="24"/>
                <w:u w:val="none"/>
                <w:shd w:val="clear" w:color="auto" w:fill="auto"/>
                <w:lang w:val="en-US" w:eastAsia="zh-CN" w:bidi="ar-SA"/>
              </w:rPr>
              <w:t>“3024 轻质建筑材料制品制造行业系数手册”中“水泥、轻集料、石灰、粉煤灰等物料输送储存”</w:t>
            </w:r>
            <w:r>
              <w:rPr>
                <w:rFonts w:hint="eastAsia" w:ascii="Times New Roman" w:hAnsi="Times New Roman" w:cs="Times New Roman"/>
                <w:b w:val="0"/>
                <w:bCs w:val="0"/>
                <w:color w:val="auto"/>
                <w:spacing w:val="0"/>
                <w:kern w:val="10"/>
                <w:position w:val="0"/>
                <w:sz w:val="24"/>
                <w:lang w:val="en-US" w:eastAsia="zh-CN"/>
              </w:rPr>
              <w:t>颗粒物产污系数：</w:t>
            </w:r>
            <w:r>
              <w:rPr>
                <w:rFonts w:hint="eastAsia" w:ascii="Times New Roman" w:hAnsi="Times New Roman" w:eastAsia="宋体" w:cs="Times New Roman"/>
                <w:color w:val="auto"/>
                <w:kern w:val="2"/>
                <w:sz w:val="24"/>
                <w:szCs w:val="24"/>
                <w:u w:val="none"/>
                <w:shd w:val="clear" w:color="auto" w:fill="auto"/>
                <w:lang w:val="en-US" w:eastAsia="zh-CN" w:bidi="ar-SA"/>
              </w:rPr>
              <w:t>0.197kg/t-产品。</w:t>
            </w:r>
          </w:p>
          <w:p w14:paraId="6023BB43">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进仓粉尘产污系数参照《逸散性工业粉尘控制技术》中砂和砾石装料过程中粉尘产生系数：0.01kg/t原料。</w:t>
            </w:r>
          </w:p>
          <w:p w14:paraId="7F90EF1B">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旋风分离器粉尘收集效率不低于99%，未收集粉尘产生量取1%。</w:t>
            </w:r>
          </w:p>
          <w:p w14:paraId="3314B621">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cs="Times New Roman"/>
                <w:b w:val="0"/>
                <w:bCs w:val="0"/>
                <w:color w:val="auto"/>
                <w:spacing w:val="0"/>
                <w:kern w:val="10"/>
                <w:position w:val="0"/>
                <w:sz w:val="24"/>
                <w:lang w:val="en-US" w:eastAsia="zh-CN"/>
              </w:rPr>
            </w:pPr>
            <w:r>
              <w:rPr>
                <w:rFonts w:hint="eastAsia" w:ascii="Times New Roman" w:hAnsi="Times New Roman" w:cs="Times New Roman"/>
                <w:b w:val="0"/>
                <w:bCs w:val="0"/>
                <w:color w:val="auto"/>
                <w:spacing w:val="0"/>
                <w:kern w:val="10"/>
                <w:position w:val="0"/>
                <w:sz w:val="24"/>
                <w:lang w:val="en-US" w:eastAsia="zh-CN"/>
              </w:rPr>
              <w:t>结合物料平衡，生产线粉尘产生量如下表所示：</w:t>
            </w:r>
          </w:p>
          <w:p w14:paraId="5246BCB3">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cs="Times New Roman"/>
                <w:b/>
                <w:bCs/>
                <w:color w:val="auto"/>
                <w:spacing w:val="0"/>
                <w:kern w:val="10"/>
                <w:position w:val="0"/>
                <w:sz w:val="21"/>
                <w:szCs w:val="21"/>
                <w:lang w:val="en-US" w:eastAsia="zh-CN"/>
              </w:rPr>
            </w:pPr>
            <w:r>
              <w:rPr>
                <w:rFonts w:hint="eastAsia" w:cs="Times New Roman"/>
                <w:b/>
                <w:bCs/>
                <w:color w:val="auto"/>
                <w:spacing w:val="0"/>
                <w:kern w:val="10"/>
                <w:position w:val="0"/>
                <w:sz w:val="21"/>
                <w:szCs w:val="21"/>
                <w:lang w:val="en-US" w:eastAsia="zh-CN"/>
              </w:rPr>
              <w:t>表4-7  生产线粉尘产生量</w:t>
            </w:r>
          </w:p>
          <w:tbl>
            <w:tblPr>
              <w:tblStyle w:val="26"/>
              <w:tblW w:w="90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54"/>
              <w:gridCol w:w="816"/>
              <w:gridCol w:w="1134"/>
              <w:gridCol w:w="797"/>
              <w:gridCol w:w="1034"/>
              <w:gridCol w:w="1129"/>
              <w:gridCol w:w="1112"/>
              <w:gridCol w:w="1106"/>
              <w:gridCol w:w="1152"/>
            </w:tblGrid>
            <w:tr w14:paraId="57C28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754" w:type="dxa"/>
                  <w:tcBorders>
                    <w:tl2br w:val="nil"/>
                    <w:tr2bl w:val="nil"/>
                  </w:tcBorders>
                  <w:shd w:val="clear" w:color="auto" w:fill="auto"/>
                  <w:vAlign w:val="center"/>
                </w:tcPr>
                <w:p w14:paraId="6D44808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950" w:type="dxa"/>
                  <w:gridSpan w:val="2"/>
                  <w:tcBorders>
                    <w:tl2br w:val="nil"/>
                    <w:tr2bl w:val="nil"/>
                  </w:tcBorders>
                  <w:shd w:val="clear" w:color="auto" w:fill="auto"/>
                  <w:vAlign w:val="center"/>
                </w:tcPr>
                <w:p w14:paraId="54F36E0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废气类型</w:t>
                  </w:r>
                </w:p>
              </w:tc>
              <w:tc>
                <w:tcPr>
                  <w:tcW w:w="797" w:type="dxa"/>
                  <w:tcBorders>
                    <w:tl2br w:val="nil"/>
                    <w:tr2bl w:val="nil"/>
                  </w:tcBorders>
                  <w:shd w:val="clear" w:color="auto" w:fill="auto"/>
                  <w:vAlign w:val="center"/>
                </w:tcPr>
                <w:p w14:paraId="1D66C0A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编号</w:t>
                  </w:r>
                </w:p>
              </w:tc>
              <w:tc>
                <w:tcPr>
                  <w:tcW w:w="1034" w:type="dxa"/>
                  <w:tcBorders>
                    <w:tl2br w:val="nil"/>
                    <w:tr2bl w:val="nil"/>
                  </w:tcBorders>
                  <w:shd w:val="clear" w:color="auto" w:fill="auto"/>
                  <w:vAlign w:val="center"/>
                </w:tcPr>
                <w:p w14:paraId="6D7C8A5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污染因子</w:t>
                  </w:r>
                </w:p>
              </w:tc>
              <w:tc>
                <w:tcPr>
                  <w:tcW w:w="1129" w:type="dxa"/>
                  <w:tcBorders>
                    <w:tl2br w:val="nil"/>
                    <w:tr2bl w:val="nil"/>
                  </w:tcBorders>
                  <w:shd w:val="clear" w:color="auto" w:fill="auto"/>
                  <w:vAlign w:val="center"/>
                </w:tcPr>
                <w:p w14:paraId="3021405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产生量</w:t>
                  </w:r>
                  <w:r>
                    <w:rPr>
                      <w:rFonts w:hint="eastAsia" w:ascii="Times New Roman" w:hAnsi="Times New Roman" w:eastAsia="宋体" w:cs="Times New Roman"/>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Times New Roman" w:hAnsi="Times New Roman" w:eastAsia="宋体" w:cs="Times New Roman"/>
                      <w:b/>
                      <w:bCs/>
                      <w:i w:val="0"/>
                      <w:iCs w:val="0"/>
                      <w:color w:val="000000"/>
                      <w:kern w:val="0"/>
                      <w:sz w:val="21"/>
                      <w:szCs w:val="21"/>
                      <w:u w:val="none"/>
                      <w:lang w:val="en-US" w:eastAsia="zh-CN" w:bidi="ar"/>
                    </w:rPr>
                    <w:t>）</w:t>
                  </w:r>
                </w:p>
              </w:tc>
              <w:tc>
                <w:tcPr>
                  <w:tcW w:w="1112" w:type="dxa"/>
                  <w:tcBorders>
                    <w:tl2br w:val="nil"/>
                    <w:tr2bl w:val="nil"/>
                  </w:tcBorders>
                  <w:shd w:val="clear" w:color="auto" w:fill="auto"/>
                  <w:vAlign w:val="center"/>
                </w:tcPr>
                <w:p w14:paraId="2535390C">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1"/>
                      <w:szCs w:val="21"/>
                      <w:u w:val="none"/>
                      <w:lang w:val="en-US" w:eastAsia="zh-CN" w:bidi="ar"/>
                    </w:rPr>
                  </w:pPr>
                  <w:r>
                    <w:rPr>
                      <w:rFonts w:hint="eastAsia" w:ascii="Times New Roman" w:hAnsi="Times New Roman" w:eastAsia="宋体" w:cs="Times New Roman"/>
                      <w:b/>
                      <w:bCs/>
                      <w:i w:val="0"/>
                      <w:iCs w:val="0"/>
                      <w:color w:val="000000"/>
                      <w:kern w:val="0"/>
                      <w:sz w:val="21"/>
                      <w:szCs w:val="21"/>
                      <w:u w:val="none"/>
                      <w:lang w:val="en-US" w:eastAsia="zh-CN" w:bidi="ar"/>
                    </w:rPr>
                    <w:t>收集效率</w:t>
                  </w:r>
                </w:p>
              </w:tc>
              <w:tc>
                <w:tcPr>
                  <w:tcW w:w="1106" w:type="dxa"/>
                  <w:tcBorders>
                    <w:tl2br w:val="nil"/>
                    <w:tr2bl w:val="nil"/>
                  </w:tcBorders>
                  <w:shd w:val="clear" w:color="auto" w:fill="auto"/>
                  <w:vAlign w:val="center"/>
                </w:tcPr>
                <w:p w14:paraId="31B9B009">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1"/>
                      <w:szCs w:val="21"/>
                      <w:u w:val="none"/>
                      <w:lang w:val="en-US" w:eastAsia="zh-CN" w:bidi="ar"/>
                    </w:rPr>
                  </w:pPr>
                  <w:r>
                    <w:rPr>
                      <w:rFonts w:hint="eastAsia" w:ascii="Times New Roman" w:hAnsi="Times New Roman" w:eastAsia="宋体" w:cs="Times New Roman"/>
                      <w:b/>
                      <w:bCs/>
                      <w:i w:val="0"/>
                      <w:iCs w:val="0"/>
                      <w:color w:val="000000"/>
                      <w:kern w:val="0"/>
                      <w:sz w:val="21"/>
                      <w:szCs w:val="21"/>
                      <w:u w:val="none"/>
                      <w:lang w:val="en-US" w:eastAsia="zh-CN" w:bidi="ar"/>
                    </w:rPr>
                    <w:t>有组织粉尘（</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Times New Roman" w:hAnsi="Times New Roman" w:eastAsia="宋体" w:cs="Times New Roman"/>
                      <w:b/>
                      <w:bCs/>
                      <w:i w:val="0"/>
                      <w:iCs w:val="0"/>
                      <w:color w:val="000000"/>
                      <w:kern w:val="0"/>
                      <w:sz w:val="21"/>
                      <w:szCs w:val="21"/>
                      <w:u w:val="none"/>
                      <w:lang w:val="en-US" w:eastAsia="zh-CN" w:bidi="ar"/>
                    </w:rPr>
                    <w:t>）</w:t>
                  </w:r>
                </w:p>
              </w:tc>
              <w:tc>
                <w:tcPr>
                  <w:tcW w:w="1152" w:type="dxa"/>
                  <w:tcBorders>
                    <w:tl2br w:val="nil"/>
                    <w:tr2bl w:val="nil"/>
                  </w:tcBorders>
                  <w:shd w:val="clear" w:color="auto" w:fill="auto"/>
                  <w:vAlign w:val="center"/>
                </w:tcPr>
                <w:p w14:paraId="1B474413">
                  <w:pPr>
                    <w:keepNext w:val="0"/>
                    <w:keepLines w:val="0"/>
                    <w:widowControl/>
                    <w:suppressLineNumbers w:val="0"/>
                    <w:jc w:val="center"/>
                    <w:textAlignment w:val="center"/>
                    <w:rPr>
                      <w:rFonts w:hint="eastAsia" w:ascii="Times New Roman" w:hAnsi="Times New Roman" w:eastAsia="宋体" w:cs="Times New Roman"/>
                      <w:b/>
                      <w:bCs/>
                      <w:i w:val="0"/>
                      <w:iCs w:val="0"/>
                      <w:color w:val="000000"/>
                      <w:kern w:val="0"/>
                      <w:sz w:val="21"/>
                      <w:szCs w:val="21"/>
                      <w:u w:val="none"/>
                      <w:lang w:val="en-US" w:eastAsia="zh-CN" w:bidi="ar"/>
                    </w:rPr>
                  </w:pPr>
                  <w:r>
                    <w:rPr>
                      <w:rFonts w:hint="eastAsia" w:ascii="Times New Roman" w:hAnsi="Times New Roman" w:eastAsia="宋体" w:cs="Times New Roman"/>
                      <w:b/>
                      <w:bCs/>
                      <w:i w:val="0"/>
                      <w:iCs w:val="0"/>
                      <w:color w:val="000000"/>
                      <w:kern w:val="0"/>
                      <w:sz w:val="21"/>
                      <w:szCs w:val="21"/>
                      <w:u w:val="none"/>
                      <w:lang w:val="en-US" w:eastAsia="zh-CN" w:bidi="ar"/>
                    </w:rPr>
                    <w:t>无组织粉尘（</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Times New Roman" w:hAnsi="Times New Roman" w:eastAsia="宋体" w:cs="Times New Roman"/>
                      <w:b/>
                      <w:bCs/>
                      <w:i w:val="0"/>
                      <w:iCs w:val="0"/>
                      <w:color w:val="000000"/>
                      <w:kern w:val="0"/>
                      <w:sz w:val="21"/>
                      <w:szCs w:val="21"/>
                      <w:u w:val="none"/>
                      <w:lang w:val="en-US" w:eastAsia="zh-CN" w:bidi="ar"/>
                    </w:rPr>
                    <w:t>）</w:t>
                  </w:r>
                </w:p>
              </w:tc>
            </w:tr>
            <w:tr w14:paraId="7FF15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6424CC1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950" w:type="dxa"/>
                  <w:gridSpan w:val="2"/>
                  <w:tcBorders>
                    <w:tl2br w:val="nil"/>
                    <w:tr2bl w:val="nil"/>
                  </w:tcBorders>
                  <w:shd w:val="clear" w:color="auto" w:fill="auto"/>
                  <w:vAlign w:val="center"/>
                </w:tcPr>
                <w:p w14:paraId="2AC22692">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分选粉尘</w:t>
                  </w:r>
                </w:p>
              </w:tc>
              <w:tc>
                <w:tcPr>
                  <w:tcW w:w="797" w:type="dxa"/>
                  <w:tcBorders>
                    <w:tl2br w:val="nil"/>
                    <w:tr2bl w:val="nil"/>
                  </w:tcBorders>
                  <w:shd w:val="clear" w:color="auto" w:fill="auto"/>
                  <w:vAlign w:val="center"/>
                </w:tcPr>
                <w:p w14:paraId="49F1F64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G1-1</w:t>
                  </w:r>
                </w:p>
              </w:tc>
              <w:tc>
                <w:tcPr>
                  <w:tcW w:w="1034" w:type="dxa"/>
                  <w:tcBorders>
                    <w:tl2br w:val="nil"/>
                    <w:tr2bl w:val="nil"/>
                  </w:tcBorders>
                  <w:shd w:val="clear" w:color="auto" w:fill="auto"/>
                  <w:vAlign w:val="center"/>
                </w:tcPr>
                <w:p w14:paraId="532D0150">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3FD24812">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0.044</w:t>
                  </w:r>
                </w:p>
              </w:tc>
              <w:tc>
                <w:tcPr>
                  <w:tcW w:w="1112" w:type="dxa"/>
                  <w:tcBorders>
                    <w:tl2br w:val="nil"/>
                    <w:tr2bl w:val="nil"/>
                  </w:tcBorders>
                  <w:shd w:val="clear" w:color="auto" w:fill="auto"/>
                  <w:vAlign w:val="center"/>
                </w:tcPr>
                <w:p w14:paraId="756B073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p>
              </w:tc>
              <w:tc>
                <w:tcPr>
                  <w:tcW w:w="1106" w:type="dxa"/>
                  <w:tcBorders>
                    <w:tl2br w:val="nil"/>
                    <w:tr2bl w:val="nil"/>
                  </w:tcBorders>
                  <w:shd w:val="clear" w:color="auto" w:fill="auto"/>
                  <w:vAlign w:val="center"/>
                </w:tcPr>
                <w:p w14:paraId="4D5087C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 xml:space="preserve"> </w:t>
                  </w:r>
                </w:p>
              </w:tc>
              <w:tc>
                <w:tcPr>
                  <w:tcW w:w="1152" w:type="dxa"/>
                  <w:tcBorders>
                    <w:tl2br w:val="nil"/>
                    <w:tr2bl w:val="nil"/>
                  </w:tcBorders>
                  <w:shd w:val="clear" w:color="auto" w:fill="auto"/>
                  <w:vAlign w:val="center"/>
                </w:tcPr>
                <w:p w14:paraId="6957072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w:t>
                  </w:r>
                  <w:r>
                    <w:rPr>
                      <w:rFonts w:hint="eastAsia" w:ascii="Times New Roman" w:hAnsi="Times New Roman" w:eastAsia="宋体" w:cs="Times New Roman"/>
                      <w:i w:val="0"/>
                      <w:iCs w:val="0"/>
                      <w:color w:val="000000"/>
                      <w:kern w:val="0"/>
                      <w:sz w:val="21"/>
                      <w:szCs w:val="21"/>
                      <w:u w:val="none"/>
                      <w:lang w:val="en-US" w:eastAsia="zh-CN" w:bidi="ar"/>
                    </w:rPr>
                    <w:t>44</w:t>
                  </w:r>
                  <w:r>
                    <w:rPr>
                      <w:rFonts w:hint="default" w:ascii="Times New Roman" w:hAnsi="Times New Roman" w:eastAsia="宋体" w:cs="Times New Roman"/>
                      <w:i w:val="0"/>
                      <w:iCs w:val="0"/>
                      <w:color w:val="000000"/>
                      <w:kern w:val="0"/>
                      <w:sz w:val="21"/>
                      <w:szCs w:val="21"/>
                      <w:u w:val="none"/>
                      <w:lang w:val="en-US" w:eastAsia="zh-CN" w:bidi="ar"/>
                    </w:rPr>
                    <w:t xml:space="preserve"> </w:t>
                  </w:r>
                </w:p>
              </w:tc>
            </w:tr>
            <w:tr w14:paraId="07634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4FA2B5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3</w:t>
                  </w:r>
                </w:p>
              </w:tc>
              <w:tc>
                <w:tcPr>
                  <w:tcW w:w="816" w:type="dxa"/>
                  <w:vMerge w:val="restart"/>
                  <w:tcBorders>
                    <w:tl2br w:val="nil"/>
                    <w:tr2bl w:val="nil"/>
                  </w:tcBorders>
                  <w:shd w:val="clear" w:color="auto" w:fill="auto"/>
                  <w:vAlign w:val="center"/>
                </w:tcPr>
                <w:p w14:paraId="3E8948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进仓粉尘</w:t>
                  </w:r>
                </w:p>
              </w:tc>
              <w:tc>
                <w:tcPr>
                  <w:tcW w:w="1134" w:type="dxa"/>
                  <w:tcBorders>
                    <w:tl2br w:val="nil"/>
                    <w:tr2bl w:val="nil"/>
                  </w:tcBorders>
                  <w:shd w:val="clear" w:color="auto" w:fill="auto"/>
                  <w:vAlign w:val="center"/>
                </w:tcPr>
                <w:p w14:paraId="106426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w:t>
                  </w:r>
                </w:p>
              </w:tc>
              <w:tc>
                <w:tcPr>
                  <w:tcW w:w="797" w:type="dxa"/>
                  <w:vMerge w:val="restart"/>
                  <w:tcBorders>
                    <w:tl2br w:val="nil"/>
                    <w:tr2bl w:val="nil"/>
                  </w:tcBorders>
                  <w:shd w:val="clear" w:color="auto" w:fill="auto"/>
                  <w:vAlign w:val="center"/>
                </w:tcPr>
                <w:p w14:paraId="482A85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G1-5</w:t>
                  </w:r>
                </w:p>
              </w:tc>
              <w:tc>
                <w:tcPr>
                  <w:tcW w:w="1034" w:type="dxa"/>
                  <w:tcBorders>
                    <w:tl2br w:val="nil"/>
                    <w:tr2bl w:val="nil"/>
                  </w:tcBorders>
                  <w:shd w:val="clear" w:color="auto" w:fill="auto"/>
                  <w:vAlign w:val="center"/>
                </w:tcPr>
                <w:p w14:paraId="61103C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467269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0</w:t>
                  </w:r>
                  <w:r>
                    <w:rPr>
                      <w:rFonts w:hint="eastAsia" w:cs="Times New Roman"/>
                      <w:i w:val="0"/>
                      <w:iCs w:val="0"/>
                      <w:color w:val="000000"/>
                      <w:kern w:val="0"/>
                      <w:sz w:val="21"/>
                      <w:szCs w:val="21"/>
                      <w:u w:val="none"/>
                      <w:lang w:val="en-US" w:eastAsia="zh-CN" w:bidi="ar"/>
                    </w:rPr>
                    <w:t>.504</w:t>
                  </w:r>
                </w:p>
              </w:tc>
              <w:tc>
                <w:tcPr>
                  <w:tcW w:w="1112" w:type="dxa"/>
                  <w:tcBorders>
                    <w:tl2br w:val="nil"/>
                    <w:tr2bl w:val="nil"/>
                  </w:tcBorders>
                  <w:shd w:val="clear" w:color="auto" w:fill="auto"/>
                  <w:vAlign w:val="center"/>
                </w:tcPr>
                <w:p w14:paraId="7FFF9A2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5396ABE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0.454 </w:t>
                  </w:r>
                </w:p>
              </w:tc>
              <w:tc>
                <w:tcPr>
                  <w:tcW w:w="1152" w:type="dxa"/>
                  <w:tcBorders>
                    <w:tl2br w:val="nil"/>
                    <w:tr2bl w:val="nil"/>
                  </w:tcBorders>
                  <w:shd w:val="clear" w:color="auto" w:fill="auto"/>
                  <w:vAlign w:val="center"/>
                </w:tcPr>
                <w:p w14:paraId="3C843AB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0.050 </w:t>
                  </w:r>
                </w:p>
              </w:tc>
            </w:tr>
            <w:tr w14:paraId="2FC76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0995CF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4</w:t>
                  </w:r>
                </w:p>
              </w:tc>
              <w:tc>
                <w:tcPr>
                  <w:tcW w:w="816" w:type="dxa"/>
                  <w:vMerge w:val="continue"/>
                  <w:tcBorders>
                    <w:tl2br w:val="nil"/>
                    <w:tr2bl w:val="nil"/>
                  </w:tcBorders>
                  <w:shd w:val="clear" w:color="auto" w:fill="auto"/>
                  <w:vAlign w:val="center"/>
                </w:tcPr>
                <w:p w14:paraId="2D15B14B">
                  <w:pPr>
                    <w:jc w:val="center"/>
                    <w:rPr>
                      <w:rFonts w:hint="default" w:ascii="Times New Roman" w:hAnsi="Times New Roman" w:eastAsia="宋体" w:cs="Times New Roman"/>
                      <w:i w:val="0"/>
                      <w:iCs w:val="0"/>
                      <w:color w:val="000000"/>
                      <w:sz w:val="21"/>
                      <w:szCs w:val="21"/>
                      <w:u w:val="none"/>
                    </w:rPr>
                  </w:pPr>
                </w:p>
              </w:tc>
              <w:tc>
                <w:tcPr>
                  <w:tcW w:w="1134" w:type="dxa"/>
                  <w:tcBorders>
                    <w:tl2br w:val="nil"/>
                    <w:tr2bl w:val="nil"/>
                  </w:tcBorders>
                  <w:shd w:val="clear" w:color="auto" w:fill="auto"/>
                  <w:vAlign w:val="center"/>
                </w:tcPr>
                <w:p w14:paraId="579014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3</w:t>
                  </w:r>
                </w:p>
              </w:tc>
              <w:tc>
                <w:tcPr>
                  <w:tcW w:w="797" w:type="dxa"/>
                  <w:vMerge w:val="continue"/>
                  <w:tcBorders>
                    <w:tl2br w:val="nil"/>
                    <w:tr2bl w:val="nil"/>
                  </w:tcBorders>
                  <w:shd w:val="clear" w:color="auto" w:fill="auto"/>
                  <w:vAlign w:val="center"/>
                </w:tcPr>
                <w:p w14:paraId="68B35E6C">
                  <w:pPr>
                    <w:jc w:val="center"/>
                    <w:rPr>
                      <w:rFonts w:hint="default" w:ascii="Times New Roman" w:hAnsi="Times New Roman" w:eastAsia="宋体" w:cs="Times New Roman"/>
                      <w:i w:val="0"/>
                      <w:iCs w:val="0"/>
                      <w:color w:val="000000"/>
                      <w:sz w:val="21"/>
                      <w:szCs w:val="21"/>
                      <w:u w:val="none"/>
                    </w:rPr>
                  </w:pPr>
                </w:p>
              </w:tc>
              <w:tc>
                <w:tcPr>
                  <w:tcW w:w="1034" w:type="dxa"/>
                  <w:tcBorders>
                    <w:tl2br w:val="nil"/>
                    <w:tr2bl w:val="nil"/>
                  </w:tcBorders>
                  <w:shd w:val="clear" w:color="auto" w:fill="auto"/>
                  <w:vAlign w:val="center"/>
                </w:tcPr>
                <w:p w14:paraId="381EFC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0A1A06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0.053</w:t>
                  </w:r>
                </w:p>
              </w:tc>
              <w:tc>
                <w:tcPr>
                  <w:tcW w:w="1112" w:type="dxa"/>
                  <w:tcBorders>
                    <w:tl2br w:val="nil"/>
                    <w:tr2bl w:val="nil"/>
                  </w:tcBorders>
                  <w:shd w:val="clear" w:color="auto" w:fill="auto"/>
                  <w:vAlign w:val="center"/>
                </w:tcPr>
                <w:p w14:paraId="5D3F1CF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743905C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0.048 </w:t>
                  </w:r>
                </w:p>
              </w:tc>
              <w:tc>
                <w:tcPr>
                  <w:tcW w:w="1152" w:type="dxa"/>
                  <w:tcBorders>
                    <w:tl2br w:val="nil"/>
                    <w:tr2bl w:val="nil"/>
                  </w:tcBorders>
                  <w:shd w:val="clear" w:color="auto" w:fill="auto"/>
                  <w:vAlign w:val="center"/>
                </w:tcPr>
                <w:p w14:paraId="4344E3D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0.005 </w:t>
                  </w:r>
                </w:p>
              </w:tc>
            </w:tr>
            <w:tr w14:paraId="3CCFC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25E31F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5</w:t>
                  </w:r>
                </w:p>
              </w:tc>
              <w:tc>
                <w:tcPr>
                  <w:tcW w:w="816" w:type="dxa"/>
                  <w:vMerge w:val="continue"/>
                  <w:tcBorders>
                    <w:tl2br w:val="nil"/>
                    <w:tr2bl w:val="nil"/>
                  </w:tcBorders>
                  <w:shd w:val="clear" w:color="auto" w:fill="auto"/>
                  <w:vAlign w:val="center"/>
                </w:tcPr>
                <w:p w14:paraId="72AFEA32">
                  <w:pPr>
                    <w:jc w:val="center"/>
                    <w:rPr>
                      <w:rFonts w:hint="default" w:ascii="Times New Roman" w:hAnsi="Times New Roman" w:eastAsia="宋体" w:cs="Times New Roman"/>
                      <w:i w:val="0"/>
                      <w:iCs w:val="0"/>
                      <w:color w:val="000000"/>
                      <w:sz w:val="21"/>
                      <w:szCs w:val="21"/>
                      <w:u w:val="none"/>
                    </w:rPr>
                  </w:pPr>
                </w:p>
              </w:tc>
              <w:tc>
                <w:tcPr>
                  <w:tcW w:w="1134" w:type="dxa"/>
                  <w:tcBorders>
                    <w:tl2br w:val="nil"/>
                    <w:tr2bl w:val="nil"/>
                  </w:tcBorders>
                  <w:shd w:val="clear" w:color="auto" w:fill="auto"/>
                  <w:vAlign w:val="center"/>
                </w:tcPr>
                <w:p w14:paraId="7574C5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4</w:t>
                  </w:r>
                </w:p>
              </w:tc>
              <w:tc>
                <w:tcPr>
                  <w:tcW w:w="797" w:type="dxa"/>
                  <w:vMerge w:val="continue"/>
                  <w:tcBorders>
                    <w:tl2br w:val="nil"/>
                    <w:tr2bl w:val="nil"/>
                  </w:tcBorders>
                  <w:shd w:val="clear" w:color="auto" w:fill="auto"/>
                  <w:vAlign w:val="center"/>
                </w:tcPr>
                <w:p w14:paraId="2E5053C1">
                  <w:pPr>
                    <w:jc w:val="center"/>
                    <w:rPr>
                      <w:rFonts w:hint="default" w:ascii="Times New Roman" w:hAnsi="Times New Roman" w:eastAsia="宋体" w:cs="Times New Roman"/>
                      <w:i w:val="0"/>
                      <w:iCs w:val="0"/>
                      <w:color w:val="000000"/>
                      <w:sz w:val="21"/>
                      <w:szCs w:val="21"/>
                      <w:u w:val="none"/>
                    </w:rPr>
                  </w:pPr>
                </w:p>
              </w:tc>
              <w:tc>
                <w:tcPr>
                  <w:tcW w:w="1034" w:type="dxa"/>
                  <w:tcBorders>
                    <w:tl2br w:val="nil"/>
                    <w:tr2bl w:val="nil"/>
                  </w:tcBorders>
                  <w:shd w:val="clear" w:color="auto" w:fill="auto"/>
                  <w:vAlign w:val="center"/>
                </w:tcPr>
                <w:p w14:paraId="2903E0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6DC2E5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0.191</w:t>
                  </w:r>
                </w:p>
              </w:tc>
              <w:tc>
                <w:tcPr>
                  <w:tcW w:w="1112" w:type="dxa"/>
                  <w:tcBorders>
                    <w:tl2br w:val="nil"/>
                    <w:tr2bl w:val="nil"/>
                  </w:tcBorders>
                  <w:shd w:val="clear" w:color="auto" w:fill="auto"/>
                  <w:vAlign w:val="center"/>
                </w:tcPr>
                <w:p w14:paraId="19F4E51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5BBFFB6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0.172 </w:t>
                  </w:r>
                </w:p>
              </w:tc>
              <w:tc>
                <w:tcPr>
                  <w:tcW w:w="1152" w:type="dxa"/>
                  <w:tcBorders>
                    <w:tl2br w:val="nil"/>
                    <w:tr2bl w:val="nil"/>
                  </w:tcBorders>
                  <w:shd w:val="clear" w:color="auto" w:fill="auto"/>
                  <w:vAlign w:val="center"/>
                </w:tcPr>
                <w:p w14:paraId="0FBAA9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0.019 </w:t>
                  </w:r>
                </w:p>
              </w:tc>
            </w:tr>
            <w:tr w14:paraId="050CA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62596E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6</w:t>
                  </w:r>
                </w:p>
              </w:tc>
              <w:tc>
                <w:tcPr>
                  <w:tcW w:w="816" w:type="dxa"/>
                  <w:vMerge w:val="continue"/>
                  <w:tcBorders>
                    <w:tl2br w:val="nil"/>
                    <w:tr2bl w:val="nil"/>
                  </w:tcBorders>
                  <w:shd w:val="clear" w:color="auto" w:fill="auto"/>
                  <w:vAlign w:val="center"/>
                </w:tcPr>
                <w:p w14:paraId="3EBFDD73">
                  <w:pPr>
                    <w:jc w:val="center"/>
                    <w:rPr>
                      <w:rFonts w:hint="default" w:ascii="Times New Roman" w:hAnsi="Times New Roman" w:eastAsia="宋体" w:cs="Times New Roman"/>
                      <w:i w:val="0"/>
                      <w:iCs w:val="0"/>
                      <w:color w:val="000000"/>
                      <w:sz w:val="21"/>
                      <w:szCs w:val="21"/>
                      <w:u w:val="none"/>
                    </w:rPr>
                  </w:pPr>
                </w:p>
              </w:tc>
              <w:tc>
                <w:tcPr>
                  <w:tcW w:w="1134" w:type="dxa"/>
                  <w:tcBorders>
                    <w:tl2br w:val="nil"/>
                    <w:tr2bl w:val="nil"/>
                  </w:tcBorders>
                  <w:shd w:val="clear" w:color="auto" w:fill="auto"/>
                  <w:vAlign w:val="center"/>
                </w:tcPr>
                <w:p w14:paraId="02F2EB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5</w:t>
                  </w:r>
                </w:p>
              </w:tc>
              <w:tc>
                <w:tcPr>
                  <w:tcW w:w="797" w:type="dxa"/>
                  <w:vMerge w:val="continue"/>
                  <w:tcBorders>
                    <w:tl2br w:val="nil"/>
                    <w:tr2bl w:val="nil"/>
                  </w:tcBorders>
                  <w:shd w:val="clear" w:color="auto" w:fill="auto"/>
                  <w:vAlign w:val="center"/>
                </w:tcPr>
                <w:p w14:paraId="7E1E659D">
                  <w:pPr>
                    <w:jc w:val="center"/>
                    <w:rPr>
                      <w:rFonts w:hint="default" w:ascii="Times New Roman" w:hAnsi="Times New Roman" w:eastAsia="宋体" w:cs="Times New Roman"/>
                      <w:i w:val="0"/>
                      <w:iCs w:val="0"/>
                      <w:color w:val="000000"/>
                      <w:sz w:val="21"/>
                      <w:szCs w:val="21"/>
                      <w:u w:val="none"/>
                    </w:rPr>
                  </w:pPr>
                </w:p>
              </w:tc>
              <w:tc>
                <w:tcPr>
                  <w:tcW w:w="1034" w:type="dxa"/>
                  <w:tcBorders>
                    <w:tl2br w:val="nil"/>
                    <w:tr2bl w:val="nil"/>
                  </w:tcBorders>
                  <w:shd w:val="clear" w:color="auto" w:fill="auto"/>
                  <w:vAlign w:val="center"/>
                </w:tcPr>
                <w:p w14:paraId="074047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435ACD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0.01</w:t>
                  </w:r>
                </w:p>
              </w:tc>
              <w:tc>
                <w:tcPr>
                  <w:tcW w:w="1112" w:type="dxa"/>
                  <w:tcBorders>
                    <w:tl2br w:val="nil"/>
                    <w:tr2bl w:val="nil"/>
                  </w:tcBorders>
                  <w:shd w:val="clear" w:color="auto" w:fill="auto"/>
                  <w:vAlign w:val="center"/>
                </w:tcPr>
                <w:p w14:paraId="2D4FBD5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2C9D8C6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0.009 </w:t>
                  </w:r>
                </w:p>
              </w:tc>
              <w:tc>
                <w:tcPr>
                  <w:tcW w:w="1152" w:type="dxa"/>
                  <w:tcBorders>
                    <w:tl2br w:val="nil"/>
                    <w:tr2bl w:val="nil"/>
                  </w:tcBorders>
                  <w:shd w:val="clear" w:color="auto" w:fill="auto"/>
                  <w:vAlign w:val="center"/>
                </w:tcPr>
                <w:p w14:paraId="6EC0A68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0.001 </w:t>
                  </w:r>
                </w:p>
              </w:tc>
            </w:tr>
            <w:tr w14:paraId="2301A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7B5BB8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7</w:t>
                  </w:r>
                </w:p>
              </w:tc>
              <w:tc>
                <w:tcPr>
                  <w:tcW w:w="816" w:type="dxa"/>
                  <w:vMerge w:val="continue"/>
                  <w:tcBorders>
                    <w:tl2br w:val="nil"/>
                    <w:tr2bl w:val="nil"/>
                  </w:tcBorders>
                  <w:shd w:val="clear" w:color="auto" w:fill="auto"/>
                  <w:vAlign w:val="center"/>
                </w:tcPr>
                <w:p w14:paraId="47EF5C35">
                  <w:pPr>
                    <w:jc w:val="center"/>
                    <w:rPr>
                      <w:rFonts w:hint="default" w:ascii="Times New Roman" w:hAnsi="Times New Roman" w:eastAsia="宋体" w:cs="Times New Roman"/>
                      <w:i w:val="0"/>
                      <w:iCs w:val="0"/>
                      <w:color w:val="000000"/>
                      <w:sz w:val="21"/>
                      <w:szCs w:val="21"/>
                      <w:u w:val="none"/>
                    </w:rPr>
                  </w:pPr>
                </w:p>
              </w:tc>
              <w:tc>
                <w:tcPr>
                  <w:tcW w:w="1134" w:type="dxa"/>
                  <w:tcBorders>
                    <w:tl2br w:val="nil"/>
                    <w:tr2bl w:val="nil"/>
                  </w:tcBorders>
                  <w:shd w:val="clear" w:color="auto" w:fill="auto"/>
                  <w:vAlign w:val="center"/>
                </w:tcPr>
                <w:p w14:paraId="17F031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6</w:t>
                  </w:r>
                </w:p>
              </w:tc>
              <w:tc>
                <w:tcPr>
                  <w:tcW w:w="797" w:type="dxa"/>
                  <w:vMerge w:val="continue"/>
                  <w:tcBorders>
                    <w:tl2br w:val="nil"/>
                    <w:tr2bl w:val="nil"/>
                  </w:tcBorders>
                  <w:shd w:val="clear" w:color="auto" w:fill="auto"/>
                  <w:vAlign w:val="center"/>
                </w:tcPr>
                <w:p w14:paraId="2D42C8BA">
                  <w:pPr>
                    <w:jc w:val="center"/>
                    <w:rPr>
                      <w:rFonts w:hint="default" w:ascii="Times New Roman" w:hAnsi="Times New Roman" w:eastAsia="宋体" w:cs="Times New Roman"/>
                      <w:i w:val="0"/>
                      <w:iCs w:val="0"/>
                      <w:color w:val="000000"/>
                      <w:sz w:val="21"/>
                      <w:szCs w:val="21"/>
                      <w:u w:val="none"/>
                    </w:rPr>
                  </w:pPr>
                </w:p>
              </w:tc>
              <w:tc>
                <w:tcPr>
                  <w:tcW w:w="1034" w:type="dxa"/>
                  <w:tcBorders>
                    <w:tl2br w:val="nil"/>
                    <w:tr2bl w:val="nil"/>
                  </w:tcBorders>
                  <w:shd w:val="clear" w:color="auto" w:fill="auto"/>
                  <w:vAlign w:val="center"/>
                </w:tcPr>
                <w:p w14:paraId="79BA07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4291DB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0.185</w:t>
                  </w:r>
                </w:p>
              </w:tc>
              <w:tc>
                <w:tcPr>
                  <w:tcW w:w="1112" w:type="dxa"/>
                  <w:tcBorders>
                    <w:tl2br w:val="nil"/>
                    <w:tr2bl w:val="nil"/>
                  </w:tcBorders>
                  <w:shd w:val="clear" w:color="auto" w:fill="auto"/>
                  <w:vAlign w:val="center"/>
                </w:tcPr>
                <w:p w14:paraId="5CF1EFD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0487A78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0.167 </w:t>
                  </w:r>
                </w:p>
              </w:tc>
              <w:tc>
                <w:tcPr>
                  <w:tcW w:w="1152" w:type="dxa"/>
                  <w:tcBorders>
                    <w:tl2br w:val="nil"/>
                    <w:tr2bl w:val="nil"/>
                  </w:tcBorders>
                  <w:shd w:val="clear" w:color="auto" w:fill="auto"/>
                  <w:vAlign w:val="center"/>
                </w:tcPr>
                <w:p w14:paraId="4D013F4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0.019 </w:t>
                  </w:r>
                </w:p>
              </w:tc>
            </w:tr>
            <w:tr w14:paraId="59119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0E0C3EC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816" w:type="dxa"/>
                  <w:vMerge w:val="continue"/>
                  <w:tcBorders>
                    <w:tl2br w:val="nil"/>
                    <w:tr2bl w:val="nil"/>
                  </w:tcBorders>
                  <w:shd w:val="clear" w:color="auto" w:fill="auto"/>
                  <w:vAlign w:val="center"/>
                </w:tcPr>
                <w:p w14:paraId="03B30B62">
                  <w:pPr>
                    <w:jc w:val="center"/>
                    <w:rPr>
                      <w:rFonts w:hint="default" w:ascii="Times New Roman" w:hAnsi="Times New Roman" w:eastAsia="宋体" w:cs="Times New Roman"/>
                      <w:i w:val="0"/>
                      <w:iCs w:val="0"/>
                      <w:color w:val="000000"/>
                      <w:sz w:val="21"/>
                      <w:szCs w:val="21"/>
                      <w:u w:val="none"/>
                    </w:rPr>
                  </w:pPr>
                </w:p>
              </w:tc>
              <w:tc>
                <w:tcPr>
                  <w:tcW w:w="1134" w:type="dxa"/>
                  <w:tcBorders>
                    <w:tl2br w:val="nil"/>
                    <w:tr2bl w:val="nil"/>
                  </w:tcBorders>
                  <w:shd w:val="clear" w:color="auto" w:fill="auto"/>
                  <w:vAlign w:val="center"/>
                </w:tcPr>
                <w:p w14:paraId="50E85D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7</w:t>
                  </w:r>
                </w:p>
              </w:tc>
              <w:tc>
                <w:tcPr>
                  <w:tcW w:w="797" w:type="dxa"/>
                  <w:vMerge w:val="continue"/>
                  <w:tcBorders>
                    <w:tl2br w:val="nil"/>
                    <w:tr2bl w:val="nil"/>
                  </w:tcBorders>
                  <w:shd w:val="clear" w:color="auto" w:fill="auto"/>
                  <w:vAlign w:val="center"/>
                </w:tcPr>
                <w:p w14:paraId="3AED60C4">
                  <w:pPr>
                    <w:jc w:val="center"/>
                    <w:rPr>
                      <w:rFonts w:hint="default" w:ascii="Times New Roman" w:hAnsi="Times New Roman" w:eastAsia="宋体" w:cs="Times New Roman"/>
                      <w:i w:val="0"/>
                      <w:iCs w:val="0"/>
                      <w:color w:val="000000"/>
                      <w:sz w:val="21"/>
                      <w:szCs w:val="21"/>
                      <w:u w:val="none"/>
                    </w:rPr>
                  </w:pPr>
                </w:p>
              </w:tc>
              <w:tc>
                <w:tcPr>
                  <w:tcW w:w="1034" w:type="dxa"/>
                  <w:tcBorders>
                    <w:tl2br w:val="nil"/>
                    <w:tr2bl w:val="nil"/>
                  </w:tcBorders>
                  <w:shd w:val="clear" w:color="auto" w:fill="auto"/>
                  <w:vAlign w:val="center"/>
                </w:tcPr>
                <w:p w14:paraId="55185F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002E0B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0.002</w:t>
                  </w:r>
                </w:p>
              </w:tc>
              <w:tc>
                <w:tcPr>
                  <w:tcW w:w="1112" w:type="dxa"/>
                  <w:tcBorders>
                    <w:tl2br w:val="nil"/>
                    <w:tr2bl w:val="nil"/>
                  </w:tcBorders>
                  <w:shd w:val="clear" w:color="auto" w:fill="auto"/>
                  <w:vAlign w:val="center"/>
                </w:tcPr>
                <w:p w14:paraId="07A765A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0325A7F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0.002 </w:t>
                  </w:r>
                </w:p>
              </w:tc>
              <w:tc>
                <w:tcPr>
                  <w:tcW w:w="1152" w:type="dxa"/>
                  <w:tcBorders>
                    <w:tl2br w:val="nil"/>
                    <w:tr2bl w:val="nil"/>
                  </w:tcBorders>
                  <w:shd w:val="clear" w:color="auto" w:fill="auto"/>
                  <w:vAlign w:val="center"/>
                </w:tcPr>
                <w:p w14:paraId="199B07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0.000 </w:t>
                  </w:r>
                </w:p>
              </w:tc>
            </w:tr>
            <w:tr w14:paraId="28014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30EE584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816" w:type="dxa"/>
                  <w:vMerge w:val="continue"/>
                  <w:tcBorders>
                    <w:tl2br w:val="nil"/>
                    <w:tr2bl w:val="nil"/>
                  </w:tcBorders>
                  <w:shd w:val="clear" w:color="auto" w:fill="auto"/>
                  <w:vAlign w:val="center"/>
                </w:tcPr>
                <w:p w14:paraId="3DDFDC4D">
                  <w:pPr>
                    <w:jc w:val="center"/>
                    <w:rPr>
                      <w:rFonts w:hint="default" w:ascii="Times New Roman" w:hAnsi="Times New Roman" w:eastAsia="宋体" w:cs="Times New Roman"/>
                      <w:i w:val="0"/>
                      <w:iCs w:val="0"/>
                      <w:color w:val="000000"/>
                      <w:sz w:val="21"/>
                      <w:szCs w:val="21"/>
                      <w:u w:val="none"/>
                    </w:rPr>
                  </w:pPr>
                </w:p>
              </w:tc>
              <w:tc>
                <w:tcPr>
                  <w:tcW w:w="1134" w:type="dxa"/>
                  <w:tcBorders>
                    <w:tl2br w:val="nil"/>
                    <w:tr2bl w:val="nil"/>
                  </w:tcBorders>
                  <w:shd w:val="clear" w:color="auto" w:fill="auto"/>
                  <w:vAlign w:val="center"/>
                </w:tcPr>
                <w:p w14:paraId="55CDEE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8</w:t>
                  </w:r>
                </w:p>
              </w:tc>
              <w:tc>
                <w:tcPr>
                  <w:tcW w:w="797" w:type="dxa"/>
                  <w:vMerge w:val="continue"/>
                  <w:tcBorders>
                    <w:tl2br w:val="nil"/>
                    <w:tr2bl w:val="nil"/>
                  </w:tcBorders>
                  <w:shd w:val="clear" w:color="auto" w:fill="auto"/>
                  <w:vAlign w:val="center"/>
                </w:tcPr>
                <w:p w14:paraId="65364E63">
                  <w:pPr>
                    <w:jc w:val="center"/>
                    <w:rPr>
                      <w:rFonts w:hint="default" w:ascii="Times New Roman" w:hAnsi="Times New Roman" w:eastAsia="宋体" w:cs="Times New Roman"/>
                      <w:i w:val="0"/>
                      <w:iCs w:val="0"/>
                      <w:color w:val="000000"/>
                      <w:sz w:val="21"/>
                      <w:szCs w:val="21"/>
                      <w:u w:val="none"/>
                    </w:rPr>
                  </w:pPr>
                </w:p>
              </w:tc>
              <w:tc>
                <w:tcPr>
                  <w:tcW w:w="1034" w:type="dxa"/>
                  <w:tcBorders>
                    <w:tl2br w:val="nil"/>
                    <w:tr2bl w:val="nil"/>
                  </w:tcBorders>
                  <w:shd w:val="clear" w:color="auto" w:fill="auto"/>
                  <w:vAlign w:val="center"/>
                </w:tcPr>
                <w:p w14:paraId="540965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09609D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0.237</w:t>
                  </w:r>
                </w:p>
              </w:tc>
              <w:tc>
                <w:tcPr>
                  <w:tcW w:w="1112" w:type="dxa"/>
                  <w:tcBorders>
                    <w:tl2br w:val="nil"/>
                    <w:tr2bl w:val="nil"/>
                  </w:tcBorders>
                  <w:shd w:val="clear" w:color="auto" w:fill="auto"/>
                  <w:vAlign w:val="center"/>
                </w:tcPr>
                <w:p w14:paraId="2DE069E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4C60F37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0.213 </w:t>
                  </w:r>
                </w:p>
              </w:tc>
              <w:tc>
                <w:tcPr>
                  <w:tcW w:w="1152" w:type="dxa"/>
                  <w:tcBorders>
                    <w:tl2br w:val="nil"/>
                    <w:tr2bl w:val="nil"/>
                  </w:tcBorders>
                  <w:shd w:val="clear" w:color="auto" w:fill="auto"/>
                  <w:vAlign w:val="center"/>
                </w:tcPr>
                <w:p w14:paraId="664F2A1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0.024 </w:t>
                  </w:r>
                </w:p>
              </w:tc>
            </w:tr>
            <w:tr w14:paraId="77DD2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4ED7C4D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816" w:type="dxa"/>
                  <w:vMerge w:val="continue"/>
                  <w:tcBorders>
                    <w:tl2br w:val="nil"/>
                    <w:tr2bl w:val="nil"/>
                  </w:tcBorders>
                  <w:shd w:val="clear" w:color="auto" w:fill="auto"/>
                  <w:vAlign w:val="center"/>
                </w:tcPr>
                <w:p w14:paraId="0C37C9D4">
                  <w:pPr>
                    <w:jc w:val="center"/>
                    <w:rPr>
                      <w:rFonts w:hint="default" w:ascii="Times New Roman" w:hAnsi="Times New Roman" w:eastAsia="宋体" w:cs="Times New Roman"/>
                      <w:i w:val="0"/>
                      <w:iCs w:val="0"/>
                      <w:color w:val="000000"/>
                      <w:sz w:val="21"/>
                      <w:szCs w:val="21"/>
                      <w:u w:val="none"/>
                    </w:rPr>
                  </w:pPr>
                </w:p>
              </w:tc>
              <w:tc>
                <w:tcPr>
                  <w:tcW w:w="1134" w:type="dxa"/>
                  <w:tcBorders>
                    <w:tl2br w:val="nil"/>
                    <w:tr2bl w:val="nil"/>
                  </w:tcBorders>
                  <w:shd w:val="clear" w:color="auto" w:fill="auto"/>
                  <w:vAlign w:val="center"/>
                </w:tcPr>
                <w:p w14:paraId="56E6BB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9</w:t>
                  </w:r>
                </w:p>
              </w:tc>
              <w:tc>
                <w:tcPr>
                  <w:tcW w:w="797" w:type="dxa"/>
                  <w:vMerge w:val="continue"/>
                  <w:tcBorders>
                    <w:tl2br w:val="nil"/>
                    <w:tr2bl w:val="nil"/>
                  </w:tcBorders>
                  <w:shd w:val="clear" w:color="auto" w:fill="auto"/>
                  <w:vAlign w:val="center"/>
                </w:tcPr>
                <w:p w14:paraId="14152D17">
                  <w:pPr>
                    <w:jc w:val="center"/>
                    <w:rPr>
                      <w:rFonts w:hint="default" w:ascii="Times New Roman" w:hAnsi="Times New Roman" w:eastAsia="宋体" w:cs="Times New Roman"/>
                      <w:i w:val="0"/>
                      <w:iCs w:val="0"/>
                      <w:color w:val="000000"/>
                      <w:sz w:val="21"/>
                      <w:szCs w:val="21"/>
                      <w:u w:val="none"/>
                    </w:rPr>
                  </w:pPr>
                </w:p>
              </w:tc>
              <w:tc>
                <w:tcPr>
                  <w:tcW w:w="1034" w:type="dxa"/>
                  <w:tcBorders>
                    <w:tl2br w:val="nil"/>
                    <w:tr2bl w:val="nil"/>
                  </w:tcBorders>
                  <w:shd w:val="clear" w:color="auto" w:fill="auto"/>
                  <w:vAlign w:val="center"/>
                </w:tcPr>
                <w:p w14:paraId="0242E7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1B5587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0.004</w:t>
                  </w:r>
                </w:p>
              </w:tc>
              <w:tc>
                <w:tcPr>
                  <w:tcW w:w="1112" w:type="dxa"/>
                  <w:tcBorders>
                    <w:tl2br w:val="nil"/>
                    <w:tr2bl w:val="nil"/>
                  </w:tcBorders>
                  <w:shd w:val="clear" w:color="auto" w:fill="auto"/>
                  <w:vAlign w:val="center"/>
                </w:tcPr>
                <w:p w14:paraId="4D75DF3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226952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0.004 </w:t>
                  </w:r>
                </w:p>
              </w:tc>
              <w:tc>
                <w:tcPr>
                  <w:tcW w:w="1152" w:type="dxa"/>
                  <w:tcBorders>
                    <w:tl2br w:val="nil"/>
                    <w:tr2bl w:val="nil"/>
                  </w:tcBorders>
                  <w:shd w:val="clear" w:color="auto" w:fill="auto"/>
                  <w:vAlign w:val="center"/>
                </w:tcPr>
                <w:p w14:paraId="773F18F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0.000 </w:t>
                  </w:r>
                </w:p>
              </w:tc>
            </w:tr>
            <w:tr w14:paraId="335A7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01E5761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1950" w:type="dxa"/>
                  <w:gridSpan w:val="2"/>
                  <w:tcBorders>
                    <w:tl2br w:val="nil"/>
                    <w:tr2bl w:val="nil"/>
                  </w:tcBorders>
                  <w:shd w:val="clear" w:color="auto" w:fill="auto"/>
                  <w:vAlign w:val="center"/>
                </w:tcPr>
                <w:p w14:paraId="1A5BC0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炉渣筛分粉尘</w:t>
                  </w:r>
                </w:p>
              </w:tc>
              <w:tc>
                <w:tcPr>
                  <w:tcW w:w="797" w:type="dxa"/>
                  <w:tcBorders>
                    <w:tl2br w:val="nil"/>
                    <w:tr2bl w:val="nil"/>
                  </w:tcBorders>
                  <w:shd w:val="clear" w:color="auto" w:fill="auto"/>
                  <w:vAlign w:val="center"/>
                </w:tcPr>
                <w:p w14:paraId="68DB02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G1-6</w:t>
                  </w:r>
                </w:p>
              </w:tc>
              <w:tc>
                <w:tcPr>
                  <w:tcW w:w="1034" w:type="dxa"/>
                  <w:tcBorders>
                    <w:tl2br w:val="nil"/>
                    <w:tr2bl w:val="nil"/>
                  </w:tcBorders>
                  <w:shd w:val="clear" w:color="auto" w:fill="auto"/>
                  <w:vAlign w:val="center"/>
                </w:tcPr>
                <w:p w14:paraId="42E5A4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2EFFE8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5.623</w:t>
                  </w:r>
                </w:p>
              </w:tc>
              <w:tc>
                <w:tcPr>
                  <w:tcW w:w="1112" w:type="dxa"/>
                  <w:tcBorders>
                    <w:tl2br w:val="nil"/>
                    <w:tr2bl w:val="nil"/>
                  </w:tcBorders>
                  <w:shd w:val="clear" w:color="auto" w:fill="auto"/>
                  <w:vAlign w:val="center"/>
                </w:tcPr>
                <w:p w14:paraId="23187D3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106" w:type="dxa"/>
                  <w:tcBorders>
                    <w:tl2br w:val="nil"/>
                    <w:tr2bl w:val="nil"/>
                  </w:tcBorders>
                  <w:shd w:val="clear" w:color="auto" w:fill="auto"/>
                  <w:vAlign w:val="center"/>
                </w:tcPr>
                <w:p w14:paraId="3F44A01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5.623 </w:t>
                  </w:r>
                </w:p>
              </w:tc>
              <w:tc>
                <w:tcPr>
                  <w:tcW w:w="1152" w:type="dxa"/>
                  <w:tcBorders>
                    <w:tl2br w:val="nil"/>
                    <w:tr2bl w:val="nil"/>
                  </w:tcBorders>
                  <w:shd w:val="clear" w:color="auto" w:fill="auto"/>
                  <w:vAlign w:val="center"/>
                </w:tcPr>
                <w:p w14:paraId="6EBE130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0.000 </w:t>
                  </w:r>
                </w:p>
              </w:tc>
            </w:tr>
            <w:tr w14:paraId="233E8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0DAAA4F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1950" w:type="dxa"/>
                  <w:gridSpan w:val="2"/>
                  <w:tcBorders>
                    <w:tl2br w:val="nil"/>
                    <w:tr2bl w:val="nil"/>
                  </w:tcBorders>
                  <w:shd w:val="clear" w:color="auto" w:fill="auto"/>
                  <w:vAlign w:val="center"/>
                </w:tcPr>
                <w:p w14:paraId="37F78C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旋风分离粉尘</w:t>
                  </w:r>
                </w:p>
              </w:tc>
              <w:tc>
                <w:tcPr>
                  <w:tcW w:w="797" w:type="dxa"/>
                  <w:tcBorders>
                    <w:tl2br w:val="nil"/>
                    <w:tr2bl w:val="nil"/>
                  </w:tcBorders>
                  <w:shd w:val="clear" w:color="auto" w:fill="auto"/>
                  <w:vAlign w:val="center"/>
                </w:tcPr>
                <w:p w14:paraId="203F03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G1-7</w:t>
                  </w:r>
                </w:p>
              </w:tc>
              <w:tc>
                <w:tcPr>
                  <w:tcW w:w="1034" w:type="dxa"/>
                  <w:tcBorders>
                    <w:tl2br w:val="nil"/>
                    <w:tr2bl w:val="nil"/>
                  </w:tcBorders>
                  <w:shd w:val="clear" w:color="auto" w:fill="auto"/>
                  <w:vAlign w:val="center"/>
                </w:tcPr>
                <w:p w14:paraId="34757A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72E1B8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2.866</w:t>
                  </w:r>
                </w:p>
              </w:tc>
              <w:tc>
                <w:tcPr>
                  <w:tcW w:w="1112" w:type="dxa"/>
                  <w:tcBorders>
                    <w:tl2br w:val="nil"/>
                    <w:tr2bl w:val="nil"/>
                  </w:tcBorders>
                  <w:shd w:val="clear" w:color="auto" w:fill="auto"/>
                  <w:vAlign w:val="center"/>
                </w:tcPr>
                <w:p w14:paraId="3D57605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106" w:type="dxa"/>
                  <w:tcBorders>
                    <w:tl2br w:val="nil"/>
                    <w:tr2bl w:val="nil"/>
                  </w:tcBorders>
                  <w:shd w:val="clear" w:color="auto" w:fill="auto"/>
                  <w:vAlign w:val="center"/>
                </w:tcPr>
                <w:p w14:paraId="6E0411F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2.866 </w:t>
                  </w:r>
                </w:p>
              </w:tc>
              <w:tc>
                <w:tcPr>
                  <w:tcW w:w="1152" w:type="dxa"/>
                  <w:tcBorders>
                    <w:tl2br w:val="nil"/>
                    <w:tr2bl w:val="nil"/>
                  </w:tcBorders>
                  <w:shd w:val="clear" w:color="auto" w:fill="auto"/>
                  <w:vAlign w:val="center"/>
                </w:tcPr>
                <w:p w14:paraId="167531A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0.000 </w:t>
                  </w:r>
                </w:p>
              </w:tc>
            </w:tr>
            <w:tr w14:paraId="0F6A5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0DC0901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1950" w:type="dxa"/>
                  <w:gridSpan w:val="2"/>
                  <w:tcBorders>
                    <w:tl2br w:val="nil"/>
                    <w:tr2bl w:val="nil"/>
                  </w:tcBorders>
                  <w:shd w:val="clear" w:color="auto" w:fill="auto"/>
                  <w:vAlign w:val="center"/>
                </w:tcPr>
                <w:p w14:paraId="718E23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硅粉包装粉尘</w:t>
                  </w:r>
                </w:p>
              </w:tc>
              <w:tc>
                <w:tcPr>
                  <w:tcW w:w="797" w:type="dxa"/>
                  <w:tcBorders>
                    <w:tl2br w:val="nil"/>
                    <w:tr2bl w:val="nil"/>
                  </w:tcBorders>
                  <w:shd w:val="clear" w:color="auto" w:fill="auto"/>
                  <w:vAlign w:val="center"/>
                </w:tcPr>
                <w:p w14:paraId="632466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G1-8</w:t>
                  </w:r>
                </w:p>
              </w:tc>
              <w:tc>
                <w:tcPr>
                  <w:tcW w:w="1034" w:type="dxa"/>
                  <w:tcBorders>
                    <w:tl2br w:val="nil"/>
                    <w:tr2bl w:val="nil"/>
                  </w:tcBorders>
                  <w:shd w:val="clear" w:color="auto" w:fill="auto"/>
                  <w:vAlign w:val="center"/>
                </w:tcPr>
                <w:p w14:paraId="1B650A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7C1ACA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0.056</w:t>
                  </w:r>
                </w:p>
              </w:tc>
              <w:tc>
                <w:tcPr>
                  <w:tcW w:w="1112" w:type="dxa"/>
                  <w:tcBorders>
                    <w:tl2br w:val="nil"/>
                    <w:tr2bl w:val="nil"/>
                  </w:tcBorders>
                  <w:shd w:val="clear" w:color="auto" w:fill="auto"/>
                  <w:vAlign w:val="center"/>
                </w:tcPr>
                <w:p w14:paraId="67BE4DA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2EB9C79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0.050 </w:t>
                  </w:r>
                </w:p>
              </w:tc>
              <w:tc>
                <w:tcPr>
                  <w:tcW w:w="1152" w:type="dxa"/>
                  <w:tcBorders>
                    <w:tl2br w:val="nil"/>
                    <w:tr2bl w:val="nil"/>
                  </w:tcBorders>
                  <w:shd w:val="clear" w:color="auto" w:fill="auto"/>
                  <w:vAlign w:val="center"/>
                </w:tcPr>
                <w:p w14:paraId="4E97C35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0.006 </w:t>
                  </w:r>
                </w:p>
              </w:tc>
            </w:tr>
            <w:tr w14:paraId="565D3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754" w:type="dxa"/>
                  <w:tcBorders>
                    <w:tl2br w:val="nil"/>
                    <w:tr2bl w:val="nil"/>
                  </w:tcBorders>
                  <w:shd w:val="clear" w:color="auto" w:fill="auto"/>
                  <w:vAlign w:val="center"/>
                </w:tcPr>
                <w:p w14:paraId="5563E8A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816" w:type="dxa"/>
                  <w:vMerge w:val="restart"/>
                  <w:tcBorders>
                    <w:tl2br w:val="nil"/>
                    <w:tr2bl w:val="nil"/>
                  </w:tcBorders>
                  <w:shd w:val="clear" w:color="auto" w:fill="auto"/>
                  <w:vAlign w:val="center"/>
                </w:tcPr>
                <w:p w14:paraId="7EDB35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风选粉尘</w:t>
                  </w:r>
                </w:p>
              </w:tc>
              <w:tc>
                <w:tcPr>
                  <w:tcW w:w="1134" w:type="dxa"/>
                  <w:tcBorders>
                    <w:tl2br w:val="nil"/>
                    <w:tr2bl w:val="nil"/>
                  </w:tcBorders>
                  <w:shd w:val="clear" w:color="auto" w:fill="auto"/>
                  <w:vAlign w:val="center"/>
                </w:tcPr>
                <w:p w14:paraId="24AB62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物料风选</w:t>
                  </w:r>
                </w:p>
              </w:tc>
              <w:tc>
                <w:tcPr>
                  <w:tcW w:w="797" w:type="dxa"/>
                  <w:vMerge w:val="restart"/>
                  <w:tcBorders>
                    <w:tl2br w:val="nil"/>
                    <w:tr2bl w:val="nil"/>
                  </w:tcBorders>
                  <w:shd w:val="clear" w:color="auto" w:fill="auto"/>
                  <w:vAlign w:val="center"/>
                </w:tcPr>
                <w:p w14:paraId="3A5BE5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G1-9</w:t>
                  </w:r>
                </w:p>
              </w:tc>
              <w:tc>
                <w:tcPr>
                  <w:tcW w:w="1034" w:type="dxa"/>
                  <w:tcBorders>
                    <w:tl2br w:val="nil"/>
                    <w:tr2bl w:val="nil"/>
                  </w:tcBorders>
                  <w:shd w:val="clear" w:color="auto" w:fill="auto"/>
                  <w:vAlign w:val="center"/>
                </w:tcPr>
                <w:p w14:paraId="5DBFC7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17431E3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4.301</w:t>
                  </w:r>
                </w:p>
              </w:tc>
              <w:tc>
                <w:tcPr>
                  <w:tcW w:w="1112" w:type="dxa"/>
                  <w:tcBorders>
                    <w:tl2br w:val="nil"/>
                    <w:tr2bl w:val="nil"/>
                  </w:tcBorders>
                  <w:shd w:val="clear" w:color="auto" w:fill="auto"/>
                  <w:vAlign w:val="center"/>
                </w:tcPr>
                <w:p w14:paraId="41897F7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106" w:type="dxa"/>
                  <w:tcBorders>
                    <w:tl2br w:val="nil"/>
                    <w:tr2bl w:val="nil"/>
                  </w:tcBorders>
                  <w:shd w:val="clear" w:color="auto" w:fill="auto"/>
                  <w:vAlign w:val="center"/>
                </w:tcPr>
                <w:p w14:paraId="176185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4.301 </w:t>
                  </w:r>
                </w:p>
              </w:tc>
              <w:tc>
                <w:tcPr>
                  <w:tcW w:w="1152" w:type="dxa"/>
                  <w:tcBorders>
                    <w:tl2br w:val="nil"/>
                    <w:tr2bl w:val="nil"/>
                  </w:tcBorders>
                  <w:shd w:val="clear" w:color="auto" w:fill="auto"/>
                  <w:vAlign w:val="center"/>
                </w:tcPr>
                <w:p w14:paraId="1136FE4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0.000 </w:t>
                  </w:r>
                </w:p>
              </w:tc>
            </w:tr>
            <w:tr w14:paraId="3ECE5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5" w:hRule="atLeast"/>
                <w:jc w:val="center"/>
              </w:trPr>
              <w:tc>
                <w:tcPr>
                  <w:tcW w:w="754" w:type="dxa"/>
                  <w:tcBorders>
                    <w:tl2br w:val="nil"/>
                    <w:tr2bl w:val="nil"/>
                  </w:tcBorders>
                  <w:shd w:val="clear" w:color="auto" w:fill="auto"/>
                  <w:vAlign w:val="center"/>
                </w:tcPr>
                <w:p w14:paraId="1D5BF69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816" w:type="dxa"/>
                  <w:vMerge w:val="continue"/>
                  <w:tcBorders>
                    <w:tl2br w:val="nil"/>
                    <w:tr2bl w:val="nil"/>
                  </w:tcBorders>
                  <w:shd w:val="clear" w:color="auto" w:fill="auto"/>
                  <w:vAlign w:val="center"/>
                </w:tcPr>
                <w:p w14:paraId="5FC34E4D">
                  <w:pPr>
                    <w:jc w:val="center"/>
                    <w:rPr>
                      <w:rFonts w:hint="default" w:ascii="Times New Roman" w:hAnsi="Times New Roman" w:eastAsia="宋体" w:cs="Times New Roman"/>
                      <w:i w:val="0"/>
                      <w:iCs w:val="0"/>
                      <w:color w:val="000000"/>
                      <w:sz w:val="21"/>
                      <w:szCs w:val="21"/>
                      <w:u w:val="none"/>
                    </w:rPr>
                  </w:pPr>
                </w:p>
              </w:tc>
              <w:tc>
                <w:tcPr>
                  <w:tcW w:w="1134" w:type="dxa"/>
                  <w:tcBorders>
                    <w:tl2br w:val="nil"/>
                    <w:tr2bl w:val="nil"/>
                  </w:tcBorders>
                  <w:shd w:val="clear" w:color="auto" w:fill="auto"/>
                  <w:vAlign w:val="center"/>
                </w:tcPr>
                <w:p w14:paraId="43D25F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9</w:t>
                  </w:r>
                  <w:r>
                    <w:rPr>
                      <w:rFonts w:hint="eastAsia" w:ascii="宋体" w:hAnsi="宋体" w:eastAsia="宋体" w:cs="宋体"/>
                      <w:i w:val="0"/>
                      <w:iCs w:val="0"/>
                      <w:color w:val="000000"/>
                      <w:kern w:val="0"/>
                      <w:sz w:val="21"/>
                      <w:szCs w:val="21"/>
                      <w:u w:val="none"/>
                      <w:lang w:val="en-US" w:eastAsia="zh-CN" w:bidi="ar"/>
                    </w:rPr>
                    <w:t>物料风选</w:t>
                  </w:r>
                </w:p>
              </w:tc>
              <w:tc>
                <w:tcPr>
                  <w:tcW w:w="797" w:type="dxa"/>
                  <w:vMerge w:val="continue"/>
                  <w:tcBorders>
                    <w:tl2br w:val="nil"/>
                    <w:tr2bl w:val="nil"/>
                  </w:tcBorders>
                  <w:shd w:val="clear" w:color="auto" w:fill="auto"/>
                  <w:vAlign w:val="center"/>
                </w:tcPr>
                <w:p w14:paraId="4BF53DE4">
                  <w:pPr>
                    <w:jc w:val="center"/>
                    <w:rPr>
                      <w:rFonts w:hint="default" w:ascii="Times New Roman" w:hAnsi="Times New Roman" w:eastAsia="宋体" w:cs="Times New Roman"/>
                      <w:i w:val="0"/>
                      <w:iCs w:val="0"/>
                      <w:color w:val="000000"/>
                      <w:sz w:val="21"/>
                      <w:szCs w:val="21"/>
                      <w:u w:val="none"/>
                    </w:rPr>
                  </w:pPr>
                </w:p>
              </w:tc>
              <w:tc>
                <w:tcPr>
                  <w:tcW w:w="1034" w:type="dxa"/>
                  <w:tcBorders>
                    <w:tl2br w:val="nil"/>
                    <w:tr2bl w:val="nil"/>
                  </w:tcBorders>
                  <w:shd w:val="clear" w:color="auto" w:fill="auto"/>
                  <w:vAlign w:val="center"/>
                </w:tcPr>
                <w:p w14:paraId="12B109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3A4F2A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0.101</w:t>
                  </w:r>
                </w:p>
              </w:tc>
              <w:tc>
                <w:tcPr>
                  <w:tcW w:w="1112" w:type="dxa"/>
                  <w:tcBorders>
                    <w:tl2br w:val="nil"/>
                    <w:tr2bl w:val="nil"/>
                  </w:tcBorders>
                  <w:shd w:val="clear" w:color="auto" w:fill="auto"/>
                  <w:vAlign w:val="center"/>
                </w:tcPr>
                <w:p w14:paraId="30B6702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106" w:type="dxa"/>
                  <w:tcBorders>
                    <w:tl2br w:val="nil"/>
                    <w:tr2bl w:val="nil"/>
                  </w:tcBorders>
                  <w:shd w:val="clear" w:color="auto" w:fill="auto"/>
                  <w:vAlign w:val="center"/>
                </w:tcPr>
                <w:p w14:paraId="40720C6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0.101 </w:t>
                  </w:r>
                </w:p>
              </w:tc>
              <w:tc>
                <w:tcPr>
                  <w:tcW w:w="1152" w:type="dxa"/>
                  <w:tcBorders>
                    <w:tl2br w:val="nil"/>
                    <w:tr2bl w:val="nil"/>
                  </w:tcBorders>
                  <w:shd w:val="clear" w:color="auto" w:fill="auto"/>
                  <w:vAlign w:val="center"/>
                </w:tcPr>
                <w:p w14:paraId="1612E0F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0.000 </w:t>
                  </w:r>
                </w:p>
              </w:tc>
            </w:tr>
            <w:tr w14:paraId="0DC6A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089F115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16</w:t>
                  </w:r>
                </w:p>
              </w:tc>
              <w:tc>
                <w:tcPr>
                  <w:tcW w:w="816" w:type="dxa"/>
                  <w:vMerge w:val="restart"/>
                  <w:tcBorders>
                    <w:tl2br w:val="nil"/>
                    <w:tr2bl w:val="nil"/>
                  </w:tcBorders>
                  <w:shd w:val="clear" w:color="auto" w:fill="auto"/>
                  <w:vAlign w:val="center"/>
                </w:tcPr>
                <w:p w14:paraId="62299B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进仓粉尘</w:t>
                  </w:r>
                </w:p>
              </w:tc>
              <w:tc>
                <w:tcPr>
                  <w:tcW w:w="1134" w:type="dxa"/>
                  <w:tcBorders>
                    <w:tl2br w:val="nil"/>
                    <w:tr2bl w:val="nil"/>
                  </w:tcBorders>
                  <w:shd w:val="clear" w:color="auto" w:fill="auto"/>
                  <w:vAlign w:val="center"/>
                </w:tcPr>
                <w:p w14:paraId="6779C0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10</w:t>
                  </w:r>
                </w:p>
              </w:tc>
              <w:tc>
                <w:tcPr>
                  <w:tcW w:w="797" w:type="dxa"/>
                  <w:tcBorders>
                    <w:tl2br w:val="nil"/>
                    <w:tr2bl w:val="nil"/>
                  </w:tcBorders>
                  <w:shd w:val="clear" w:color="auto" w:fill="auto"/>
                  <w:vAlign w:val="center"/>
                </w:tcPr>
                <w:p w14:paraId="658FA7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G3-3</w:t>
                  </w:r>
                </w:p>
              </w:tc>
              <w:tc>
                <w:tcPr>
                  <w:tcW w:w="1034" w:type="dxa"/>
                  <w:tcBorders>
                    <w:tl2br w:val="nil"/>
                    <w:tr2bl w:val="nil"/>
                  </w:tcBorders>
                  <w:shd w:val="clear" w:color="auto" w:fill="auto"/>
                  <w:vAlign w:val="center"/>
                </w:tcPr>
                <w:p w14:paraId="469BFC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20D8BA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0.237</w:t>
                  </w:r>
                </w:p>
              </w:tc>
              <w:tc>
                <w:tcPr>
                  <w:tcW w:w="1112" w:type="dxa"/>
                  <w:tcBorders>
                    <w:tl2br w:val="nil"/>
                    <w:tr2bl w:val="nil"/>
                  </w:tcBorders>
                  <w:shd w:val="clear" w:color="auto" w:fill="auto"/>
                  <w:vAlign w:val="center"/>
                </w:tcPr>
                <w:p w14:paraId="448FCAE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4B503A3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0.213 </w:t>
                  </w:r>
                </w:p>
              </w:tc>
              <w:tc>
                <w:tcPr>
                  <w:tcW w:w="1152" w:type="dxa"/>
                  <w:tcBorders>
                    <w:tl2br w:val="nil"/>
                    <w:tr2bl w:val="nil"/>
                  </w:tcBorders>
                  <w:shd w:val="clear" w:color="auto" w:fill="auto"/>
                  <w:vAlign w:val="center"/>
                </w:tcPr>
                <w:p w14:paraId="3F315BE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0.024 </w:t>
                  </w:r>
                </w:p>
              </w:tc>
            </w:tr>
            <w:tr w14:paraId="39918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47D1FB0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17</w:t>
                  </w:r>
                </w:p>
              </w:tc>
              <w:tc>
                <w:tcPr>
                  <w:tcW w:w="816" w:type="dxa"/>
                  <w:vMerge w:val="continue"/>
                  <w:tcBorders>
                    <w:tl2br w:val="nil"/>
                    <w:tr2bl w:val="nil"/>
                  </w:tcBorders>
                  <w:shd w:val="clear" w:color="auto" w:fill="auto"/>
                  <w:vAlign w:val="center"/>
                </w:tcPr>
                <w:p w14:paraId="3883876B">
                  <w:pPr>
                    <w:jc w:val="center"/>
                    <w:rPr>
                      <w:rFonts w:hint="default" w:ascii="Times New Roman" w:hAnsi="Times New Roman" w:eastAsia="宋体" w:cs="Times New Roman"/>
                      <w:i w:val="0"/>
                      <w:iCs w:val="0"/>
                      <w:color w:val="000000"/>
                      <w:sz w:val="21"/>
                      <w:szCs w:val="21"/>
                      <w:u w:val="none"/>
                    </w:rPr>
                  </w:pPr>
                </w:p>
              </w:tc>
              <w:tc>
                <w:tcPr>
                  <w:tcW w:w="1134" w:type="dxa"/>
                  <w:tcBorders>
                    <w:tl2br w:val="nil"/>
                    <w:tr2bl w:val="nil"/>
                  </w:tcBorders>
                  <w:shd w:val="clear" w:color="auto" w:fill="auto"/>
                  <w:vAlign w:val="center"/>
                </w:tcPr>
                <w:p w14:paraId="047886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仓</w:t>
                  </w:r>
                  <w:r>
                    <w:rPr>
                      <w:rFonts w:hint="default" w:ascii="Times New Roman" w:hAnsi="Times New Roman" w:eastAsia="宋体" w:cs="Times New Roman"/>
                      <w:i w:val="0"/>
                      <w:iCs w:val="0"/>
                      <w:color w:val="000000"/>
                      <w:kern w:val="0"/>
                      <w:sz w:val="21"/>
                      <w:szCs w:val="21"/>
                      <w:u w:val="none"/>
                      <w:lang w:val="en-US" w:eastAsia="zh-CN" w:bidi="ar"/>
                    </w:rPr>
                    <w:t>12</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13</w:t>
                  </w:r>
                </w:p>
              </w:tc>
              <w:tc>
                <w:tcPr>
                  <w:tcW w:w="797" w:type="dxa"/>
                  <w:tcBorders>
                    <w:tl2br w:val="nil"/>
                    <w:tr2bl w:val="nil"/>
                  </w:tcBorders>
                  <w:shd w:val="clear" w:color="auto" w:fill="auto"/>
                  <w:vAlign w:val="center"/>
                </w:tcPr>
                <w:p w14:paraId="5D5045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G3-3</w:t>
                  </w:r>
                </w:p>
              </w:tc>
              <w:tc>
                <w:tcPr>
                  <w:tcW w:w="1034" w:type="dxa"/>
                  <w:tcBorders>
                    <w:tl2br w:val="nil"/>
                    <w:tr2bl w:val="nil"/>
                  </w:tcBorders>
                  <w:shd w:val="clear" w:color="auto" w:fill="auto"/>
                  <w:vAlign w:val="center"/>
                </w:tcPr>
                <w:p w14:paraId="07BC0D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333868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0.237</w:t>
                  </w:r>
                </w:p>
              </w:tc>
              <w:tc>
                <w:tcPr>
                  <w:tcW w:w="1112" w:type="dxa"/>
                  <w:tcBorders>
                    <w:tl2br w:val="nil"/>
                    <w:tr2bl w:val="nil"/>
                  </w:tcBorders>
                  <w:shd w:val="clear" w:color="auto" w:fill="auto"/>
                  <w:vAlign w:val="center"/>
                </w:tcPr>
                <w:p w14:paraId="1E15319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5CE9B51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0.213 </w:t>
                  </w:r>
                </w:p>
              </w:tc>
              <w:tc>
                <w:tcPr>
                  <w:tcW w:w="1152" w:type="dxa"/>
                  <w:tcBorders>
                    <w:tl2br w:val="nil"/>
                    <w:tr2bl w:val="nil"/>
                  </w:tcBorders>
                  <w:shd w:val="clear" w:color="auto" w:fill="auto"/>
                  <w:vAlign w:val="center"/>
                </w:tcPr>
                <w:p w14:paraId="3E4D43F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0.024 </w:t>
                  </w:r>
                </w:p>
              </w:tc>
            </w:tr>
            <w:tr w14:paraId="4155D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jc w:val="center"/>
              </w:trPr>
              <w:tc>
                <w:tcPr>
                  <w:tcW w:w="754" w:type="dxa"/>
                  <w:tcBorders>
                    <w:tl2br w:val="nil"/>
                    <w:tr2bl w:val="nil"/>
                  </w:tcBorders>
                  <w:shd w:val="clear" w:color="auto" w:fill="auto"/>
                  <w:vAlign w:val="center"/>
                </w:tcPr>
                <w:p w14:paraId="6ECD723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cs="Times New Roman"/>
                      <w:i w:val="0"/>
                      <w:iCs w:val="0"/>
                      <w:color w:val="000000"/>
                      <w:kern w:val="0"/>
                      <w:sz w:val="21"/>
                      <w:szCs w:val="21"/>
                      <w:u w:val="none"/>
                      <w:lang w:val="en-US" w:eastAsia="zh-CN" w:bidi="ar"/>
                    </w:rPr>
                    <w:t>18</w:t>
                  </w:r>
                </w:p>
              </w:tc>
              <w:tc>
                <w:tcPr>
                  <w:tcW w:w="1950" w:type="dxa"/>
                  <w:gridSpan w:val="2"/>
                  <w:tcBorders>
                    <w:tl2br w:val="nil"/>
                    <w:tr2bl w:val="nil"/>
                  </w:tcBorders>
                  <w:shd w:val="clear" w:color="auto" w:fill="auto"/>
                  <w:vAlign w:val="center"/>
                </w:tcPr>
                <w:p w14:paraId="6C9AAD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玻璃筛分粉尘</w:t>
                  </w:r>
                </w:p>
              </w:tc>
              <w:tc>
                <w:tcPr>
                  <w:tcW w:w="797" w:type="dxa"/>
                  <w:tcBorders>
                    <w:tl2br w:val="nil"/>
                    <w:tr2bl w:val="nil"/>
                  </w:tcBorders>
                  <w:shd w:val="clear" w:color="auto" w:fill="auto"/>
                  <w:vAlign w:val="center"/>
                </w:tcPr>
                <w:p w14:paraId="3C2F48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G3-4</w:t>
                  </w:r>
                </w:p>
              </w:tc>
              <w:tc>
                <w:tcPr>
                  <w:tcW w:w="1034" w:type="dxa"/>
                  <w:tcBorders>
                    <w:tl2br w:val="nil"/>
                    <w:tr2bl w:val="nil"/>
                  </w:tcBorders>
                  <w:shd w:val="clear" w:color="auto" w:fill="auto"/>
                  <w:vAlign w:val="center"/>
                </w:tcPr>
                <w:p w14:paraId="6A9EBF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10E73F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5.33</w:t>
                  </w:r>
                </w:p>
              </w:tc>
              <w:tc>
                <w:tcPr>
                  <w:tcW w:w="1112" w:type="dxa"/>
                  <w:tcBorders>
                    <w:tl2br w:val="nil"/>
                    <w:tr2bl w:val="nil"/>
                  </w:tcBorders>
                  <w:shd w:val="clear" w:color="auto" w:fill="auto"/>
                  <w:vAlign w:val="center"/>
                </w:tcPr>
                <w:p w14:paraId="648B740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106" w:type="dxa"/>
                  <w:tcBorders>
                    <w:tl2br w:val="nil"/>
                    <w:tr2bl w:val="nil"/>
                  </w:tcBorders>
                  <w:shd w:val="clear" w:color="auto" w:fill="auto"/>
                  <w:vAlign w:val="center"/>
                </w:tcPr>
                <w:p w14:paraId="6A04592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5.330 </w:t>
                  </w:r>
                </w:p>
              </w:tc>
              <w:tc>
                <w:tcPr>
                  <w:tcW w:w="1152" w:type="dxa"/>
                  <w:tcBorders>
                    <w:tl2br w:val="nil"/>
                    <w:tr2bl w:val="nil"/>
                  </w:tcBorders>
                  <w:shd w:val="clear" w:color="auto" w:fill="auto"/>
                  <w:vAlign w:val="center"/>
                </w:tcPr>
                <w:p w14:paraId="1A45173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0.000 </w:t>
                  </w:r>
                </w:p>
              </w:tc>
            </w:tr>
            <w:tr w14:paraId="1BBC3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54" w:type="dxa"/>
                  <w:tcBorders>
                    <w:tl2br w:val="nil"/>
                    <w:tr2bl w:val="nil"/>
                  </w:tcBorders>
                  <w:shd w:val="clear" w:color="auto" w:fill="auto"/>
                  <w:vAlign w:val="center"/>
                </w:tcPr>
                <w:p w14:paraId="4FAE2A3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cs="Times New Roman"/>
                      <w:i w:val="0"/>
                      <w:iCs w:val="0"/>
                      <w:color w:val="000000"/>
                      <w:kern w:val="0"/>
                      <w:sz w:val="21"/>
                      <w:szCs w:val="21"/>
                      <w:u w:val="none"/>
                      <w:lang w:val="en-US" w:eastAsia="zh-CN" w:bidi="ar"/>
                    </w:rPr>
                    <w:t>19</w:t>
                  </w:r>
                </w:p>
              </w:tc>
              <w:tc>
                <w:tcPr>
                  <w:tcW w:w="1950" w:type="dxa"/>
                  <w:gridSpan w:val="2"/>
                  <w:tcBorders>
                    <w:tl2br w:val="nil"/>
                    <w:tr2bl w:val="nil"/>
                  </w:tcBorders>
                  <w:shd w:val="clear" w:color="auto" w:fill="auto"/>
                  <w:vAlign w:val="center"/>
                </w:tcPr>
                <w:p w14:paraId="3D9193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玻璃粉包装粉尘</w:t>
                  </w:r>
                </w:p>
              </w:tc>
              <w:tc>
                <w:tcPr>
                  <w:tcW w:w="797" w:type="dxa"/>
                  <w:tcBorders>
                    <w:tl2br w:val="nil"/>
                    <w:tr2bl w:val="nil"/>
                  </w:tcBorders>
                  <w:shd w:val="clear" w:color="auto" w:fill="auto"/>
                  <w:vAlign w:val="center"/>
                </w:tcPr>
                <w:p w14:paraId="5A72CD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G3-5</w:t>
                  </w:r>
                </w:p>
              </w:tc>
              <w:tc>
                <w:tcPr>
                  <w:tcW w:w="1034" w:type="dxa"/>
                  <w:tcBorders>
                    <w:tl2br w:val="nil"/>
                    <w:tr2bl w:val="nil"/>
                  </w:tcBorders>
                  <w:shd w:val="clear" w:color="auto" w:fill="auto"/>
                  <w:vAlign w:val="center"/>
                </w:tcPr>
                <w:p w14:paraId="21F444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129" w:type="dxa"/>
                  <w:tcBorders>
                    <w:tl2br w:val="nil"/>
                    <w:tr2bl w:val="nil"/>
                  </w:tcBorders>
                  <w:shd w:val="clear" w:color="auto" w:fill="auto"/>
                  <w:vAlign w:val="center"/>
                </w:tcPr>
                <w:p w14:paraId="6A385E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0.003</w:t>
                  </w:r>
                </w:p>
              </w:tc>
              <w:tc>
                <w:tcPr>
                  <w:tcW w:w="1112" w:type="dxa"/>
                  <w:tcBorders>
                    <w:tl2br w:val="nil"/>
                    <w:tr2bl w:val="nil"/>
                  </w:tcBorders>
                  <w:shd w:val="clear" w:color="auto" w:fill="auto"/>
                  <w:vAlign w:val="center"/>
                </w:tcPr>
                <w:p w14:paraId="50184D0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90%</w:t>
                  </w:r>
                </w:p>
              </w:tc>
              <w:tc>
                <w:tcPr>
                  <w:tcW w:w="1106" w:type="dxa"/>
                  <w:tcBorders>
                    <w:tl2br w:val="nil"/>
                    <w:tr2bl w:val="nil"/>
                  </w:tcBorders>
                  <w:shd w:val="clear" w:color="auto" w:fill="auto"/>
                  <w:vAlign w:val="center"/>
                </w:tcPr>
                <w:p w14:paraId="716B8D2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0.003 </w:t>
                  </w:r>
                </w:p>
              </w:tc>
              <w:tc>
                <w:tcPr>
                  <w:tcW w:w="1152" w:type="dxa"/>
                  <w:tcBorders>
                    <w:tl2br w:val="nil"/>
                    <w:tr2bl w:val="nil"/>
                  </w:tcBorders>
                  <w:shd w:val="clear" w:color="auto" w:fill="auto"/>
                  <w:vAlign w:val="center"/>
                </w:tcPr>
                <w:p w14:paraId="0C4A94D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 xml:space="preserve">0.000 </w:t>
                  </w:r>
                </w:p>
              </w:tc>
            </w:tr>
            <w:tr w14:paraId="4CB77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5" w:hRule="atLeast"/>
                <w:jc w:val="center"/>
              </w:trPr>
              <w:tc>
                <w:tcPr>
                  <w:tcW w:w="6776" w:type="dxa"/>
                  <w:gridSpan w:val="7"/>
                  <w:tcBorders>
                    <w:tl2br w:val="nil"/>
                    <w:tr2bl w:val="nil"/>
                  </w:tcBorders>
                  <w:shd w:val="clear" w:color="auto" w:fill="auto"/>
                  <w:vAlign w:val="center"/>
                </w:tcPr>
                <w:p w14:paraId="6AE0E0B4">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1"/>
                      <w:szCs w:val="21"/>
                      <w:u w:val="none"/>
                      <w:lang w:val="en-US" w:eastAsia="zh-CN" w:bidi="ar"/>
                    </w:rPr>
                  </w:pPr>
                  <w:r>
                    <w:rPr>
                      <w:rFonts w:hint="eastAsia" w:ascii="Times New Roman" w:hAnsi="Times New Roman" w:eastAsia="宋体" w:cs="Times New Roman"/>
                      <w:b/>
                      <w:bCs/>
                      <w:i w:val="0"/>
                      <w:iCs w:val="0"/>
                      <w:color w:val="000000"/>
                      <w:kern w:val="0"/>
                      <w:sz w:val="21"/>
                      <w:szCs w:val="21"/>
                      <w:u w:val="none"/>
                      <w:lang w:val="en-US" w:eastAsia="zh-CN" w:bidi="ar"/>
                    </w:rPr>
                    <w:t>合计</w:t>
                  </w:r>
                </w:p>
              </w:tc>
              <w:tc>
                <w:tcPr>
                  <w:tcW w:w="1106" w:type="dxa"/>
                  <w:tcBorders>
                    <w:tl2br w:val="nil"/>
                    <w:tr2bl w:val="nil"/>
                  </w:tcBorders>
                  <w:shd w:val="clear" w:color="auto" w:fill="auto"/>
                  <w:vAlign w:val="center"/>
                </w:tcPr>
                <w:p w14:paraId="7170EEF3">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1"/>
                      <w:szCs w:val="21"/>
                      <w:u w:val="none"/>
                      <w:lang w:val="en-US" w:eastAsia="zh-CN" w:bidi="ar"/>
                    </w:rPr>
                  </w:pPr>
                  <w:r>
                    <w:rPr>
                      <w:rFonts w:hint="default" w:ascii="Times New Roman" w:hAnsi="Times New Roman" w:eastAsia="宋体" w:cs="Times New Roman"/>
                      <w:b/>
                      <w:bCs/>
                      <w:i w:val="0"/>
                      <w:iCs w:val="0"/>
                      <w:color w:val="000000"/>
                      <w:kern w:val="0"/>
                      <w:sz w:val="22"/>
                      <w:szCs w:val="22"/>
                      <w:u w:val="none"/>
                      <w:lang w:val="en-US" w:eastAsia="zh-CN" w:bidi="ar"/>
                    </w:rPr>
                    <w:t xml:space="preserve">19.768 </w:t>
                  </w:r>
                </w:p>
              </w:tc>
              <w:tc>
                <w:tcPr>
                  <w:tcW w:w="1152" w:type="dxa"/>
                  <w:tcBorders>
                    <w:tl2br w:val="nil"/>
                    <w:tr2bl w:val="nil"/>
                  </w:tcBorders>
                  <w:shd w:val="clear" w:color="auto" w:fill="auto"/>
                  <w:vAlign w:val="center"/>
                </w:tcPr>
                <w:p w14:paraId="6034A02D">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1"/>
                      <w:szCs w:val="21"/>
                      <w:u w:val="none"/>
                      <w:lang w:val="en-US" w:eastAsia="zh-CN" w:bidi="ar"/>
                    </w:rPr>
                  </w:pPr>
                  <w:r>
                    <w:rPr>
                      <w:rFonts w:hint="default" w:ascii="Times New Roman" w:hAnsi="Times New Roman" w:eastAsia="宋体" w:cs="Times New Roman"/>
                      <w:b/>
                      <w:bCs/>
                      <w:i w:val="0"/>
                      <w:iCs w:val="0"/>
                      <w:color w:val="000000"/>
                      <w:kern w:val="0"/>
                      <w:sz w:val="22"/>
                      <w:szCs w:val="22"/>
                      <w:u w:val="none"/>
                      <w:lang w:val="en-US" w:eastAsia="zh-CN" w:bidi="ar"/>
                    </w:rPr>
                    <w:t xml:space="preserve">0.216 </w:t>
                  </w:r>
                </w:p>
              </w:tc>
            </w:tr>
          </w:tbl>
          <w:p w14:paraId="55230504">
            <w:pPr>
              <w:keepNext w:val="0"/>
              <w:keepLines w:val="0"/>
              <w:pageBreakBefore w:val="0"/>
              <w:widowControl w:val="0"/>
              <w:kinsoku/>
              <w:wordWrap/>
              <w:overflowPunct/>
              <w:topLinePunct w:val="0"/>
              <w:autoSpaceDE/>
              <w:autoSpaceDN/>
              <w:bidi w:val="0"/>
              <w:adjustRightInd/>
              <w:snapToGrid/>
              <w:spacing w:line="480" w:lineRule="atLeast"/>
              <w:ind w:firstLine="422" w:firstLineChars="200"/>
              <w:textAlignment w:val="auto"/>
              <w:rPr>
                <w:rFonts w:hint="default" w:ascii="Times New Roman" w:hAnsi="Times New Roman" w:cs="Times New Roman"/>
                <w:b/>
                <w:bCs/>
                <w:color w:val="auto"/>
                <w:spacing w:val="0"/>
                <w:kern w:val="10"/>
                <w:position w:val="0"/>
                <w:sz w:val="21"/>
                <w:szCs w:val="21"/>
                <w:lang w:val="en-US" w:eastAsia="zh-CN"/>
              </w:rPr>
            </w:pPr>
            <w:r>
              <w:rPr>
                <w:rFonts w:hint="eastAsia" w:ascii="Times New Roman" w:hAnsi="Times New Roman" w:cs="Times New Roman"/>
                <w:b/>
                <w:bCs/>
                <w:color w:val="auto"/>
                <w:spacing w:val="0"/>
                <w:kern w:val="10"/>
                <w:position w:val="0"/>
                <w:sz w:val="21"/>
                <w:szCs w:val="21"/>
                <w:lang w:val="en-US" w:eastAsia="zh-CN"/>
              </w:rPr>
              <w:t>注：项目1#生产区和2#生产区生产线布置一致，年处理规模均为1.5万吨废旧光伏组件，因此污染物产生量平均分配</w:t>
            </w:r>
            <w:r>
              <w:rPr>
                <w:rFonts w:hint="eastAsia" w:cs="Times New Roman"/>
                <w:b/>
                <w:bCs/>
                <w:color w:val="auto"/>
                <w:spacing w:val="0"/>
                <w:kern w:val="10"/>
                <w:position w:val="0"/>
                <w:sz w:val="21"/>
                <w:szCs w:val="21"/>
                <w:lang w:val="en-US" w:eastAsia="zh-CN"/>
              </w:rPr>
              <w:t>，两个生产区有组织粉尘收集量均为9.884t/a。</w:t>
            </w:r>
          </w:p>
          <w:p w14:paraId="3B8D9490">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cs="Times New Roman"/>
                <w:b/>
                <w:bCs/>
                <w:color w:val="auto"/>
                <w:spacing w:val="0"/>
                <w:kern w:val="10"/>
                <w:position w:val="0"/>
                <w:sz w:val="24"/>
                <w:lang w:val="en-US" w:eastAsia="zh-CN"/>
              </w:rPr>
            </w:pPr>
            <w:r>
              <w:rPr>
                <w:rFonts w:hint="eastAsia" w:cs="Times New Roman"/>
                <w:b/>
                <w:bCs/>
                <w:color w:val="auto"/>
                <w:spacing w:val="0"/>
                <w:kern w:val="10"/>
                <w:position w:val="0"/>
                <w:sz w:val="24"/>
                <w:lang w:val="en-US" w:eastAsia="zh-CN"/>
              </w:rPr>
              <w:t>（2）收集处理措施</w:t>
            </w:r>
          </w:p>
          <w:p w14:paraId="31B23B3B">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eastAsia" w:cs="Times New Roman"/>
                <w:b/>
                <w:bCs/>
                <w:caps w:val="0"/>
                <w:smallCaps w:val="0"/>
                <w:color w:val="auto"/>
                <w:spacing w:val="0"/>
                <w:w w:val="100"/>
                <w:position w:val="0"/>
                <w:sz w:val="24"/>
                <w:szCs w:val="24"/>
                <w:lang w:val="en-US" w:eastAsia="zh-CN"/>
              </w:rPr>
            </w:pPr>
            <w:r>
              <w:rPr>
                <w:rFonts w:hint="eastAsia" w:cs="Times New Roman"/>
                <w:b/>
                <w:bCs/>
                <w:caps w:val="0"/>
                <w:smallCaps w:val="0"/>
                <w:color w:val="auto"/>
                <w:spacing w:val="0"/>
                <w:w w:val="100"/>
                <w:position w:val="0"/>
                <w:sz w:val="24"/>
                <w:szCs w:val="24"/>
                <w:lang w:val="en-US" w:eastAsia="zh-CN"/>
              </w:rPr>
              <w:t>1#热解分选生产区</w:t>
            </w:r>
          </w:p>
          <w:p w14:paraId="68DF2DD9">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cs="Times New Roman"/>
                <w:caps w:val="0"/>
                <w:smallCaps w:val="0"/>
                <w:color w:val="auto"/>
                <w:spacing w:val="0"/>
                <w:w w:val="100"/>
                <w:position w:val="0"/>
                <w:sz w:val="24"/>
                <w:szCs w:val="24"/>
                <w:lang w:val="en-US" w:eastAsia="zh-CN"/>
              </w:rPr>
            </w:pPr>
            <w:r>
              <w:rPr>
                <w:rFonts w:hint="eastAsia" w:cs="Times New Roman"/>
                <w:caps w:val="0"/>
                <w:smallCaps w:val="0"/>
                <w:color w:val="auto"/>
                <w:spacing w:val="0"/>
                <w:w w:val="100"/>
                <w:position w:val="0"/>
                <w:sz w:val="24"/>
                <w:szCs w:val="24"/>
                <w:lang w:val="en-US" w:eastAsia="zh-CN"/>
              </w:rPr>
              <w:t>进仓（1、3、4、5、7、9）粉尘、炉渣筛分粉尘、旋风分离粉尘、硅粉包装粉尘、风选粉尘：</w:t>
            </w:r>
            <w:r>
              <w:rPr>
                <w:rFonts w:hint="eastAsia" w:cs="Times New Roman"/>
                <w:b w:val="0"/>
                <w:bCs w:val="0"/>
                <w:caps w:val="0"/>
                <w:smallCaps w:val="0"/>
                <w:color w:val="auto"/>
                <w:spacing w:val="0"/>
                <w:w w:val="100"/>
                <w:position w:val="0"/>
                <w:sz w:val="24"/>
                <w:szCs w:val="24"/>
                <w:lang w:val="en-US" w:eastAsia="zh-CN"/>
              </w:rPr>
              <w:t>筛</w:t>
            </w:r>
            <w:r>
              <w:rPr>
                <w:rFonts w:hint="eastAsia" w:cs="Times New Roman"/>
                <w:caps w:val="0"/>
                <w:smallCaps w:val="0"/>
                <w:color w:val="auto"/>
                <w:spacing w:val="0"/>
                <w:w w:val="100"/>
                <w:position w:val="0"/>
                <w:sz w:val="24"/>
                <w:szCs w:val="24"/>
                <w:lang w:val="en-US" w:eastAsia="zh-CN"/>
              </w:rPr>
              <w:t>分机、风选机、旋风分离器接密闭管道，储料仓进料口和传送带出料口上方、硅粉包装工位上方设置集气罩，上述粉尘经负压收集进入1套“布袋除尘器+水喷淋塔”处理后通过一根15m高排气筒DA002排放。</w:t>
            </w:r>
          </w:p>
          <w:p w14:paraId="033FC06C">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cs="Times New Roman"/>
                <w:caps w:val="0"/>
                <w:smallCaps w:val="0"/>
                <w:color w:val="auto"/>
                <w:spacing w:val="0"/>
                <w:w w:val="100"/>
                <w:position w:val="0"/>
                <w:sz w:val="24"/>
                <w:szCs w:val="24"/>
                <w:lang w:val="en-US" w:eastAsia="zh-CN"/>
              </w:rPr>
            </w:pPr>
            <w:r>
              <w:rPr>
                <w:rFonts w:hint="eastAsia" w:cs="Times New Roman"/>
                <w:caps w:val="0"/>
                <w:smallCaps w:val="0"/>
                <w:color w:val="auto"/>
                <w:spacing w:val="0"/>
                <w:w w:val="100"/>
                <w:position w:val="0"/>
                <w:sz w:val="24"/>
                <w:szCs w:val="24"/>
                <w:lang w:val="en-US" w:eastAsia="zh-CN"/>
              </w:rPr>
              <w:t>进仓（6、8、10、12、13）粉尘、玻璃筛分粉尘、玻璃粉包装粉尘：筛分机接密闭管道，储料仓进料口和传送带出料口上方、玻璃粉包装工位上方设置集气罩，上述粉尘经负压收集进入1套“布袋除尘器+水喷淋塔”处理后并入15m高排气筒DA002排放。</w:t>
            </w:r>
          </w:p>
          <w:p w14:paraId="02E6CCA5">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eastAsia" w:cs="Times New Roman"/>
                <w:b/>
                <w:bCs/>
                <w:caps w:val="0"/>
                <w:smallCaps w:val="0"/>
                <w:color w:val="auto"/>
                <w:spacing w:val="0"/>
                <w:w w:val="100"/>
                <w:position w:val="0"/>
                <w:sz w:val="24"/>
                <w:szCs w:val="24"/>
                <w:lang w:val="en-US" w:eastAsia="zh-CN"/>
              </w:rPr>
            </w:pPr>
            <w:r>
              <w:rPr>
                <w:rFonts w:hint="eastAsia" w:cs="Times New Roman"/>
                <w:b/>
                <w:bCs/>
                <w:caps w:val="0"/>
                <w:smallCaps w:val="0"/>
                <w:color w:val="auto"/>
                <w:spacing w:val="0"/>
                <w:w w:val="100"/>
                <w:position w:val="0"/>
                <w:sz w:val="24"/>
                <w:szCs w:val="24"/>
                <w:lang w:val="en-US" w:eastAsia="zh-CN"/>
              </w:rPr>
              <w:t>2#热解分选生产区</w:t>
            </w:r>
          </w:p>
          <w:p w14:paraId="768AEDC6">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cs="Times New Roman"/>
                <w:caps w:val="0"/>
                <w:smallCaps w:val="0"/>
                <w:color w:val="auto"/>
                <w:spacing w:val="0"/>
                <w:w w:val="100"/>
                <w:position w:val="0"/>
                <w:sz w:val="24"/>
                <w:szCs w:val="24"/>
                <w:lang w:val="en-US" w:eastAsia="zh-CN"/>
              </w:rPr>
            </w:pPr>
            <w:r>
              <w:rPr>
                <w:rFonts w:hint="eastAsia" w:cs="Times New Roman"/>
                <w:caps w:val="0"/>
                <w:smallCaps w:val="0"/>
                <w:color w:val="auto"/>
                <w:spacing w:val="0"/>
                <w:w w:val="100"/>
                <w:position w:val="0"/>
                <w:sz w:val="24"/>
                <w:szCs w:val="24"/>
                <w:lang w:val="en-US" w:eastAsia="zh-CN"/>
              </w:rPr>
              <w:t>进仓（1、3、4、5、7、9）粉尘、炉渣筛分粉尘、旋风分离粉尘、硅粉包装粉尘、风选粉尘：筛分机、风选机、旋风分离器接密闭管道，储料仓进料口和传送带出料口上方、硅粉包装工位上方设置集气罩，上述粉尘经负压收集进入1套“布袋除尘器+水喷淋塔”处理后通过一根15m高排气筒DA004排放。</w:t>
            </w:r>
          </w:p>
          <w:p w14:paraId="69DEEF73">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cs="Times New Roman"/>
                <w:caps w:val="0"/>
                <w:smallCaps w:val="0"/>
                <w:color w:val="auto"/>
                <w:spacing w:val="0"/>
                <w:w w:val="100"/>
                <w:position w:val="0"/>
                <w:sz w:val="24"/>
                <w:szCs w:val="24"/>
                <w:lang w:val="en-US" w:eastAsia="zh-CN"/>
              </w:rPr>
            </w:pPr>
            <w:r>
              <w:rPr>
                <w:rFonts w:hint="eastAsia" w:cs="Times New Roman"/>
                <w:caps w:val="0"/>
                <w:smallCaps w:val="0"/>
                <w:color w:val="auto"/>
                <w:spacing w:val="0"/>
                <w:w w:val="100"/>
                <w:position w:val="0"/>
                <w:sz w:val="24"/>
                <w:szCs w:val="24"/>
                <w:lang w:val="en-US" w:eastAsia="zh-CN"/>
              </w:rPr>
              <w:t>进仓（6、8、10、12、13）粉尘、玻璃筛分粉尘、玻璃粉包装粉尘：筛分机接密闭管道，储料仓进料口和传送带出料口上方、玻璃粉包装工位上方设置集气罩，上述粉尘经负压收集进入1套“布袋除尘器+水喷淋塔”处理后并入15m高排气筒DA004排放。</w:t>
            </w:r>
          </w:p>
          <w:p w14:paraId="1F46952A">
            <w:pPr>
              <w:keepNext w:val="0"/>
              <w:keepLines w:val="0"/>
              <w:pageBreakBefore w:val="0"/>
              <w:widowControl w:val="0"/>
              <w:kinsoku/>
              <w:wordWrap/>
              <w:overflowPunct/>
              <w:topLinePunct w:val="0"/>
              <w:autoSpaceDE/>
              <w:autoSpaceDN/>
              <w:bidi w:val="0"/>
              <w:adjustRightInd/>
              <w:snapToGrid/>
              <w:spacing w:line="480" w:lineRule="atLeast"/>
              <w:ind w:firstLine="482" w:firstLineChars="200"/>
              <w:textAlignment w:val="auto"/>
              <w:rPr>
                <w:rFonts w:hint="default" w:cs="Times New Roman"/>
                <w:b/>
                <w:bCs/>
                <w:caps w:val="0"/>
                <w:smallCaps w:val="0"/>
                <w:color w:val="auto"/>
                <w:spacing w:val="0"/>
                <w:w w:val="100"/>
                <w:position w:val="0"/>
                <w:sz w:val="24"/>
                <w:szCs w:val="24"/>
                <w:lang w:val="en-US" w:eastAsia="zh-CN"/>
              </w:rPr>
            </w:pPr>
            <w:r>
              <w:rPr>
                <w:rFonts w:hint="eastAsia" w:cs="Times New Roman"/>
                <w:b/>
                <w:bCs/>
                <w:caps w:val="0"/>
                <w:smallCaps w:val="0"/>
                <w:color w:val="auto"/>
                <w:spacing w:val="0"/>
                <w:w w:val="100"/>
                <w:position w:val="0"/>
                <w:sz w:val="24"/>
                <w:szCs w:val="24"/>
                <w:lang w:val="en-US" w:eastAsia="zh-CN"/>
              </w:rPr>
              <w:t>风量计算：</w:t>
            </w:r>
          </w:p>
          <w:p w14:paraId="0F2BBAD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cs="Times New Roman"/>
                <w:caps w:val="0"/>
                <w:smallCaps w:val="0"/>
                <w:color w:val="auto"/>
                <w:spacing w:val="0"/>
                <w:w w:val="100"/>
                <w:position w:val="0"/>
                <w:sz w:val="24"/>
                <w:szCs w:val="24"/>
                <w:lang w:val="en-US" w:eastAsia="zh-CN"/>
              </w:rPr>
            </w:pPr>
            <w:r>
              <w:rPr>
                <w:rFonts w:hint="eastAsia" w:cs="Times New Roman"/>
                <w:caps w:val="0"/>
                <w:smallCaps w:val="0"/>
                <w:color w:val="auto"/>
                <w:spacing w:val="0"/>
                <w:w w:val="100"/>
                <w:position w:val="0"/>
                <w:sz w:val="24"/>
                <w:szCs w:val="24"/>
                <w:lang w:val="en-US" w:eastAsia="zh-CN"/>
              </w:rPr>
              <w:t>密闭管道集气采用“管道截面积</w:t>
            </w:r>
            <w:r>
              <w:rPr>
                <w:rFonts w:hint="default" w:cs="Times New Roman"/>
                <w:caps w:val="0"/>
                <w:smallCaps w:val="0"/>
                <w:color w:val="auto"/>
                <w:spacing w:val="0"/>
                <w:w w:val="100"/>
                <w:position w:val="0"/>
                <w:sz w:val="24"/>
                <w:szCs w:val="24"/>
                <w:lang w:val="en-US" w:eastAsia="zh-CN"/>
              </w:rPr>
              <w:t>×</w:t>
            </w:r>
            <w:r>
              <w:rPr>
                <w:rFonts w:hint="eastAsia" w:cs="Times New Roman"/>
                <w:caps w:val="0"/>
                <w:smallCaps w:val="0"/>
                <w:color w:val="auto"/>
                <w:spacing w:val="0"/>
                <w:w w:val="100"/>
                <w:position w:val="0"/>
                <w:sz w:val="24"/>
                <w:szCs w:val="24"/>
                <w:lang w:val="en-US" w:eastAsia="zh-CN"/>
              </w:rPr>
              <w:t>风速”计算风量，集气罩集气采用</w:t>
            </w:r>
            <w:r>
              <w:rPr>
                <w:rFonts w:hint="default" w:cs="Times New Roman"/>
                <w:caps w:val="0"/>
                <w:smallCaps w:val="0"/>
                <w:color w:val="auto"/>
                <w:spacing w:val="0"/>
                <w:w w:val="100"/>
                <w:position w:val="0"/>
                <w:sz w:val="24"/>
                <w:szCs w:val="24"/>
                <w:lang w:val="en-US" w:eastAsia="zh-CN"/>
              </w:rPr>
              <w:t>参照《印刷工业污染防治可行技术指南》（HJ1089-2020）中外部排风罩（顶吸罩、侧吸罩、底吸罩）风量计算：</w:t>
            </w:r>
          </w:p>
          <w:p w14:paraId="6D1963E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cs="Times New Roman"/>
                <w:caps w:val="0"/>
                <w:smallCaps w:val="0"/>
                <w:color w:val="auto"/>
                <w:spacing w:val="0"/>
                <w:w w:val="100"/>
                <w:position w:val="0"/>
                <w:sz w:val="24"/>
                <w:szCs w:val="24"/>
                <w:lang w:val="en-US" w:eastAsia="zh-CN"/>
              </w:rPr>
            </w:pPr>
            <w:r>
              <w:rPr>
                <w:rFonts w:hint="default" w:cs="Times New Roman"/>
                <w:caps w:val="0"/>
                <w:smallCaps w:val="0"/>
                <w:color w:val="auto"/>
                <w:spacing w:val="0"/>
                <w:w w:val="100"/>
                <w:position w:val="0"/>
                <w:sz w:val="24"/>
                <w:szCs w:val="24"/>
                <w:lang w:val="en-US" w:eastAsia="zh-CN"/>
              </w:rPr>
              <w:t>L</w:t>
            </w:r>
            <w:r>
              <w:rPr>
                <w:rFonts w:hint="default" w:cs="Times New Roman"/>
                <w:caps w:val="0"/>
                <w:smallCaps w:val="0"/>
                <w:color w:val="auto"/>
                <w:spacing w:val="0"/>
                <w:w w:val="100"/>
                <w:position w:val="0"/>
                <w:sz w:val="24"/>
                <w:szCs w:val="24"/>
                <w:vertAlign w:val="subscript"/>
                <w:lang w:val="en-US" w:eastAsia="zh-CN"/>
              </w:rPr>
              <w:t>1</w:t>
            </w:r>
            <w:r>
              <w:rPr>
                <w:rFonts w:hint="default" w:cs="Times New Roman"/>
                <w:caps w:val="0"/>
                <w:smallCaps w:val="0"/>
                <w:color w:val="auto"/>
                <w:spacing w:val="0"/>
                <w:w w:val="100"/>
                <w:position w:val="0"/>
                <w:sz w:val="24"/>
                <w:szCs w:val="24"/>
                <w:lang w:val="en-US" w:eastAsia="zh-CN"/>
              </w:rPr>
              <w:t>=v</w:t>
            </w:r>
            <w:r>
              <w:rPr>
                <w:rFonts w:hint="default" w:cs="Times New Roman"/>
                <w:caps w:val="0"/>
                <w:smallCaps w:val="0"/>
                <w:color w:val="auto"/>
                <w:spacing w:val="0"/>
                <w:w w:val="100"/>
                <w:position w:val="0"/>
                <w:sz w:val="24"/>
                <w:szCs w:val="24"/>
                <w:vertAlign w:val="subscript"/>
                <w:lang w:val="en-US" w:eastAsia="zh-CN"/>
              </w:rPr>
              <w:t>1</w:t>
            </w:r>
            <w:r>
              <w:rPr>
                <w:rFonts w:hint="default" w:cs="Times New Roman"/>
                <w:caps w:val="0"/>
                <w:smallCaps w:val="0"/>
                <w:color w:val="auto"/>
                <w:spacing w:val="0"/>
                <w:w w:val="100"/>
                <w:position w:val="0"/>
                <w:sz w:val="24"/>
                <w:szCs w:val="24"/>
                <w:lang w:val="en-US" w:eastAsia="zh-CN"/>
              </w:rPr>
              <w:t>×F</w:t>
            </w:r>
            <w:r>
              <w:rPr>
                <w:rFonts w:hint="default" w:cs="Times New Roman"/>
                <w:caps w:val="0"/>
                <w:smallCaps w:val="0"/>
                <w:color w:val="auto"/>
                <w:spacing w:val="0"/>
                <w:w w:val="100"/>
                <w:position w:val="0"/>
                <w:sz w:val="24"/>
                <w:szCs w:val="24"/>
                <w:vertAlign w:val="subscript"/>
                <w:lang w:val="en-US" w:eastAsia="zh-CN"/>
              </w:rPr>
              <w:t>1</w:t>
            </w:r>
            <w:r>
              <w:rPr>
                <w:rFonts w:hint="default" w:cs="Times New Roman"/>
                <w:caps w:val="0"/>
                <w:smallCaps w:val="0"/>
                <w:color w:val="auto"/>
                <w:spacing w:val="0"/>
                <w:w w:val="100"/>
                <w:position w:val="0"/>
                <w:sz w:val="24"/>
                <w:szCs w:val="24"/>
                <w:lang w:val="en-US" w:eastAsia="zh-CN"/>
              </w:rPr>
              <w:t>×3600</w:t>
            </w:r>
          </w:p>
          <w:p w14:paraId="7936EC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Times New Roman"/>
                <w:caps w:val="0"/>
                <w:smallCaps w:val="0"/>
                <w:color w:val="auto"/>
                <w:spacing w:val="0"/>
                <w:w w:val="100"/>
                <w:position w:val="0"/>
                <w:sz w:val="24"/>
                <w:szCs w:val="24"/>
                <w:lang w:val="en-US" w:eastAsia="zh-CN"/>
              </w:rPr>
            </w:pPr>
            <w:r>
              <w:rPr>
                <w:rFonts w:hint="default" w:ascii="Times New Roman" w:hAnsi="Times New Roman" w:cs="Times New Roman"/>
                <w:caps w:val="0"/>
                <w:smallCaps w:val="0"/>
                <w:color w:val="auto"/>
                <w:spacing w:val="0"/>
                <w:w w:val="100"/>
                <w:position w:val="0"/>
                <w:sz w:val="24"/>
                <w:szCs w:val="24"/>
                <w:lang w:val="en-US" w:eastAsia="zh-CN"/>
              </w:rPr>
              <w:t>式中：L</w:t>
            </w:r>
            <w:r>
              <w:rPr>
                <w:rFonts w:hint="default" w:ascii="Times New Roman" w:hAnsi="Times New Roman" w:cs="Times New Roman"/>
                <w:caps w:val="0"/>
                <w:smallCaps w:val="0"/>
                <w:color w:val="auto"/>
                <w:spacing w:val="0"/>
                <w:w w:val="100"/>
                <w:position w:val="0"/>
                <w:sz w:val="24"/>
                <w:szCs w:val="24"/>
                <w:vertAlign w:val="subscript"/>
                <w:lang w:val="en-US" w:eastAsia="zh-CN"/>
              </w:rPr>
              <w:t>1</w:t>
            </w:r>
            <w:r>
              <w:rPr>
                <w:rFonts w:hint="default" w:ascii="Times New Roman" w:hAnsi="Times New Roman" w:cs="Times New Roman"/>
                <w:caps w:val="0"/>
                <w:smallCaps w:val="0"/>
                <w:color w:val="auto"/>
                <w:spacing w:val="0"/>
                <w:w w:val="100"/>
                <w:position w:val="0"/>
                <w:sz w:val="24"/>
                <w:szCs w:val="24"/>
                <w:lang w:val="en-US" w:eastAsia="zh-CN"/>
              </w:rPr>
              <w:t>——顶吸罩的计算风量，m</w:t>
            </w:r>
            <w:r>
              <w:rPr>
                <w:rFonts w:hint="default" w:ascii="Times New Roman" w:hAnsi="Times New Roman" w:cs="Times New Roman"/>
                <w:caps w:val="0"/>
                <w:smallCaps w:val="0"/>
                <w:color w:val="auto"/>
                <w:spacing w:val="0"/>
                <w:w w:val="100"/>
                <w:position w:val="0"/>
                <w:sz w:val="24"/>
                <w:szCs w:val="24"/>
                <w:vertAlign w:val="superscript"/>
                <w:lang w:val="en-US" w:eastAsia="zh-CN"/>
              </w:rPr>
              <w:t>3</w:t>
            </w:r>
            <w:r>
              <w:rPr>
                <w:rFonts w:hint="default" w:ascii="Times New Roman" w:hAnsi="Times New Roman" w:cs="Times New Roman"/>
                <w:caps w:val="0"/>
                <w:smallCaps w:val="0"/>
                <w:color w:val="auto"/>
                <w:spacing w:val="0"/>
                <w:w w:val="100"/>
                <w:position w:val="0"/>
                <w:sz w:val="24"/>
                <w:szCs w:val="24"/>
                <w:lang w:val="en-US" w:eastAsia="zh-CN"/>
              </w:rPr>
              <w:t>/h</w:t>
            </w:r>
            <w:r>
              <w:rPr>
                <w:rFonts w:hint="eastAsia" w:cs="Times New Roman"/>
                <w:caps w:val="0"/>
                <w:smallCaps w:val="0"/>
                <w:color w:val="auto"/>
                <w:spacing w:val="0"/>
                <w:w w:val="100"/>
                <w:position w:val="0"/>
                <w:sz w:val="24"/>
                <w:szCs w:val="24"/>
                <w:lang w:val="en-US" w:eastAsia="zh-CN"/>
              </w:rPr>
              <w:t>；</w:t>
            </w:r>
          </w:p>
          <w:p w14:paraId="0E3C3AD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Times New Roman"/>
                <w:caps w:val="0"/>
                <w:smallCaps w:val="0"/>
                <w:color w:val="auto"/>
                <w:spacing w:val="0"/>
                <w:w w:val="100"/>
                <w:position w:val="0"/>
                <w:sz w:val="24"/>
                <w:szCs w:val="24"/>
                <w:lang w:val="en-US" w:eastAsia="zh-CN"/>
              </w:rPr>
            </w:pPr>
            <w:r>
              <w:rPr>
                <w:rFonts w:hint="default" w:ascii="Times New Roman" w:hAnsi="Times New Roman" w:cs="Times New Roman"/>
                <w:caps w:val="0"/>
                <w:smallCaps w:val="0"/>
                <w:color w:val="auto"/>
                <w:spacing w:val="0"/>
                <w:w w:val="100"/>
                <w:position w:val="0"/>
                <w:sz w:val="24"/>
                <w:szCs w:val="24"/>
                <w:lang w:val="en-US" w:eastAsia="zh-CN"/>
              </w:rPr>
              <w:t>v</w:t>
            </w:r>
            <w:r>
              <w:rPr>
                <w:rFonts w:hint="default" w:ascii="Times New Roman" w:hAnsi="Times New Roman" w:cs="Times New Roman"/>
                <w:caps w:val="0"/>
                <w:smallCaps w:val="0"/>
                <w:color w:val="auto"/>
                <w:spacing w:val="0"/>
                <w:w w:val="100"/>
                <w:position w:val="0"/>
                <w:sz w:val="24"/>
                <w:szCs w:val="24"/>
                <w:vertAlign w:val="subscript"/>
                <w:lang w:val="en-US" w:eastAsia="zh-CN"/>
              </w:rPr>
              <w:t>1</w:t>
            </w:r>
            <w:r>
              <w:rPr>
                <w:rFonts w:hint="default" w:ascii="Times New Roman" w:hAnsi="Times New Roman" w:cs="Times New Roman"/>
                <w:caps w:val="0"/>
                <w:smallCaps w:val="0"/>
                <w:color w:val="auto"/>
                <w:spacing w:val="0"/>
                <w:w w:val="100"/>
                <w:position w:val="0"/>
                <w:sz w:val="24"/>
                <w:szCs w:val="24"/>
                <w:lang w:val="en-US" w:eastAsia="zh-CN"/>
              </w:rPr>
              <w:t>——罩口平均风速，m/s，取0.5m/s</w:t>
            </w:r>
            <w:r>
              <w:rPr>
                <w:rFonts w:hint="eastAsia" w:cs="Times New Roman"/>
                <w:caps w:val="0"/>
                <w:smallCaps w:val="0"/>
                <w:color w:val="auto"/>
                <w:spacing w:val="0"/>
                <w:w w:val="100"/>
                <w:position w:val="0"/>
                <w:sz w:val="24"/>
                <w:szCs w:val="24"/>
                <w:lang w:val="en-US" w:eastAsia="zh-CN"/>
              </w:rPr>
              <w:t>；</w:t>
            </w:r>
          </w:p>
          <w:p w14:paraId="49406A2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cs="Times New Roman"/>
                <w:caps w:val="0"/>
                <w:smallCaps w:val="0"/>
                <w:color w:val="auto"/>
                <w:spacing w:val="0"/>
                <w:w w:val="100"/>
                <w:position w:val="0"/>
                <w:sz w:val="24"/>
                <w:szCs w:val="24"/>
                <w:lang w:val="en-US" w:eastAsia="zh-CN"/>
              </w:rPr>
            </w:pPr>
            <w:r>
              <w:rPr>
                <w:rFonts w:hint="default" w:ascii="Times New Roman" w:hAnsi="Times New Roman" w:cs="Times New Roman"/>
                <w:caps w:val="0"/>
                <w:smallCaps w:val="0"/>
                <w:color w:val="auto"/>
                <w:spacing w:val="0"/>
                <w:w w:val="100"/>
                <w:position w:val="0"/>
                <w:sz w:val="24"/>
                <w:szCs w:val="24"/>
                <w:lang w:val="en-US" w:eastAsia="zh-CN"/>
              </w:rPr>
              <w:t>F</w:t>
            </w:r>
            <w:r>
              <w:rPr>
                <w:rFonts w:hint="default" w:ascii="Times New Roman" w:hAnsi="Times New Roman" w:cs="Times New Roman"/>
                <w:caps w:val="0"/>
                <w:smallCaps w:val="0"/>
                <w:color w:val="auto"/>
                <w:spacing w:val="0"/>
                <w:w w:val="100"/>
                <w:position w:val="0"/>
                <w:sz w:val="24"/>
                <w:szCs w:val="24"/>
                <w:vertAlign w:val="subscript"/>
                <w:lang w:val="en-US" w:eastAsia="zh-CN"/>
              </w:rPr>
              <w:t>1</w:t>
            </w:r>
            <w:r>
              <w:rPr>
                <w:rFonts w:hint="default" w:ascii="Times New Roman" w:hAnsi="Times New Roman" w:cs="Times New Roman"/>
                <w:caps w:val="0"/>
                <w:smallCaps w:val="0"/>
                <w:color w:val="auto"/>
                <w:spacing w:val="0"/>
                <w:w w:val="100"/>
                <w:position w:val="0"/>
                <w:sz w:val="24"/>
                <w:szCs w:val="24"/>
                <w:lang w:val="en-US" w:eastAsia="zh-CN"/>
              </w:rPr>
              <w:t>——排风罩开口面面积，m</w:t>
            </w:r>
            <w:r>
              <w:rPr>
                <w:rFonts w:hint="default" w:ascii="Times New Roman" w:hAnsi="Times New Roman" w:cs="Times New Roman"/>
                <w:caps w:val="0"/>
                <w:smallCaps w:val="0"/>
                <w:color w:val="auto"/>
                <w:spacing w:val="0"/>
                <w:w w:val="100"/>
                <w:position w:val="0"/>
                <w:sz w:val="24"/>
                <w:szCs w:val="24"/>
                <w:vertAlign w:val="superscript"/>
                <w:lang w:val="en-US" w:eastAsia="zh-CN"/>
              </w:rPr>
              <w:t>2</w:t>
            </w:r>
            <w:r>
              <w:rPr>
                <w:rFonts w:hint="default" w:ascii="Times New Roman" w:hAnsi="Times New Roman" w:cs="Times New Roman"/>
                <w:caps w:val="0"/>
                <w:smallCaps w:val="0"/>
                <w:color w:val="auto"/>
                <w:spacing w:val="0"/>
                <w:w w:val="100"/>
                <w:position w:val="0"/>
                <w:sz w:val="24"/>
                <w:szCs w:val="24"/>
                <w:lang w:val="en-US" w:eastAsia="zh-CN"/>
              </w:rPr>
              <w:t>。</w:t>
            </w:r>
          </w:p>
          <w:p w14:paraId="303D2AA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cs="Times New Roman"/>
                <w:caps w:val="0"/>
                <w:smallCaps w:val="0"/>
                <w:color w:val="auto"/>
                <w:spacing w:val="0"/>
                <w:w w:val="100"/>
                <w:position w:val="0"/>
                <w:sz w:val="24"/>
                <w:szCs w:val="24"/>
                <w:lang w:val="en-US" w:eastAsia="zh-CN"/>
              </w:rPr>
            </w:pPr>
            <w:r>
              <w:rPr>
                <w:rFonts w:hint="eastAsia" w:cs="Times New Roman"/>
                <w:caps w:val="0"/>
                <w:smallCaps w:val="0"/>
                <w:color w:val="auto"/>
                <w:spacing w:val="0"/>
                <w:w w:val="100"/>
                <w:position w:val="0"/>
                <w:sz w:val="24"/>
                <w:szCs w:val="24"/>
                <w:lang w:val="en-US" w:eastAsia="zh-CN"/>
              </w:rPr>
              <w:t>风量计算如下：</w:t>
            </w:r>
          </w:p>
          <w:p w14:paraId="62BA539F">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cs="Times New Roman"/>
                <w:b/>
                <w:bCs/>
                <w:caps w:val="0"/>
                <w:smallCaps w:val="0"/>
                <w:color w:val="auto"/>
                <w:spacing w:val="0"/>
                <w:w w:val="100"/>
                <w:position w:val="0"/>
                <w:sz w:val="21"/>
                <w:szCs w:val="21"/>
                <w:lang w:val="en-US" w:eastAsia="zh-CN"/>
              </w:rPr>
            </w:pPr>
            <w:r>
              <w:rPr>
                <w:rFonts w:hint="eastAsia" w:cs="Times New Roman"/>
                <w:b/>
                <w:bCs/>
                <w:caps w:val="0"/>
                <w:smallCaps w:val="0"/>
                <w:color w:val="auto"/>
                <w:spacing w:val="0"/>
                <w:w w:val="100"/>
                <w:position w:val="0"/>
                <w:sz w:val="21"/>
                <w:szCs w:val="21"/>
                <w:lang w:val="en-US" w:eastAsia="zh-CN"/>
              </w:rPr>
              <w:t>表4-8  不同产污位置/设备集气风量计算一览表</w:t>
            </w:r>
          </w:p>
          <w:tbl>
            <w:tblPr>
              <w:tblStyle w:val="26"/>
              <w:tblW w:w="8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43"/>
              <w:gridCol w:w="1920"/>
              <w:gridCol w:w="2135"/>
              <w:gridCol w:w="1943"/>
              <w:gridCol w:w="1859"/>
            </w:tblGrid>
            <w:tr w14:paraId="31C8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8900" w:type="dxa"/>
                  <w:gridSpan w:val="5"/>
                  <w:tcBorders>
                    <w:tl2br w:val="nil"/>
                    <w:tr2bl w:val="nil"/>
                  </w:tcBorders>
                  <w:shd w:val="clear" w:color="auto" w:fill="auto"/>
                  <w:vAlign w:val="center"/>
                </w:tcPr>
                <w:p w14:paraId="7DE46FF3">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b/>
                      <w:bCs/>
                      <w:i w:val="0"/>
                      <w:iCs w:val="0"/>
                      <w:color w:val="000000"/>
                      <w:kern w:val="0"/>
                      <w:sz w:val="21"/>
                      <w:szCs w:val="21"/>
                      <w:u w:val="none"/>
                      <w:lang w:val="en-US" w:eastAsia="zh-CN" w:bidi="ar"/>
                    </w:rPr>
                    <w:t>一、密闭管道集气</w:t>
                  </w:r>
                </w:p>
              </w:tc>
            </w:tr>
            <w:tr w14:paraId="5662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1" w:hRule="atLeast"/>
                <w:jc w:val="center"/>
              </w:trPr>
              <w:tc>
                <w:tcPr>
                  <w:tcW w:w="1043" w:type="dxa"/>
                  <w:tcBorders>
                    <w:tl2br w:val="nil"/>
                    <w:tr2bl w:val="nil"/>
                  </w:tcBorders>
                  <w:shd w:val="clear" w:color="auto" w:fill="auto"/>
                  <w:vAlign w:val="center"/>
                </w:tcPr>
                <w:p w14:paraId="2BB791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序号</w:t>
                  </w:r>
                </w:p>
              </w:tc>
              <w:tc>
                <w:tcPr>
                  <w:tcW w:w="1920" w:type="dxa"/>
                  <w:tcBorders>
                    <w:tl2br w:val="nil"/>
                    <w:tr2bl w:val="nil"/>
                  </w:tcBorders>
                  <w:shd w:val="clear" w:color="auto" w:fill="auto"/>
                  <w:vAlign w:val="center"/>
                </w:tcPr>
                <w:p w14:paraId="27A44F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产污位置/设备</w:t>
                  </w:r>
                </w:p>
              </w:tc>
              <w:tc>
                <w:tcPr>
                  <w:tcW w:w="2135" w:type="dxa"/>
                  <w:tcBorders>
                    <w:tl2br w:val="nil"/>
                    <w:tr2bl w:val="nil"/>
                  </w:tcBorders>
                  <w:shd w:val="clear" w:color="auto" w:fill="auto"/>
                  <w:vAlign w:val="center"/>
                </w:tcPr>
                <w:p w14:paraId="3570B5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集气管道直径（mm）</w:t>
                  </w:r>
                </w:p>
              </w:tc>
              <w:tc>
                <w:tcPr>
                  <w:tcW w:w="1943" w:type="dxa"/>
                  <w:tcBorders>
                    <w:tl2br w:val="nil"/>
                    <w:tr2bl w:val="nil"/>
                  </w:tcBorders>
                  <w:shd w:val="clear" w:color="auto" w:fill="auto"/>
                  <w:vAlign w:val="center"/>
                </w:tcPr>
                <w:p w14:paraId="743684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集气风速（m/s）</w:t>
                  </w:r>
                </w:p>
              </w:tc>
              <w:tc>
                <w:tcPr>
                  <w:tcW w:w="1859" w:type="dxa"/>
                  <w:tcBorders>
                    <w:tl2br w:val="nil"/>
                    <w:tr2bl w:val="nil"/>
                  </w:tcBorders>
                  <w:shd w:val="clear" w:color="auto" w:fill="auto"/>
                  <w:vAlign w:val="center"/>
                </w:tcPr>
                <w:p w14:paraId="451BFC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集气风量（m</w:t>
                  </w:r>
                  <w:r>
                    <w:rPr>
                      <w:rFonts w:hint="default" w:ascii="Times New Roman" w:hAnsi="Times New Roman" w:eastAsia="宋体" w:cs="Times New Roman"/>
                      <w:i w:val="0"/>
                      <w:iCs w:val="0"/>
                      <w:color w:val="000000"/>
                      <w:kern w:val="0"/>
                      <w:sz w:val="21"/>
                      <w:szCs w:val="21"/>
                      <w:u w:val="none"/>
                      <w:vertAlign w:val="superscript"/>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/h）</w:t>
                  </w:r>
                </w:p>
              </w:tc>
            </w:tr>
            <w:tr w14:paraId="61050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1" w:hRule="atLeast"/>
                <w:jc w:val="center"/>
              </w:trPr>
              <w:tc>
                <w:tcPr>
                  <w:tcW w:w="1043" w:type="dxa"/>
                  <w:tcBorders>
                    <w:tl2br w:val="nil"/>
                    <w:tr2bl w:val="nil"/>
                  </w:tcBorders>
                  <w:shd w:val="clear" w:color="auto" w:fill="auto"/>
                  <w:vAlign w:val="center"/>
                </w:tcPr>
                <w:p w14:paraId="6B529B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920" w:type="dxa"/>
                  <w:tcBorders>
                    <w:tl2br w:val="nil"/>
                    <w:tr2bl w:val="nil"/>
                  </w:tcBorders>
                  <w:shd w:val="clear" w:color="auto" w:fill="auto"/>
                  <w:vAlign w:val="center"/>
                </w:tcPr>
                <w:p w14:paraId="45D779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筛分机</w:t>
                  </w:r>
                </w:p>
              </w:tc>
              <w:tc>
                <w:tcPr>
                  <w:tcW w:w="2135" w:type="dxa"/>
                  <w:tcBorders>
                    <w:tl2br w:val="nil"/>
                    <w:tr2bl w:val="nil"/>
                  </w:tcBorders>
                  <w:shd w:val="clear" w:color="auto" w:fill="auto"/>
                  <w:vAlign w:val="center"/>
                </w:tcPr>
                <w:p w14:paraId="3998CD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160</w:t>
                  </w:r>
                </w:p>
              </w:tc>
              <w:tc>
                <w:tcPr>
                  <w:tcW w:w="1943" w:type="dxa"/>
                  <w:tcBorders>
                    <w:tl2br w:val="nil"/>
                    <w:tr2bl w:val="nil"/>
                  </w:tcBorders>
                  <w:shd w:val="clear" w:color="auto" w:fill="auto"/>
                  <w:vAlign w:val="center"/>
                </w:tcPr>
                <w:p w14:paraId="599123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859" w:type="dxa"/>
                  <w:tcBorders>
                    <w:tl2br w:val="nil"/>
                    <w:tr2bl w:val="nil"/>
                  </w:tcBorders>
                  <w:shd w:val="clear" w:color="auto" w:fill="auto"/>
                  <w:vAlign w:val="center"/>
                </w:tcPr>
                <w:p w14:paraId="4B7EB7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578.765 </w:t>
                  </w:r>
                </w:p>
              </w:tc>
            </w:tr>
            <w:tr w14:paraId="7362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1" w:hRule="atLeast"/>
                <w:jc w:val="center"/>
              </w:trPr>
              <w:tc>
                <w:tcPr>
                  <w:tcW w:w="1043" w:type="dxa"/>
                  <w:tcBorders>
                    <w:tl2br w:val="nil"/>
                    <w:tr2bl w:val="nil"/>
                  </w:tcBorders>
                  <w:shd w:val="clear" w:color="auto" w:fill="auto"/>
                  <w:vAlign w:val="center"/>
                </w:tcPr>
                <w:p w14:paraId="43E7DF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920" w:type="dxa"/>
                  <w:tcBorders>
                    <w:tl2br w:val="nil"/>
                    <w:tr2bl w:val="nil"/>
                  </w:tcBorders>
                  <w:shd w:val="clear" w:color="auto" w:fill="auto"/>
                  <w:vAlign w:val="center"/>
                </w:tcPr>
                <w:p w14:paraId="0701BE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风选机</w:t>
                  </w:r>
                </w:p>
              </w:tc>
              <w:tc>
                <w:tcPr>
                  <w:tcW w:w="2135" w:type="dxa"/>
                  <w:tcBorders>
                    <w:tl2br w:val="nil"/>
                    <w:tr2bl w:val="nil"/>
                  </w:tcBorders>
                  <w:shd w:val="clear" w:color="auto" w:fill="auto"/>
                  <w:vAlign w:val="center"/>
                </w:tcPr>
                <w:p w14:paraId="225C01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160</w:t>
                  </w:r>
                </w:p>
              </w:tc>
              <w:tc>
                <w:tcPr>
                  <w:tcW w:w="1943" w:type="dxa"/>
                  <w:tcBorders>
                    <w:tl2br w:val="nil"/>
                    <w:tr2bl w:val="nil"/>
                  </w:tcBorders>
                  <w:shd w:val="clear" w:color="auto" w:fill="auto"/>
                  <w:vAlign w:val="center"/>
                </w:tcPr>
                <w:p w14:paraId="2A4133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859" w:type="dxa"/>
                  <w:tcBorders>
                    <w:tl2br w:val="nil"/>
                    <w:tr2bl w:val="nil"/>
                  </w:tcBorders>
                  <w:shd w:val="clear" w:color="auto" w:fill="auto"/>
                  <w:vAlign w:val="center"/>
                </w:tcPr>
                <w:p w14:paraId="72CCA0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578.765 </w:t>
                  </w:r>
                </w:p>
              </w:tc>
            </w:tr>
            <w:tr w14:paraId="2C151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1" w:hRule="atLeast"/>
                <w:jc w:val="center"/>
              </w:trPr>
              <w:tc>
                <w:tcPr>
                  <w:tcW w:w="1043" w:type="dxa"/>
                  <w:tcBorders>
                    <w:tl2br w:val="nil"/>
                    <w:tr2bl w:val="nil"/>
                  </w:tcBorders>
                  <w:shd w:val="clear" w:color="auto" w:fill="auto"/>
                  <w:vAlign w:val="center"/>
                </w:tcPr>
                <w:p w14:paraId="7A591C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3</w:t>
                  </w:r>
                </w:p>
              </w:tc>
              <w:tc>
                <w:tcPr>
                  <w:tcW w:w="1920" w:type="dxa"/>
                  <w:tcBorders>
                    <w:tl2br w:val="nil"/>
                    <w:tr2bl w:val="nil"/>
                  </w:tcBorders>
                  <w:shd w:val="clear" w:color="auto" w:fill="auto"/>
                  <w:vAlign w:val="center"/>
                </w:tcPr>
                <w:p w14:paraId="56E9D8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旋风分离器</w:t>
                  </w:r>
                </w:p>
              </w:tc>
              <w:tc>
                <w:tcPr>
                  <w:tcW w:w="2135" w:type="dxa"/>
                  <w:tcBorders>
                    <w:tl2br w:val="nil"/>
                    <w:tr2bl w:val="nil"/>
                  </w:tcBorders>
                  <w:shd w:val="clear" w:color="auto" w:fill="auto"/>
                  <w:vAlign w:val="center"/>
                </w:tcPr>
                <w:p w14:paraId="3CD251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160</w:t>
                  </w:r>
                </w:p>
              </w:tc>
              <w:tc>
                <w:tcPr>
                  <w:tcW w:w="1943" w:type="dxa"/>
                  <w:tcBorders>
                    <w:tl2br w:val="nil"/>
                    <w:tr2bl w:val="nil"/>
                  </w:tcBorders>
                  <w:shd w:val="clear" w:color="auto" w:fill="auto"/>
                  <w:vAlign w:val="center"/>
                </w:tcPr>
                <w:p w14:paraId="437409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859" w:type="dxa"/>
                  <w:tcBorders>
                    <w:tl2br w:val="nil"/>
                    <w:tr2bl w:val="nil"/>
                  </w:tcBorders>
                  <w:shd w:val="clear" w:color="auto" w:fill="auto"/>
                  <w:vAlign w:val="center"/>
                </w:tcPr>
                <w:p w14:paraId="23521A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578.765 </w:t>
                  </w:r>
                </w:p>
              </w:tc>
            </w:tr>
            <w:tr w14:paraId="7EAA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1" w:hRule="atLeast"/>
                <w:jc w:val="center"/>
              </w:trPr>
              <w:tc>
                <w:tcPr>
                  <w:tcW w:w="8900" w:type="dxa"/>
                  <w:gridSpan w:val="5"/>
                  <w:tcBorders>
                    <w:tl2br w:val="nil"/>
                    <w:tr2bl w:val="nil"/>
                  </w:tcBorders>
                  <w:shd w:val="clear" w:color="auto" w:fill="auto"/>
                  <w:vAlign w:val="center"/>
                </w:tcPr>
                <w:p w14:paraId="21E90041">
                  <w:pPr>
                    <w:keepNext w:val="0"/>
                    <w:keepLines w:val="0"/>
                    <w:widowControl/>
                    <w:suppressLineNumbers w:val="0"/>
                    <w:jc w:val="left"/>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b/>
                      <w:bCs/>
                      <w:i w:val="0"/>
                      <w:iCs w:val="0"/>
                      <w:color w:val="000000"/>
                      <w:kern w:val="0"/>
                      <w:sz w:val="21"/>
                      <w:szCs w:val="21"/>
                      <w:u w:val="none"/>
                      <w:lang w:val="en-US" w:eastAsia="zh-CN" w:bidi="ar"/>
                    </w:rPr>
                    <w:t>二、集气罩集气</w:t>
                  </w:r>
                </w:p>
              </w:tc>
            </w:tr>
            <w:tr w14:paraId="7AA31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4" w:hRule="atLeast"/>
                <w:jc w:val="center"/>
              </w:trPr>
              <w:tc>
                <w:tcPr>
                  <w:tcW w:w="1043" w:type="dxa"/>
                  <w:tcBorders>
                    <w:tl2br w:val="nil"/>
                    <w:tr2bl w:val="nil"/>
                  </w:tcBorders>
                  <w:shd w:val="clear" w:color="auto" w:fill="auto"/>
                  <w:vAlign w:val="center"/>
                </w:tcPr>
                <w:p w14:paraId="5FCE28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序号</w:t>
                  </w:r>
                </w:p>
              </w:tc>
              <w:tc>
                <w:tcPr>
                  <w:tcW w:w="1920" w:type="dxa"/>
                  <w:tcBorders>
                    <w:tl2br w:val="nil"/>
                    <w:tr2bl w:val="nil"/>
                  </w:tcBorders>
                  <w:shd w:val="clear" w:color="auto" w:fill="auto"/>
                  <w:vAlign w:val="center"/>
                </w:tcPr>
                <w:p w14:paraId="23FF49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产污位置/设备</w:t>
                  </w:r>
                </w:p>
              </w:tc>
              <w:tc>
                <w:tcPr>
                  <w:tcW w:w="2135" w:type="dxa"/>
                  <w:tcBorders>
                    <w:tl2br w:val="nil"/>
                    <w:tr2bl w:val="nil"/>
                  </w:tcBorders>
                  <w:shd w:val="clear" w:color="auto" w:fill="auto"/>
                  <w:vAlign w:val="center"/>
                </w:tcPr>
                <w:p w14:paraId="525EB3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顶吸式集气罩尺寸（m</w:t>
                  </w:r>
                  <w:r>
                    <w:rPr>
                      <w:rFonts w:hint="default" w:ascii="Times New Roman" w:hAnsi="Times New Roman" w:eastAsia="宋体" w:cs="Times New Roman"/>
                      <w:i w:val="0"/>
                      <w:iCs w:val="0"/>
                      <w:color w:val="000000"/>
                      <w:kern w:val="0"/>
                      <w:sz w:val="21"/>
                      <w:szCs w:val="21"/>
                      <w:u w:val="none"/>
                      <w:vertAlign w:val="superscript"/>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w:t>
                  </w:r>
                </w:p>
              </w:tc>
              <w:tc>
                <w:tcPr>
                  <w:tcW w:w="1943" w:type="dxa"/>
                  <w:tcBorders>
                    <w:tl2br w:val="nil"/>
                    <w:tr2bl w:val="nil"/>
                  </w:tcBorders>
                  <w:shd w:val="clear" w:color="auto" w:fill="auto"/>
                  <w:vAlign w:val="center"/>
                </w:tcPr>
                <w:p w14:paraId="6C52FD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罩口平均风速（m/s）</w:t>
                  </w:r>
                </w:p>
              </w:tc>
              <w:tc>
                <w:tcPr>
                  <w:tcW w:w="1859" w:type="dxa"/>
                  <w:tcBorders>
                    <w:tl2br w:val="nil"/>
                    <w:tr2bl w:val="nil"/>
                  </w:tcBorders>
                  <w:shd w:val="clear" w:color="auto" w:fill="auto"/>
                  <w:vAlign w:val="center"/>
                </w:tcPr>
                <w:p w14:paraId="3AD792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集气风量（m</w:t>
                  </w:r>
                  <w:r>
                    <w:rPr>
                      <w:rFonts w:hint="default" w:ascii="Times New Roman" w:hAnsi="Times New Roman" w:eastAsia="宋体" w:cs="Times New Roman"/>
                      <w:i w:val="0"/>
                      <w:iCs w:val="0"/>
                      <w:color w:val="000000"/>
                      <w:kern w:val="0"/>
                      <w:sz w:val="21"/>
                      <w:szCs w:val="21"/>
                      <w:u w:val="none"/>
                      <w:vertAlign w:val="superscript"/>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/h）</w:t>
                  </w:r>
                </w:p>
              </w:tc>
            </w:tr>
            <w:tr w14:paraId="1078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4" w:hRule="atLeast"/>
                <w:jc w:val="center"/>
              </w:trPr>
              <w:tc>
                <w:tcPr>
                  <w:tcW w:w="1043" w:type="dxa"/>
                  <w:tcBorders>
                    <w:tl2br w:val="nil"/>
                    <w:tr2bl w:val="nil"/>
                  </w:tcBorders>
                  <w:shd w:val="clear" w:color="auto" w:fill="auto"/>
                  <w:vAlign w:val="center"/>
                </w:tcPr>
                <w:p w14:paraId="6C7F33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1</w:t>
                  </w:r>
                </w:p>
              </w:tc>
              <w:tc>
                <w:tcPr>
                  <w:tcW w:w="1920" w:type="dxa"/>
                  <w:tcBorders>
                    <w:tl2br w:val="nil"/>
                    <w:tr2bl w:val="nil"/>
                  </w:tcBorders>
                  <w:shd w:val="clear" w:color="auto" w:fill="auto"/>
                  <w:vAlign w:val="center"/>
                </w:tcPr>
                <w:p w14:paraId="7524B9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储料仓进料口和传送带出料口</w:t>
                  </w:r>
                </w:p>
              </w:tc>
              <w:tc>
                <w:tcPr>
                  <w:tcW w:w="2135" w:type="dxa"/>
                  <w:tcBorders>
                    <w:tl2br w:val="nil"/>
                    <w:tr2bl w:val="nil"/>
                  </w:tcBorders>
                  <w:shd w:val="clear" w:color="auto" w:fill="auto"/>
                  <w:vAlign w:val="center"/>
                </w:tcPr>
                <w:p w14:paraId="5EA422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w:t>
                  </w:r>
                </w:p>
              </w:tc>
              <w:tc>
                <w:tcPr>
                  <w:tcW w:w="1943" w:type="dxa"/>
                  <w:tcBorders>
                    <w:tl2br w:val="nil"/>
                    <w:tr2bl w:val="nil"/>
                  </w:tcBorders>
                  <w:shd w:val="clear" w:color="auto" w:fill="auto"/>
                  <w:vAlign w:val="center"/>
                </w:tcPr>
                <w:p w14:paraId="673F6C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0.35</w:t>
                  </w:r>
                </w:p>
              </w:tc>
              <w:tc>
                <w:tcPr>
                  <w:tcW w:w="1859" w:type="dxa"/>
                  <w:tcBorders>
                    <w:tl2br w:val="nil"/>
                    <w:tr2bl w:val="nil"/>
                  </w:tcBorders>
                  <w:shd w:val="clear" w:color="auto" w:fill="auto"/>
                  <w:vAlign w:val="center"/>
                </w:tcPr>
                <w:p w14:paraId="0BD8E1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23F8D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8" w:hRule="atLeast"/>
                <w:jc w:val="center"/>
              </w:trPr>
              <w:tc>
                <w:tcPr>
                  <w:tcW w:w="1043" w:type="dxa"/>
                  <w:tcBorders>
                    <w:tl2br w:val="nil"/>
                    <w:tr2bl w:val="nil"/>
                  </w:tcBorders>
                  <w:shd w:val="clear" w:color="auto" w:fill="auto"/>
                  <w:vAlign w:val="center"/>
                </w:tcPr>
                <w:p w14:paraId="456DBC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2</w:t>
                  </w:r>
                </w:p>
              </w:tc>
              <w:tc>
                <w:tcPr>
                  <w:tcW w:w="1920" w:type="dxa"/>
                  <w:tcBorders>
                    <w:tl2br w:val="nil"/>
                    <w:tr2bl w:val="nil"/>
                  </w:tcBorders>
                  <w:shd w:val="clear" w:color="auto" w:fill="auto"/>
                  <w:vAlign w:val="center"/>
                </w:tcPr>
                <w:p w14:paraId="18F0A7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包装工位</w:t>
                  </w:r>
                </w:p>
              </w:tc>
              <w:tc>
                <w:tcPr>
                  <w:tcW w:w="2135" w:type="dxa"/>
                  <w:tcBorders>
                    <w:tl2br w:val="nil"/>
                    <w:tr2bl w:val="nil"/>
                  </w:tcBorders>
                  <w:shd w:val="clear" w:color="auto" w:fill="auto"/>
                  <w:vAlign w:val="center"/>
                </w:tcPr>
                <w:p w14:paraId="388BFF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0.36</w:t>
                  </w:r>
                </w:p>
              </w:tc>
              <w:tc>
                <w:tcPr>
                  <w:tcW w:w="1943" w:type="dxa"/>
                  <w:tcBorders>
                    <w:tl2br w:val="nil"/>
                    <w:tr2bl w:val="nil"/>
                  </w:tcBorders>
                  <w:shd w:val="clear" w:color="auto" w:fill="auto"/>
                  <w:vAlign w:val="center"/>
                </w:tcPr>
                <w:p w14:paraId="1E70ED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0.35</w:t>
                  </w:r>
                </w:p>
              </w:tc>
              <w:tc>
                <w:tcPr>
                  <w:tcW w:w="1859" w:type="dxa"/>
                  <w:tcBorders>
                    <w:tl2br w:val="nil"/>
                    <w:tr2bl w:val="nil"/>
                  </w:tcBorders>
                  <w:shd w:val="clear" w:color="auto" w:fill="auto"/>
                  <w:vAlign w:val="center"/>
                </w:tcPr>
                <w:p w14:paraId="26FD7E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453.600 </w:t>
                  </w:r>
                </w:p>
              </w:tc>
            </w:tr>
          </w:tbl>
          <w:p w14:paraId="063AD2BA">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cs="Times New Roman"/>
                <w:b/>
                <w:bCs/>
                <w:caps w:val="0"/>
                <w:smallCaps w:val="0"/>
                <w:color w:val="auto"/>
                <w:spacing w:val="0"/>
                <w:w w:val="100"/>
                <w:position w:val="0"/>
                <w:sz w:val="21"/>
                <w:szCs w:val="21"/>
                <w:lang w:val="en-US" w:eastAsia="zh-CN"/>
              </w:rPr>
            </w:pPr>
            <w:r>
              <w:rPr>
                <w:rFonts w:hint="eastAsia" w:cs="Times New Roman"/>
                <w:b/>
                <w:bCs/>
                <w:caps w:val="0"/>
                <w:smallCaps w:val="0"/>
                <w:color w:val="auto"/>
                <w:spacing w:val="0"/>
                <w:w w:val="100"/>
                <w:position w:val="0"/>
                <w:sz w:val="21"/>
                <w:szCs w:val="21"/>
                <w:lang w:val="en-US" w:eastAsia="zh-CN"/>
              </w:rPr>
              <w:t>表4-9  1#热解分选生产区生产线粉尘收集风量计算一览表</w:t>
            </w:r>
          </w:p>
          <w:tbl>
            <w:tblPr>
              <w:tblStyle w:val="26"/>
              <w:tblW w:w="8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6"/>
              <w:gridCol w:w="744"/>
              <w:gridCol w:w="1513"/>
              <w:gridCol w:w="1783"/>
              <w:gridCol w:w="1784"/>
              <w:gridCol w:w="2188"/>
            </w:tblGrid>
            <w:tr w14:paraId="1A51A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32B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序号</w:t>
                  </w:r>
                </w:p>
              </w:tc>
              <w:tc>
                <w:tcPr>
                  <w:tcW w:w="22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77A60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废气类型</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1CD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产污设备/位置</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998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数量</w:t>
                  </w:r>
                  <w:r>
                    <w:rPr>
                      <w:rFonts w:hint="eastAsia" w:ascii="Times New Roman" w:hAnsi="Times New Roman" w:eastAsia="宋体" w:cs="Times New Roman"/>
                      <w:b/>
                      <w:bCs/>
                      <w:i w:val="0"/>
                      <w:iCs w:val="0"/>
                      <w:color w:val="000000"/>
                      <w:kern w:val="0"/>
                      <w:sz w:val="21"/>
                      <w:szCs w:val="21"/>
                      <w:u w:val="none"/>
                      <w:lang w:val="en-US" w:eastAsia="zh-CN" w:bidi="ar"/>
                    </w:rPr>
                    <w:t>（台/个）</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A26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lang w:val="en-US"/>
                    </w:rPr>
                  </w:pPr>
                  <w:r>
                    <w:rPr>
                      <w:rFonts w:hint="default" w:ascii="Times New Roman" w:hAnsi="Times New Roman" w:eastAsia="宋体" w:cs="Times New Roman"/>
                      <w:b/>
                      <w:bCs/>
                      <w:i w:val="0"/>
                      <w:iCs w:val="0"/>
                      <w:color w:val="000000"/>
                      <w:kern w:val="0"/>
                      <w:sz w:val="21"/>
                      <w:szCs w:val="21"/>
                      <w:u w:val="none"/>
                      <w:lang w:val="en-US" w:eastAsia="zh-CN" w:bidi="ar"/>
                    </w:rPr>
                    <w:t>集气风量</w:t>
                  </w:r>
                  <w:r>
                    <w:rPr>
                      <w:rFonts w:hint="eastAsia" w:ascii="Times New Roman" w:hAnsi="Times New Roman" w:eastAsia="宋体" w:cs="Times New Roman"/>
                      <w:b/>
                      <w:bCs/>
                      <w:i w:val="0"/>
                      <w:iCs w:val="0"/>
                      <w:color w:val="000000"/>
                      <w:kern w:val="0"/>
                      <w:sz w:val="21"/>
                      <w:szCs w:val="21"/>
                      <w:u w:val="none"/>
                      <w:lang w:val="en-US" w:eastAsia="zh-CN" w:bidi="ar"/>
                    </w:rPr>
                    <w:t>（m</w:t>
                  </w:r>
                  <w:r>
                    <w:rPr>
                      <w:rFonts w:hint="eastAsia" w:cs="Times New Roman"/>
                      <w:b/>
                      <w:bCs/>
                      <w:i w:val="0"/>
                      <w:iCs w:val="0"/>
                      <w:color w:val="000000"/>
                      <w:kern w:val="0"/>
                      <w:sz w:val="21"/>
                      <w:szCs w:val="21"/>
                      <w:u w:val="none"/>
                      <w:vertAlign w:val="superscript"/>
                      <w:lang w:val="en-US" w:eastAsia="zh-CN" w:bidi="ar"/>
                    </w:rPr>
                    <w:t>3</w:t>
                  </w:r>
                  <w:r>
                    <w:rPr>
                      <w:rFonts w:hint="eastAsia" w:ascii="Times New Roman" w:hAnsi="Times New Roman" w:eastAsia="宋体" w:cs="Times New Roman"/>
                      <w:b/>
                      <w:bCs/>
                      <w:i w:val="0"/>
                      <w:iCs w:val="0"/>
                      <w:color w:val="000000"/>
                      <w:kern w:val="0"/>
                      <w:sz w:val="21"/>
                      <w:szCs w:val="21"/>
                      <w:u w:val="none"/>
                      <w:lang w:val="en-US" w:eastAsia="zh-CN" w:bidi="ar"/>
                    </w:rPr>
                    <w:t>/h）</w:t>
                  </w:r>
                </w:p>
              </w:tc>
            </w:tr>
            <w:tr w14:paraId="5D60D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BF2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E1A8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进仓粉尘</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8C7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仓1</w:t>
                  </w:r>
                </w:p>
              </w:tc>
              <w:tc>
                <w:tcPr>
                  <w:tcW w:w="17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DB9B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储料仓进料口和传送带出料口</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79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A07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432E9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F2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AD032">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73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仓3</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BB031">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05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3B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3DB25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1B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583D4">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105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仓4</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23756">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C87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F4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3C4A4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E3B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F0035">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A7B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仓5</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9DEC7">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F7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6AD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45DBB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084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84E17">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607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仓6</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BDB2D">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C4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80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70897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C6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722F1">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BD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仓7</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A1981">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86C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3A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15FF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0B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FC143">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8B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仓8</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D465C">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302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53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65EE0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66D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27C71">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64A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仓9</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641F6">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4F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108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02939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4D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22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1CF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炉渣筛分粉尘</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6CF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大振动筛</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1FA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55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578.765 </w:t>
                  </w:r>
                </w:p>
              </w:tc>
            </w:tr>
            <w:tr w14:paraId="501D2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A03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22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286E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旋风分离粉尘</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F27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旋风分离器</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3C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80F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1157.530 </w:t>
                  </w:r>
                </w:p>
              </w:tc>
            </w:tr>
            <w:tr w14:paraId="623E8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CB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22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48BC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硅粉包装粉尘</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0CC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包装工位</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52F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50F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453.600 </w:t>
                  </w:r>
                </w:p>
              </w:tc>
            </w:tr>
            <w:tr w14:paraId="56F04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08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416B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风选粉尘</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8AA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仓4物料风选</w:t>
                  </w:r>
                </w:p>
              </w:tc>
              <w:tc>
                <w:tcPr>
                  <w:tcW w:w="17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77FE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风选机</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81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1F0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2315.059 </w:t>
                  </w:r>
                </w:p>
              </w:tc>
            </w:tr>
            <w:tr w14:paraId="457AA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D27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FB174">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968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仓9物料风选</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75990">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AF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AC3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2315.059 </w:t>
                  </w:r>
                </w:p>
              </w:tc>
            </w:tr>
            <w:tr w14:paraId="2E280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jc w:val="center"/>
              </w:trPr>
              <w:tc>
                <w:tcPr>
                  <w:tcW w:w="67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C065DA">
                  <w:pPr>
                    <w:keepNext w:val="0"/>
                    <w:keepLines w:val="0"/>
                    <w:widowControl/>
                    <w:suppressLineNumbers w:val="0"/>
                    <w:jc w:val="center"/>
                    <w:textAlignment w:val="center"/>
                    <w:rPr>
                      <w:rFonts w:hint="eastAsia" w:ascii="Times New Roman" w:hAnsi="Times New Roman" w:eastAsia="宋体" w:cs="Times New Roman"/>
                      <w:b/>
                      <w:bCs/>
                      <w:i w:val="0"/>
                      <w:iCs w:val="0"/>
                      <w:color w:val="000000"/>
                      <w:sz w:val="21"/>
                      <w:szCs w:val="21"/>
                      <w:u w:val="none"/>
                      <w:lang w:val="en-US" w:eastAsia="zh-CN"/>
                    </w:rPr>
                  </w:pPr>
                  <w:r>
                    <w:rPr>
                      <w:rFonts w:hint="eastAsia" w:ascii="Times New Roman" w:hAnsi="Times New Roman" w:eastAsia="宋体" w:cs="Times New Roman"/>
                      <w:b/>
                      <w:bCs/>
                      <w:i w:val="0"/>
                      <w:iCs w:val="0"/>
                      <w:color w:val="000000"/>
                      <w:sz w:val="21"/>
                      <w:szCs w:val="21"/>
                      <w:u w:val="none"/>
                      <w:lang w:val="en-US" w:eastAsia="zh-CN"/>
                    </w:rPr>
                    <w:t>小计</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939E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2"/>
                      <w:szCs w:val="22"/>
                      <w:u w:val="none"/>
                      <w:lang w:val="en-US" w:eastAsia="zh-CN" w:bidi="ar"/>
                    </w:rPr>
                    <w:t xml:space="preserve">7828.013 </w:t>
                  </w:r>
                </w:p>
              </w:tc>
            </w:tr>
            <w:tr w14:paraId="5B99B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jc w:val="center"/>
              </w:trPr>
              <w:tc>
                <w:tcPr>
                  <w:tcW w:w="67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0E7ACD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设计取值</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6E84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2"/>
                      <w:szCs w:val="22"/>
                      <w:u w:val="none"/>
                      <w:lang w:val="en-US" w:eastAsia="zh-CN" w:bidi="ar"/>
                    </w:rPr>
                    <w:t xml:space="preserve">8000.000 </w:t>
                  </w:r>
                </w:p>
              </w:tc>
            </w:tr>
            <w:tr w14:paraId="613A6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AF5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831E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进仓粉尘</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C6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仓10</w:t>
                  </w:r>
                </w:p>
              </w:tc>
              <w:tc>
                <w:tcPr>
                  <w:tcW w:w="17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81AA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储料仓进料口和传送带出料口</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10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2F6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0556A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F43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5C393">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84C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仓12</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32BF2">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F72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CD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5A7BD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0B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9F412">
                  <w:pPr>
                    <w:jc w:val="center"/>
                    <w:rPr>
                      <w:rFonts w:hint="default" w:ascii="Times New Roman" w:hAnsi="Times New Roman" w:eastAsia="宋体" w:cs="Times New Roman"/>
                      <w:i w:val="0"/>
                      <w:iCs w:val="0"/>
                      <w:color w:val="000000"/>
                      <w:sz w:val="21"/>
                      <w:szCs w:val="21"/>
                      <w:u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392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仓13</w:t>
                  </w:r>
                </w:p>
              </w:tc>
              <w:tc>
                <w:tcPr>
                  <w:tcW w:w="17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C2AF1">
                  <w:pPr>
                    <w:jc w:val="center"/>
                    <w:rPr>
                      <w:rFonts w:hint="default" w:ascii="Times New Roman" w:hAnsi="Times New Roman" w:eastAsia="宋体" w:cs="Times New Roman"/>
                      <w:i w:val="0"/>
                      <w:iCs w:val="0"/>
                      <w:color w:val="000000"/>
                      <w:sz w:val="21"/>
                      <w:szCs w:val="21"/>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4F2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18B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126.000 </w:t>
                  </w:r>
                </w:p>
              </w:tc>
            </w:tr>
            <w:tr w14:paraId="1080F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DA23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22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76D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玻璃筛分粉尘</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6D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筛分机</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738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CB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2315.059 </w:t>
                  </w:r>
                </w:p>
              </w:tc>
            </w:tr>
            <w:tr w14:paraId="57876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 w:hRule="atLeast"/>
                <w:jc w:val="center"/>
              </w:trPr>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E3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22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47C5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玻璃粉包装粉尘</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9F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包装工位</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CDF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463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1814.400 </w:t>
                  </w:r>
                </w:p>
              </w:tc>
            </w:tr>
            <w:tr w14:paraId="30C65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jc w:val="center"/>
              </w:trPr>
              <w:tc>
                <w:tcPr>
                  <w:tcW w:w="67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3F0EB1">
                  <w:pPr>
                    <w:keepNext w:val="0"/>
                    <w:keepLines w:val="0"/>
                    <w:widowControl/>
                    <w:suppressLineNumbers w:val="0"/>
                    <w:jc w:val="center"/>
                    <w:textAlignment w:val="center"/>
                    <w:rPr>
                      <w:rFonts w:hint="eastAsia" w:ascii="Times New Roman" w:hAnsi="Times New Roman" w:eastAsia="宋体" w:cs="Times New Roman"/>
                      <w:b/>
                      <w:bCs/>
                      <w:i w:val="0"/>
                      <w:iCs w:val="0"/>
                      <w:color w:val="000000"/>
                      <w:sz w:val="21"/>
                      <w:szCs w:val="21"/>
                      <w:u w:val="none"/>
                      <w:lang w:val="en-US" w:eastAsia="zh-CN"/>
                    </w:rPr>
                  </w:pPr>
                  <w:r>
                    <w:rPr>
                      <w:rFonts w:hint="eastAsia" w:ascii="Times New Roman" w:hAnsi="Times New Roman" w:eastAsia="宋体" w:cs="Times New Roman"/>
                      <w:b/>
                      <w:bCs/>
                      <w:i w:val="0"/>
                      <w:iCs w:val="0"/>
                      <w:color w:val="000000"/>
                      <w:sz w:val="21"/>
                      <w:szCs w:val="21"/>
                      <w:u w:val="none"/>
                      <w:lang w:val="en-US" w:eastAsia="zh-CN"/>
                    </w:rPr>
                    <w:t>小计</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9B4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 xml:space="preserve">4507.459 </w:t>
                  </w:r>
                </w:p>
              </w:tc>
            </w:tr>
            <w:tr w14:paraId="3E8EC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jc w:val="center"/>
              </w:trPr>
              <w:tc>
                <w:tcPr>
                  <w:tcW w:w="67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8B6FE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设计取值</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F53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 xml:space="preserve">5000.000 </w:t>
                  </w:r>
                </w:p>
              </w:tc>
            </w:tr>
            <w:tr w14:paraId="4DDA1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3" w:hRule="atLeast"/>
                <w:jc w:val="center"/>
              </w:trPr>
              <w:tc>
                <w:tcPr>
                  <w:tcW w:w="67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00610D">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1"/>
                      <w:szCs w:val="21"/>
                      <w:u w:val="none"/>
                      <w:lang w:val="en-US" w:eastAsia="zh-CN" w:bidi="ar"/>
                    </w:rPr>
                  </w:pPr>
                  <w:r>
                    <w:rPr>
                      <w:rFonts w:hint="eastAsia" w:ascii="Times New Roman" w:hAnsi="Times New Roman" w:eastAsia="宋体" w:cs="Times New Roman"/>
                      <w:b/>
                      <w:bCs/>
                      <w:i w:val="0"/>
                      <w:iCs w:val="0"/>
                      <w:color w:val="000000"/>
                      <w:kern w:val="0"/>
                      <w:sz w:val="21"/>
                      <w:szCs w:val="21"/>
                      <w:u w:val="none"/>
                      <w:lang w:val="en-US" w:eastAsia="zh-CN" w:bidi="ar"/>
                    </w:rPr>
                    <w:t>合计</w:t>
                  </w:r>
                </w:p>
              </w:tc>
              <w:tc>
                <w:tcPr>
                  <w:tcW w:w="2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25553">
                  <w:pPr>
                    <w:keepNext w:val="0"/>
                    <w:keepLines w:val="0"/>
                    <w:widowControl/>
                    <w:suppressLineNumbers w:val="0"/>
                    <w:jc w:val="center"/>
                    <w:textAlignment w:val="center"/>
                    <w:rPr>
                      <w:rFonts w:hint="default" w:cs="Times New Roman"/>
                      <w:b/>
                      <w:bCs/>
                      <w:i w:val="0"/>
                      <w:iCs w:val="0"/>
                      <w:color w:val="000000"/>
                      <w:kern w:val="0"/>
                      <w:sz w:val="21"/>
                      <w:szCs w:val="21"/>
                      <w:u w:val="none"/>
                      <w:lang w:val="en-US" w:eastAsia="zh-CN" w:bidi="ar"/>
                    </w:rPr>
                  </w:pPr>
                  <w:r>
                    <w:rPr>
                      <w:rFonts w:hint="eastAsia" w:cs="Times New Roman"/>
                      <w:b/>
                      <w:bCs/>
                      <w:i w:val="0"/>
                      <w:iCs w:val="0"/>
                      <w:color w:val="000000"/>
                      <w:kern w:val="0"/>
                      <w:sz w:val="21"/>
                      <w:szCs w:val="21"/>
                      <w:u w:val="none"/>
                      <w:lang w:val="en-US" w:eastAsia="zh-CN" w:bidi="ar"/>
                    </w:rPr>
                    <w:t>13000.000</w:t>
                  </w:r>
                </w:p>
              </w:tc>
            </w:tr>
          </w:tbl>
          <w:p w14:paraId="7D04130D">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cs="Times New Roman"/>
                <w:caps w:val="0"/>
                <w:smallCaps w:val="0"/>
                <w:color w:val="auto"/>
                <w:spacing w:val="0"/>
                <w:w w:val="100"/>
                <w:position w:val="0"/>
                <w:sz w:val="24"/>
                <w:szCs w:val="24"/>
                <w:lang w:val="en-US" w:eastAsia="zh-CN"/>
              </w:rPr>
            </w:pPr>
            <w:r>
              <w:rPr>
                <w:rFonts w:hint="eastAsia" w:cs="Times New Roman"/>
                <w:caps w:val="0"/>
                <w:smallCaps w:val="0"/>
                <w:color w:val="auto"/>
                <w:spacing w:val="0"/>
                <w:w w:val="100"/>
                <w:position w:val="0"/>
                <w:sz w:val="24"/>
                <w:szCs w:val="24"/>
                <w:lang w:val="en-US" w:eastAsia="zh-CN"/>
              </w:rPr>
              <w:t>综上，</w:t>
            </w:r>
            <w:r>
              <w:rPr>
                <w:rFonts w:hint="eastAsia" w:cs="Times New Roman"/>
                <w:b/>
                <w:bCs/>
                <w:caps w:val="0"/>
                <w:smallCaps w:val="0"/>
                <w:color w:val="auto"/>
                <w:spacing w:val="0"/>
                <w:w w:val="100"/>
                <w:position w:val="0"/>
                <w:sz w:val="21"/>
                <w:szCs w:val="21"/>
                <w:lang w:val="en-US" w:eastAsia="zh-CN"/>
              </w:rPr>
              <w:t xml:space="preserve"> </w:t>
            </w:r>
            <w:r>
              <w:rPr>
                <w:rFonts w:hint="eastAsia" w:cs="Times New Roman"/>
                <w:caps w:val="0"/>
                <w:smallCaps w:val="0"/>
                <w:color w:val="auto"/>
                <w:spacing w:val="0"/>
                <w:w w:val="100"/>
                <w:position w:val="0"/>
                <w:sz w:val="24"/>
                <w:szCs w:val="24"/>
                <w:lang w:val="en-US" w:eastAsia="zh-CN"/>
              </w:rPr>
              <w:t>1#热解分选生产区生产线粉尘收集总风量设计为13000m</w:t>
            </w:r>
            <w:r>
              <w:rPr>
                <w:rFonts w:hint="eastAsia" w:cs="Times New Roman"/>
                <w:caps w:val="0"/>
                <w:smallCaps w:val="0"/>
                <w:color w:val="auto"/>
                <w:spacing w:val="0"/>
                <w:w w:val="100"/>
                <w:position w:val="0"/>
                <w:sz w:val="24"/>
                <w:szCs w:val="24"/>
                <w:vertAlign w:val="superscript"/>
                <w:lang w:val="en-US" w:eastAsia="zh-CN"/>
              </w:rPr>
              <w:t>3</w:t>
            </w:r>
            <w:r>
              <w:rPr>
                <w:rFonts w:hint="eastAsia" w:cs="Times New Roman"/>
                <w:caps w:val="0"/>
                <w:smallCaps w:val="0"/>
                <w:color w:val="auto"/>
                <w:spacing w:val="0"/>
                <w:w w:val="100"/>
                <w:position w:val="0"/>
                <w:sz w:val="24"/>
                <w:szCs w:val="24"/>
                <w:lang w:val="en-US" w:eastAsia="zh-CN"/>
              </w:rPr>
              <w:t>/h，同理</w:t>
            </w:r>
            <w:r>
              <w:rPr>
                <w:rFonts w:hint="eastAsia" w:ascii="Times New Roman" w:hAnsi="Times New Roman" w:eastAsia="宋体" w:cs="Times New Roman"/>
                <w:caps w:val="0"/>
                <w:smallCaps w:val="0"/>
                <w:color w:val="auto"/>
                <w:spacing w:val="0"/>
                <w:w w:val="100"/>
                <w:position w:val="0"/>
                <w:sz w:val="24"/>
                <w:szCs w:val="24"/>
                <w:lang w:val="en-US" w:eastAsia="zh-CN"/>
              </w:rPr>
              <w:t>2#</w:t>
            </w:r>
            <w:r>
              <w:rPr>
                <w:rFonts w:hint="eastAsia" w:cs="Times New Roman"/>
                <w:caps w:val="0"/>
                <w:smallCaps w:val="0"/>
                <w:color w:val="auto"/>
                <w:spacing w:val="0"/>
                <w:w w:val="100"/>
                <w:position w:val="0"/>
                <w:sz w:val="24"/>
                <w:szCs w:val="24"/>
                <w:lang w:val="en-US" w:eastAsia="zh-CN"/>
              </w:rPr>
              <w:t>热解分选生产区生产线粉尘收集总风量设计为13000m</w:t>
            </w:r>
            <w:r>
              <w:rPr>
                <w:rFonts w:hint="eastAsia" w:cs="Times New Roman"/>
                <w:caps w:val="0"/>
                <w:smallCaps w:val="0"/>
                <w:color w:val="auto"/>
                <w:spacing w:val="0"/>
                <w:w w:val="100"/>
                <w:position w:val="0"/>
                <w:sz w:val="24"/>
                <w:szCs w:val="24"/>
                <w:vertAlign w:val="superscript"/>
                <w:lang w:val="en-US" w:eastAsia="zh-CN"/>
              </w:rPr>
              <w:t>3</w:t>
            </w:r>
            <w:r>
              <w:rPr>
                <w:rFonts w:hint="eastAsia" w:cs="Times New Roman"/>
                <w:caps w:val="0"/>
                <w:smallCaps w:val="0"/>
                <w:color w:val="auto"/>
                <w:spacing w:val="0"/>
                <w:w w:val="100"/>
                <w:position w:val="0"/>
                <w:sz w:val="24"/>
                <w:szCs w:val="24"/>
                <w:lang w:val="en-US" w:eastAsia="zh-CN"/>
              </w:rPr>
              <w:t>/h。</w:t>
            </w:r>
            <w:r>
              <w:rPr>
                <w:rFonts w:hint="eastAsia" w:ascii="Times New Roman" w:hAnsi="Times New Roman" w:eastAsia="宋体" w:cs="Times New Roman"/>
                <w:b w:val="0"/>
                <w:bCs/>
                <w:i w:val="0"/>
                <w:iCs w:val="0"/>
                <w:caps w:val="0"/>
                <w:smallCaps w:val="0"/>
                <w:color w:val="auto"/>
                <w:spacing w:val="0"/>
                <w:w w:val="100"/>
                <w:position w:val="0"/>
                <w:sz w:val="24"/>
                <w:lang w:val="en-US" w:eastAsia="zh-CN"/>
              </w:rPr>
              <w:t>覆膜布袋除尘器对颗粒物的去除效率不低于99%</w:t>
            </w:r>
            <w:r>
              <w:rPr>
                <w:rFonts w:hint="eastAsia" w:cs="Times New Roman"/>
                <w:b w:val="0"/>
                <w:bCs/>
                <w:i w:val="0"/>
                <w:iCs w:val="0"/>
                <w:caps w:val="0"/>
                <w:smallCaps w:val="0"/>
                <w:color w:val="auto"/>
                <w:spacing w:val="0"/>
                <w:w w:val="100"/>
                <w:position w:val="0"/>
                <w:sz w:val="24"/>
                <w:lang w:val="en-US" w:eastAsia="zh-CN"/>
              </w:rPr>
              <w:t>。</w:t>
            </w:r>
          </w:p>
          <w:p w14:paraId="41C7EB82">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cs="Times New Roman"/>
                <w:color w:val="auto"/>
                <w:spacing w:val="0"/>
                <w:kern w:val="10"/>
                <w:position w:val="0"/>
                <w:sz w:val="24"/>
                <w:lang w:val="en-US" w:eastAsia="zh-CN"/>
              </w:rPr>
            </w:pPr>
            <w:r>
              <w:rPr>
                <w:rFonts w:hint="eastAsia" w:cs="Times New Roman"/>
                <w:color w:val="auto"/>
                <w:spacing w:val="0"/>
                <w:kern w:val="10"/>
                <w:position w:val="0"/>
                <w:sz w:val="24"/>
                <w:lang w:val="en-US" w:eastAsia="zh-CN"/>
              </w:rPr>
              <w:t>综上，项目废气产生排放情况如下：</w:t>
            </w:r>
          </w:p>
          <w:p w14:paraId="354633A1">
            <w:pPr>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cs="Times New Roman"/>
                <w:color w:val="auto"/>
                <w:spacing w:val="0"/>
                <w:kern w:val="10"/>
                <w:position w:val="0"/>
                <w:sz w:val="24"/>
                <w:lang w:val="en-US" w:eastAsia="zh-CN"/>
              </w:rPr>
            </w:pPr>
          </w:p>
          <w:p w14:paraId="60FC9207">
            <w:pPr>
              <w:keepNext w:val="0"/>
              <w:keepLines w:val="0"/>
              <w:pageBreakBefore w:val="0"/>
              <w:widowControl w:val="0"/>
              <w:kinsoku/>
              <w:wordWrap/>
              <w:overflowPunct/>
              <w:topLinePunct w:val="0"/>
              <w:autoSpaceDE/>
              <w:autoSpaceDN/>
              <w:bidi w:val="0"/>
              <w:adjustRightInd/>
              <w:snapToGrid/>
              <w:spacing w:line="480" w:lineRule="atLeast"/>
              <w:textAlignment w:val="auto"/>
              <w:rPr>
                <w:rFonts w:hint="default" w:ascii="Times New Roman" w:hAnsi="Times New Roman" w:eastAsia="宋体" w:cs="Times New Roman"/>
                <w:color w:val="auto"/>
                <w:spacing w:val="0"/>
                <w:kern w:val="10"/>
                <w:position w:val="0"/>
                <w:sz w:val="24"/>
                <w:lang w:val="en-US" w:eastAsia="zh-CN"/>
              </w:rPr>
            </w:pPr>
          </w:p>
        </w:tc>
      </w:tr>
    </w:tbl>
    <w:p w14:paraId="4FB07921">
      <w:pPr>
        <w:adjustRightInd w:val="0"/>
        <w:snapToGrid w:val="0"/>
        <w:jc w:val="both"/>
        <w:rPr>
          <w:rFonts w:hint="default" w:ascii="Times New Roman" w:hAnsi="Times New Roman" w:cs="Times New Roman"/>
          <w:bCs/>
          <w:color w:val="auto"/>
          <w:spacing w:val="0"/>
          <w:position w:val="0"/>
          <w:sz w:val="24"/>
        </w:rPr>
        <w:sectPr>
          <w:footerReference r:id="rId7" w:type="default"/>
          <w:pgSz w:w="11905" w:h="16838"/>
          <w:pgMar w:top="1440" w:right="1080" w:bottom="1440" w:left="1080" w:header="851" w:footer="1077" w:gutter="0"/>
          <w:pgBorders>
            <w:top w:val="none" w:sz="0" w:space="0"/>
            <w:left w:val="none" w:sz="0" w:space="0"/>
            <w:bottom w:val="none" w:sz="0" w:space="0"/>
            <w:right w:val="none" w:sz="0" w:space="0"/>
          </w:pgBorders>
          <w:pgNumType w:fmt="decimal"/>
          <w:cols w:space="0" w:num="1"/>
          <w:docGrid w:linePitch="312" w:charSpace="0"/>
        </w:sectPr>
      </w:pPr>
    </w:p>
    <w:tbl>
      <w:tblPr>
        <w:tblStyle w:val="26"/>
        <w:tblW w:w="148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08"/>
        <w:gridCol w:w="14231"/>
      </w:tblGrid>
      <w:tr w14:paraId="271E85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815" w:hRule="atLeast"/>
          <w:jc w:val="center"/>
        </w:trPr>
        <w:tc>
          <w:tcPr>
            <w:tcW w:w="608" w:type="dxa"/>
            <w:tcMar>
              <w:left w:w="28" w:type="dxa"/>
              <w:right w:w="28" w:type="dxa"/>
            </w:tcMar>
            <w:vAlign w:val="center"/>
          </w:tcPr>
          <w:p w14:paraId="4FA6E7B4">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运营</w:t>
            </w:r>
          </w:p>
          <w:p w14:paraId="5113D2C2">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期环</w:t>
            </w:r>
          </w:p>
          <w:p w14:paraId="00894BAD">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境影</w:t>
            </w:r>
          </w:p>
          <w:p w14:paraId="2E28CE3E">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响和</w:t>
            </w:r>
          </w:p>
          <w:p w14:paraId="6E7CE24F">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保护</w:t>
            </w:r>
          </w:p>
          <w:p w14:paraId="4802E879">
            <w:pPr>
              <w:adjustRightInd w:val="0"/>
              <w:snapToGrid w:val="0"/>
              <w:jc w:val="center"/>
              <w:rPr>
                <w:rFonts w:hint="default" w:ascii="Times New Roman" w:hAnsi="Times New Roman" w:cs="Times New Roman"/>
                <w:b/>
                <w:bCs w:val="0"/>
                <w:color w:val="auto"/>
                <w:spacing w:val="0"/>
                <w:position w:val="0"/>
                <w:sz w:val="24"/>
              </w:rPr>
            </w:pPr>
            <w:r>
              <w:rPr>
                <w:rFonts w:hint="default" w:ascii="Times New Roman" w:hAnsi="Times New Roman" w:cs="Times New Roman"/>
                <w:b/>
                <w:bCs w:val="0"/>
                <w:color w:val="auto"/>
                <w:spacing w:val="0"/>
                <w:position w:val="0"/>
                <w:sz w:val="24"/>
              </w:rPr>
              <w:t>措施</w:t>
            </w:r>
          </w:p>
        </w:tc>
        <w:tc>
          <w:tcPr>
            <w:tcW w:w="14231" w:type="dxa"/>
          </w:tcPr>
          <w:p w14:paraId="3A13075D">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default" w:ascii="Times New Roman" w:hAnsi="Times New Roman" w:cs="Times New Roman"/>
                <w:b/>
                <w:bCs/>
                <w:color w:val="auto"/>
                <w:spacing w:val="0"/>
                <w:szCs w:val="21"/>
              </w:rPr>
            </w:pPr>
            <w:r>
              <w:rPr>
                <w:rFonts w:hint="default" w:ascii="Times New Roman" w:hAnsi="Times New Roman" w:cs="Times New Roman"/>
                <w:b/>
                <w:bCs/>
                <w:color w:val="auto"/>
                <w:spacing w:val="0"/>
                <w:szCs w:val="21"/>
              </w:rPr>
              <w:t>表4-</w:t>
            </w:r>
            <w:r>
              <w:rPr>
                <w:rFonts w:hint="eastAsia" w:cs="Times New Roman"/>
                <w:b/>
                <w:bCs/>
                <w:color w:val="auto"/>
                <w:spacing w:val="0"/>
                <w:szCs w:val="21"/>
                <w:lang w:val="en-US" w:eastAsia="zh-CN"/>
              </w:rPr>
              <w:t>15</w:t>
            </w:r>
            <w:r>
              <w:rPr>
                <w:rFonts w:hint="default" w:ascii="Times New Roman" w:hAnsi="Times New Roman" w:cs="Times New Roman"/>
                <w:b/>
                <w:bCs/>
                <w:color w:val="auto"/>
                <w:spacing w:val="0"/>
                <w:szCs w:val="21"/>
              </w:rPr>
              <w:t xml:space="preserve">  项目废气污染物产生、排放情况一览表</w:t>
            </w:r>
          </w:p>
          <w:tbl>
            <w:tblPr>
              <w:tblStyle w:val="26"/>
              <w:tblW w:w="139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29"/>
              <w:gridCol w:w="658"/>
              <w:gridCol w:w="1533"/>
              <w:gridCol w:w="1333"/>
              <w:gridCol w:w="748"/>
              <w:gridCol w:w="740"/>
              <w:gridCol w:w="1216"/>
              <w:gridCol w:w="967"/>
              <w:gridCol w:w="927"/>
              <w:gridCol w:w="1100"/>
              <w:gridCol w:w="766"/>
              <w:gridCol w:w="899"/>
              <w:gridCol w:w="912"/>
              <w:gridCol w:w="955"/>
              <w:gridCol w:w="672"/>
            </w:tblGrid>
            <w:tr w14:paraId="5D96A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restart"/>
                  <w:tcBorders>
                    <w:tl2br w:val="nil"/>
                    <w:tr2bl w:val="nil"/>
                  </w:tcBorders>
                  <w:shd w:val="clear" w:color="auto" w:fill="auto"/>
                  <w:vAlign w:val="center"/>
                </w:tcPr>
                <w:p w14:paraId="17FE141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658" w:type="dxa"/>
                  <w:vMerge w:val="restart"/>
                  <w:tcBorders>
                    <w:tl2br w:val="nil"/>
                    <w:tr2bl w:val="nil"/>
                  </w:tcBorders>
                  <w:shd w:val="clear" w:color="auto" w:fill="auto"/>
                  <w:vAlign w:val="center"/>
                </w:tcPr>
                <w:p w14:paraId="66C296C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生产区</w:t>
                  </w:r>
                </w:p>
              </w:tc>
              <w:tc>
                <w:tcPr>
                  <w:tcW w:w="1533" w:type="dxa"/>
                  <w:vMerge w:val="restart"/>
                  <w:tcBorders>
                    <w:tl2br w:val="nil"/>
                    <w:tr2bl w:val="nil"/>
                  </w:tcBorders>
                  <w:shd w:val="clear" w:color="auto" w:fill="auto"/>
                  <w:vAlign w:val="center"/>
                </w:tcPr>
                <w:p w14:paraId="157A449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废气类型</w:t>
                  </w:r>
                </w:p>
              </w:tc>
              <w:tc>
                <w:tcPr>
                  <w:tcW w:w="1333" w:type="dxa"/>
                  <w:vMerge w:val="restart"/>
                  <w:tcBorders>
                    <w:tl2br w:val="nil"/>
                    <w:tr2bl w:val="nil"/>
                  </w:tcBorders>
                  <w:shd w:val="clear" w:color="auto" w:fill="auto"/>
                  <w:vAlign w:val="center"/>
                </w:tcPr>
                <w:p w14:paraId="33B803B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污染物种类</w:t>
                  </w:r>
                </w:p>
              </w:tc>
              <w:tc>
                <w:tcPr>
                  <w:tcW w:w="748" w:type="dxa"/>
                  <w:vMerge w:val="restart"/>
                  <w:tcBorders>
                    <w:tl2br w:val="nil"/>
                    <w:tr2bl w:val="nil"/>
                  </w:tcBorders>
                  <w:shd w:val="clear" w:color="auto" w:fill="auto"/>
                  <w:vAlign w:val="center"/>
                </w:tcPr>
                <w:p w14:paraId="57ACF2C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生产时间</w:t>
                  </w:r>
                  <w:r>
                    <w:rPr>
                      <w:rFonts w:hint="default" w:ascii="Times New Roman" w:hAnsi="Times New Roman" w:eastAsia="宋体" w:cs="Times New Roman"/>
                      <w:b/>
                      <w:bCs/>
                      <w:i w:val="0"/>
                      <w:iCs w:val="0"/>
                      <w:color w:val="000000"/>
                      <w:kern w:val="0"/>
                      <w:sz w:val="18"/>
                      <w:szCs w:val="18"/>
                      <w:u w:val="none"/>
                      <w:lang w:val="en-US" w:eastAsia="zh-CN" w:bidi="ar"/>
                    </w:rPr>
                    <w:t>h/a</w:t>
                  </w:r>
                </w:p>
              </w:tc>
              <w:tc>
                <w:tcPr>
                  <w:tcW w:w="740" w:type="dxa"/>
                  <w:vMerge w:val="restart"/>
                  <w:tcBorders>
                    <w:tl2br w:val="nil"/>
                    <w:tr2bl w:val="nil"/>
                  </w:tcBorders>
                  <w:shd w:val="clear" w:color="auto" w:fill="auto"/>
                  <w:vAlign w:val="center"/>
                </w:tcPr>
                <w:p w14:paraId="307C3FC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风量</w:t>
                  </w:r>
                  <w:r>
                    <w:rPr>
                      <w:rFonts w:hint="default" w:ascii="Times New Roman" w:hAnsi="Times New Roman" w:eastAsia="宋体" w:cs="Times New Roman"/>
                      <w:b/>
                      <w:bCs/>
                      <w:i w:val="0"/>
                      <w:iCs w:val="0"/>
                      <w:color w:val="000000"/>
                      <w:kern w:val="0"/>
                      <w:sz w:val="18"/>
                      <w:szCs w:val="18"/>
                      <w:u w:val="none"/>
                      <w:lang w:val="en-US" w:eastAsia="zh-CN" w:bidi="ar"/>
                    </w:rPr>
                    <w:t>m</w:t>
                  </w:r>
                  <w:r>
                    <w:rPr>
                      <w:rFonts w:hint="default" w:ascii="Times New Roman" w:hAnsi="Times New Roman" w:eastAsia="宋体" w:cs="Times New Roman"/>
                      <w:b/>
                      <w:bCs/>
                      <w:i w:val="0"/>
                      <w:iCs w:val="0"/>
                      <w:color w:val="000000"/>
                      <w:kern w:val="0"/>
                      <w:sz w:val="18"/>
                      <w:szCs w:val="18"/>
                      <w:u w:val="none"/>
                      <w:vertAlign w:val="superscript"/>
                      <w:lang w:val="en-US" w:eastAsia="zh-CN" w:bidi="ar"/>
                    </w:rPr>
                    <w:t>3</w:t>
                  </w:r>
                  <w:r>
                    <w:rPr>
                      <w:rFonts w:hint="default" w:ascii="Times New Roman" w:hAnsi="Times New Roman" w:eastAsia="宋体" w:cs="Times New Roman"/>
                      <w:b/>
                      <w:bCs/>
                      <w:i w:val="0"/>
                      <w:iCs w:val="0"/>
                      <w:color w:val="000000"/>
                      <w:kern w:val="0"/>
                      <w:sz w:val="18"/>
                      <w:szCs w:val="18"/>
                      <w:u w:val="none"/>
                      <w:lang w:val="en-US" w:eastAsia="zh-CN" w:bidi="ar"/>
                    </w:rPr>
                    <w:t>/h</w:t>
                  </w:r>
                </w:p>
              </w:tc>
              <w:tc>
                <w:tcPr>
                  <w:tcW w:w="3110" w:type="dxa"/>
                  <w:gridSpan w:val="3"/>
                  <w:tcBorders>
                    <w:tl2br w:val="nil"/>
                    <w:tr2bl w:val="nil"/>
                  </w:tcBorders>
                  <w:shd w:val="clear" w:color="auto" w:fill="auto"/>
                  <w:vAlign w:val="center"/>
                </w:tcPr>
                <w:p w14:paraId="615BEB6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污染物产生情况</w:t>
                  </w:r>
                </w:p>
              </w:tc>
              <w:tc>
                <w:tcPr>
                  <w:tcW w:w="1100" w:type="dxa"/>
                  <w:vMerge w:val="restart"/>
                  <w:tcBorders>
                    <w:tl2br w:val="nil"/>
                    <w:tr2bl w:val="nil"/>
                  </w:tcBorders>
                  <w:shd w:val="clear" w:color="auto" w:fill="auto"/>
                  <w:vAlign w:val="center"/>
                </w:tcPr>
                <w:p w14:paraId="4D5A3AB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治理措施</w:t>
                  </w:r>
                </w:p>
              </w:tc>
              <w:tc>
                <w:tcPr>
                  <w:tcW w:w="766" w:type="dxa"/>
                  <w:vMerge w:val="restart"/>
                  <w:tcBorders>
                    <w:tl2br w:val="nil"/>
                    <w:tr2bl w:val="nil"/>
                  </w:tcBorders>
                  <w:shd w:val="clear" w:color="auto" w:fill="auto"/>
                  <w:vAlign w:val="center"/>
                </w:tcPr>
                <w:p w14:paraId="4E29AAB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处理效率（</w:t>
                  </w:r>
                  <w:r>
                    <w:rPr>
                      <w:rFonts w:hint="default" w:ascii="Times New Roman" w:hAnsi="Times New Roman" w:eastAsia="宋体" w:cs="Times New Roman"/>
                      <w:b/>
                      <w:bCs/>
                      <w:i w:val="0"/>
                      <w:iCs w:val="0"/>
                      <w:color w:val="000000"/>
                      <w:kern w:val="0"/>
                      <w:sz w:val="18"/>
                      <w:szCs w:val="18"/>
                      <w:u w:val="none"/>
                      <w:lang w:val="en-US" w:eastAsia="zh-CN" w:bidi="ar"/>
                    </w:rPr>
                    <w:t>%</w:t>
                  </w:r>
                  <w:r>
                    <w:rPr>
                      <w:rFonts w:hint="eastAsia" w:ascii="宋体" w:hAnsi="宋体" w:eastAsia="宋体" w:cs="宋体"/>
                      <w:b/>
                      <w:bCs/>
                      <w:i w:val="0"/>
                      <w:iCs w:val="0"/>
                      <w:color w:val="000000"/>
                      <w:kern w:val="0"/>
                      <w:sz w:val="18"/>
                      <w:szCs w:val="18"/>
                      <w:u w:val="none"/>
                      <w:lang w:val="en-US" w:eastAsia="zh-CN" w:bidi="ar"/>
                    </w:rPr>
                    <w:t>）</w:t>
                  </w:r>
                </w:p>
              </w:tc>
              <w:tc>
                <w:tcPr>
                  <w:tcW w:w="2766" w:type="dxa"/>
                  <w:gridSpan w:val="3"/>
                  <w:tcBorders>
                    <w:tl2br w:val="nil"/>
                    <w:tr2bl w:val="nil"/>
                  </w:tcBorders>
                  <w:shd w:val="clear" w:color="auto" w:fill="auto"/>
                  <w:vAlign w:val="center"/>
                </w:tcPr>
                <w:p w14:paraId="5C53E2F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污染物排放情况</w:t>
                  </w:r>
                </w:p>
              </w:tc>
              <w:tc>
                <w:tcPr>
                  <w:tcW w:w="672" w:type="dxa"/>
                  <w:vMerge w:val="restart"/>
                  <w:tcBorders>
                    <w:tl2br w:val="nil"/>
                    <w:tr2bl w:val="nil"/>
                  </w:tcBorders>
                  <w:shd w:val="clear" w:color="auto" w:fill="auto"/>
                  <w:vAlign w:val="center"/>
                </w:tcPr>
                <w:p w14:paraId="1D23E8B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排气筒编号</w:t>
                  </w:r>
                </w:p>
              </w:tc>
            </w:tr>
            <w:tr w14:paraId="35181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2A468221">
                  <w:pPr>
                    <w:jc w:val="center"/>
                    <w:rPr>
                      <w:rFonts w:hint="default" w:ascii="Times New Roman" w:hAnsi="Times New Roman" w:eastAsia="宋体" w:cs="Times New Roman"/>
                      <w:b/>
                      <w:bCs/>
                      <w:i w:val="0"/>
                      <w:iCs w:val="0"/>
                      <w:color w:val="000000"/>
                      <w:sz w:val="18"/>
                      <w:szCs w:val="18"/>
                      <w:u w:val="none"/>
                    </w:rPr>
                  </w:pPr>
                </w:p>
              </w:tc>
              <w:tc>
                <w:tcPr>
                  <w:tcW w:w="658" w:type="dxa"/>
                  <w:vMerge w:val="continue"/>
                  <w:tcBorders>
                    <w:tl2br w:val="nil"/>
                    <w:tr2bl w:val="nil"/>
                  </w:tcBorders>
                  <w:shd w:val="clear" w:color="auto" w:fill="auto"/>
                  <w:vAlign w:val="center"/>
                </w:tcPr>
                <w:p w14:paraId="0F6B738E">
                  <w:pPr>
                    <w:jc w:val="center"/>
                    <w:rPr>
                      <w:rFonts w:hint="default" w:ascii="Times New Roman" w:hAnsi="Times New Roman" w:eastAsia="宋体" w:cs="Times New Roman"/>
                      <w:b/>
                      <w:bCs/>
                      <w:i w:val="0"/>
                      <w:iCs w:val="0"/>
                      <w:color w:val="000000"/>
                      <w:sz w:val="18"/>
                      <w:szCs w:val="18"/>
                      <w:u w:val="none"/>
                    </w:rPr>
                  </w:pPr>
                </w:p>
              </w:tc>
              <w:tc>
                <w:tcPr>
                  <w:tcW w:w="1533" w:type="dxa"/>
                  <w:vMerge w:val="continue"/>
                  <w:tcBorders>
                    <w:tl2br w:val="nil"/>
                    <w:tr2bl w:val="nil"/>
                  </w:tcBorders>
                  <w:shd w:val="clear" w:color="auto" w:fill="auto"/>
                  <w:vAlign w:val="center"/>
                </w:tcPr>
                <w:p w14:paraId="66EA96CF">
                  <w:pPr>
                    <w:jc w:val="center"/>
                    <w:rPr>
                      <w:rFonts w:hint="default" w:ascii="Times New Roman" w:hAnsi="Times New Roman" w:eastAsia="宋体" w:cs="Times New Roman"/>
                      <w:b/>
                      <w:bCs/>
                      <w:i w:val="0"/>
                      <w:iCs w:val="0"/>
                      <w:color w:val="000000"/>
                      <w:sz w:val="18"/>
                      <w:szCs w:val="18"/>
                      <w:u w:val="none"/>
                    </w:rPr>
                  </w:pPr>
                </w:p>
              </w:tc>
              <w:tc>
                <w:tcPr>
                  <w:tcW w:w="1333" w:type="dxa"/>
                  <w:vMerge w:val="continue"/>
                  <w:tcBorders>
                    <w:tl2br w:val="nil"/>
                    <w:tr2bl w:val="nil"/>
                  </w:tcBorders>
                  <w:shd w:val="clear" w:color="auto" w:fill="auto"/>
                  <w:vAlign w:val="center"/>
                </w:tcPr>
                <w:p w14:paraId="3E0C9B95">
                  <w:pPr>
                    <w:jc w:val="center"/>
                    <w:rPr>
                      <w:rFonts w:hint="default" w:ascii="Times New Roman" w:hAnsi="Times New Roman" w:eastAsia="宋体" w:cs="Times New Roman"/>
                      <w:b/>
                      <w:bCs/>
                      <w:i w:val="0"/>
                      <w:iCs w:val="0"/>
                      <w:color w:val="000000"/>
                      <w:sz w:val="18"/>
                      <w:szCs w:val="18"/>
                      <w:u w:val="none"/>
                    </w:rPr>
                  </w:pPr>
                </w:p>
              </w:tc>
              <w:tc>
                <w:tcPr>
                  <w:tcW w:w="748" w:type="dxa"/>
                  <w:vMerge w:val="continue"/>
                  <w:tcBorders>
                    <w:tl2br w:val="nil"/>
                    <w:tr2bl w:val="nil"/>
                  </w:tcBorders>
                  <w:shd w:val="clear" w:color="auto" w:fill="auto"/>
                  <w:vAlign w:val="center"/>
                </w:tcPr>
                <w:p w14:paraId="5FEF6802">
                  <w:pPr>
                    <w:jc w:val="center"/>
                    <w:rPr>
                      <w:rFonts w:hint="default" w:ascii="Times New Roman" w:hAnsi="Times New Roman" w:eastAsia="宋体" w:cs="Times New Roman"/>
                      <w:b/>
                      <w:bCs/>
                      <w:i w:val="0"/>
                      <w:iCs w:val="0"/>
                      <w:color w:val="000000"/>
                      <w:sz w:val="18"/>
                      <w:szCs w:val="18"/>
                      <w:u w:val="none"/>
                    </w:rPr>
                  </w:pPr>
                </w:p>
              </w:tc>
              <w:tc>
                <w:tcPr>
                  <w:tcW w:w="740" w:type="dxa"/>
                  <w:vMerge w:val="continue"/>
                  <w:tcBorders>
                    <w:tl2br w:val="nil"/>
                    <w:tr2bl w:val="nil"/>
                  </w:tcBorders>
                  <w:shd w:val="clear" w:color="auto" w:fill="auto"/>
                  <w:vAlign w:val="center"/>
                </w:tcPr>
                <w:p w14:paraId="0E34FBD3">
                  <w:pPr>
                    <w:jc w:val="center"/>
                    <w:rPr>
                      <w:rFonts w:hint="default" w:ascii="Times New Roman" w:hAnsi="Times New Roman" w:eastAsia="宋体" w:cs="Times New Roman"/>
                      <w:b/>
                      <w:bCs/>
                      <w:i w:val="0"/>
                      <w:iCs w:val="0"/>
                      <w:color w:val="000000"/>
                      <w:sz w:val="18"/>
                      <w:szCs w:val="18"/>
                      <w:u w:val="none"/>
                    </w:rPr>
                  </w:pPr>
                </w:p>
              </w:tc>
              <w:tc>
                <w:tcPr>
                  <w:tcW w:w="1216" w:type="dxa"/>
                  <w:tcBorders>
                    <w:tl2br w:val="nil"/>
                    <w:tr2bl w:val="nil"/>
                  </w:tcBorders>
                  <w:shd w:val="clear" w:color="auto" w:fill="auto"/>
                  <w:vAlign w:val="center"/>
                </w:tcPr>
                <w:p w14:paraId="70977F9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浓度</w:t>
                  </w:r>
                  <w:r>
                    <w:rPr>
                      <w:rFonts w:hint="default" w:ascii="Times New Roman" w:hAnsi="Times New Roman" w:eastAsia="宋体" w:cs="Times New Roman"/>
                      <w:b/>
                      <w:bCs/>
                      <w:i w:val="0"/>
                      <w:iCs w:val="0"/>
                      <w:color w:val="000000"/>
                      <w:kern w:val="0"/>
                      <w:sz w:val="18"/>
                      <w:szCs w:val="18"/>
                      <w:u w:val="none"/>
                      <w:lang w:val="en-US" w:eastAsia="zh-CN" w:bidi="ar"/>
                    </w:rPr>
                    <w:t>mg/m</w:t>
                  </w:r>
                  <w:r>
                    <w:rPr>
                      <w:rFonts w:hint="default" w:ascii="Times New Roman" w:hAnsi="Times New Roman" w:eastAsia="宋体" w:cs="Times New Roman"/>
                      <w:b/>
                      <w:bCs/>
                      <w:i w:val="0"/>
                      <w:iCs w:val="0"/>
                      <w:color w:val="000000"/>
                      <w:kern w:val="0"/>
                      <w:sz w:val="18"/>
                      <w:szCs w:val="18"/>
                      <w:u w:val="none"/>
                      <w:vertAlign w:val="superscript"/>
                      <w:lang w:val="en-US" w:eastAsia="zh-CN" w:bidi="ar"/>
                    </w:rPr>
                    <w:t>3</w:t>
                  </w:r>
                </w:p>
              </w:tc>
              <w:tc>
                <w:tcPr>
                  <w:tcW w:w="967" w:type="dxa"/>
                  <w:tcBorders>
                    <w:tl2br w:val="nil"/>
                    <w:tr2bl w:val="nil"/>
                  </w:tcBorders>
                  <w:shd w:val="clear" w:color="auto" w:fill="auto"/>
                  <w:vAlign w:val="center"/>
                </w:tcPr>
                <w:p w14:paraId="608F703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速率</w:t>
                  </w:r>
                  <w:r>
                    <w:rPr>
                      <w:rFonts w:hint="default" w:ascii="Times New Roman" w:hAnsi="Times New Roman" w:eastAsia="宋体" w:cs="Times New Roman"/>
                      <w:b/>
                      <w:bCs/>
                      <w:i w:val="0"/>
                      <w:iCs w:val="0"/>
                      <w:color w:val="000000"/>
                      <w:kern w:val="0"/>
                      <w:sz w:val="18"/>
                      <w:szCs w:val="18"/>
                      <w:u w:val="none"/>
                      <w:lang w:val="en-US" w:eastAsia="zh-CN" w:bidi="ar"/>
                    </w:rPr>
                    <w:t>kg/h</w:t>
                  </w:r>
                </w:p>
              </w:tc>
              <w:tc>
                <w:tcPr>
                  <w:tcW w:w="927" w:type="dxa"/>
                  <w:tcBorders>
                    <w:tl2br w:val="nil"/>
                    <w:tr2bl w:val="nil"/>
                  </w:tcBorders>
                  <w:shd w:val="clear" w:color="auto" w:fill="auto"/>
                  <w:vAlign w:val="center"/>
                </w:tcPr>
                <w:p w14:paraId="00AAD28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产生量</w:t>
                  </w:r>
                  <w:r>
                    <w:rPr>
                      <w:rFonts w:hint="default" w:ascii="Times New Roman" w:hAnsi="Times New Roman" w:eastAsia="宋体" w:cs="Times New Roman"/>
                      <w:b/>
                      <w:bCs/>
                      <w:i w:val="0"/>
                      <w:iCs w:val="0"/>
                      <w:color w:val="000000"/>
                      <w:kern w:val="0"/>
                      <w:sz w:val="18"/>
                      <w:szCs w:val="18"/>
                      <w:u w:val="none"/>
                      <w:lang w:val="en-US" w:eastAsia="zh-CN" w:bidi="ar"/>
                    </w:rPr>
                    <w:t>t/a</w:t>
                  </w:r>
                </w:p>
              </w:tc>
              <w:tc>
                <w:tcPr>
                  <w:tcW w:w="1100" w:type="dxa"/>
                  <w:vMerge w:val="continue"/>
                  <w:tcBorders>
                    <w:tl2br w:val="nil"/>
                    <w:tr2bl w:val="nil"/>
                  </w:tcBorders>
                  <w:shd w:val="clear" w:color="auto" w:fill="auto"/>
                  <w:vAlign w:val="center"/>
                </w:tcPr>
                <w:p w14:paraId="1DF764D4">
                  <w:pPr>
                    <w:jc w:val="center"/>
                    <w:rPr>
                      <w:rFonts w:hint="default" w:ascii="Times New Roman" w:hAnsi="Times New Roman" w:eastAsia="宋体" w:cs="Times New Roman"/>
                      <w:b/>
                      <w:bCs/>
                      <w:i w:val="0"/>
                      <w:iCs w:val="0"/>
                      <w:color w:val="000000"/>
                      <w:sz w:val="18"/>
                      <w:szCs w:val="18"/>
                      <w:u w:val="none"/>
                    </w:rPr>
                  </w:pPr>
                </w:p>
              </w:tc>
              <w:tc>
                <w:tcPr>
                  <w:tcW w:w="766" w:type="dxa"/>
                  <w:vMerge w:val="continue"/>
                  <w:tcBorders>
                    <w:tl2br w:val="nil"/>
                    <w:tr2bl w:val="nil"/>
                  </w:tcBorders>
                  <w:shd w:val="clear" w:color="auto" w:fill="auto"/>
                  <w:vAlign w:val="center"/>
                </w:tcPr>
                <w:p w14:paraId="45EB363E">
                  <w:pPr>
                    <w:jc w:val="center"/>
                    <w:rPr>
                      <w:rFonts w:hint="default" w:ascii="Times New Roman" w:hAnsi="Times New Roman" w:eastAsia="宋体" w:cs="Times New Roman"/>
                      <w:b/>
                      <w:bCs/>
                      <w:i w:val="0"/>
                      <w:iCs w:val="0"/>
                      <w:color w:val="000000"/>
                      <w:sz w:val="18"/>
                      <w:szCs w:val="18"/>
                      <w:u w:val="none"/>
                    </w:rPr>
                  </w:pPr>
                </w:p>
              </w:tc>
              <w:tc>
                <w:tcPr>
                  <w:tcW w:w="899" w:type="dxa"/>
                  <w:tcBorders>
                    <w:tl2br w:val="nil"/>
                    <w:tr2bl w:val="nil"/>
                  </w:tcBorders>
                  <w:shd w:val="clear" w:color="auto" w:fill="auto"/>
                  <w:vAlign w:val="center"/>
                </w:tcPr>
                <w:p w14:paraId="790A152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浓度</w:t>
                  </w:r>
                  <w:r>
                    <w:rPr>
                      <w:rFonts w:hint="default" w:ascii="Times New Roman" w:hAnsi="Times New Roman" w:eastAsia="宋体" w:cs="Times New Roman"/>
                      <w:b/>
                      <w:bCs/>
                      <w:i w:val="0"/>
                      <w:iCs w:val="0"/>
                      <w:color w:val="000000"/>
                      <w:kern w:val="0"/>
                      <w:sz w:val="18"/>
                      <w:szCs w:val="18"/>
                      <w:u w:val="none"/>
                      <w:lang w:val="en-US" w:eastAsia="zh-CN" w:bidi="ar"/>
                    </w:rPr>
                    <w:t>mg/m</w:t>
                  </w:r>
                  <w:r>
                    <w:rPr>
                      <w:rFonts w:hint="default" w:ascii="Times New Roman" w:hAnsi="Times New Roman" w:eastAsia="宋体" w:cs="Times New Roman"/>
                      <w:b/>
                      <w:bCs/>
                      <w:i w:val="0"/>
                      <w:iCs w:val="0"/>
                      <w:color w:val="000000"/>
                      <w:kern w:val="0"/>
                      <w:sz w:val="18"/>
                      <w:szCs w:val="18"/>
                      <w:u w:val="none"/>
                      <w:vertAlign w:val="superscript"/>
                      <w:lang w:val="en-US" w:eastAsia="zh-CN" w:bidi="ar"/>
                    </w:rPr>
                    <w:t>3</w:t>
                  </w:r>
                </w:p>
              </w:tc>
              <w:tc>
                <w:tcPr>
                  <w:tcW w:w="912" w:type="dxa"/>
                  <w:tcBorders>
                    <w:tl2br w:val="nil"/>
                    <w:tr2bl w:val="nil"/>
                  </w:tcBorders>
                  <w:shd w:val="clear" w:color="auto" w:fill="auto"/>
                  <w:vAlign w:val="center"/>
                </w:tcPr>
                <w:p w14:paraId="7994BF8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速率</w:t>
                  </w:r>
                  <w:r>
                    <w:rPr>
                      <w:rFonts w:hint="default" w:ascii="Times New Roman" w:hAnsi="Times New Roman" w:eastAsia="宋体" w:cs="Times New Roman"/>
                      <w:b/>
                      <w:bCs/>
                      <w:i w:val="0"/>
                      <w:iCs w:val="0"/>
                      <w:color w:val="000000"/>
                      <w:kern w:val="0"/>
                      <w:sz w:val="18"/>
                      <w:szCs w:val="18"/>
                      <w:u w:val="none"/>
                      <w:lang w:val="en-US" w:eastAsia="zh-CN" w:bidi="ar"/>
                    </w:rPr>
                    <w:t>kg/h</w:t>
                  </w:r>
                </w:p>
              </w:tc>
              <w:tc>
                <w:tcPr>
                  <w:tcW w:w="955" w:type="dxa"/>
                  <w:tcBorders>
                    <w:tl2br w:val="nil"/>
                    <w:tr2bl w:val="nil"/>
                  </w:tcBorders>
                  <w:shd w:val="clear" w:color="auto" w:fill="auto"/>
                  <w:vAlign w:val="center"/>
                </w:tcPr>
                <w:p w14:paraId="6AC4651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排放量</w:t>
                  </w:r>
                  <w:r>
                    <w:rPr>
                      <w:rFonts w:hint="default" w:ascii="Times New Roman" w:hAnsi="Times New Roman" w:eastAsia="宋体" w:cs="Times New Roman"/>
                      <w:b/>
                      <w:bCs/>
                      <w:i w:val="0"/>
                      <w:iCs w:val="0"/>
                      <w:color w:val="000000"/>
                      <w:kern w:val="0"/>
                      <w:sz w:val="18"/>
                      <w:szCs w:val="18"/>
                      <w:u w:val="none"/>
                      <w:lang w:val="en-US" w:eastAsia="zh-CN" w:bidi="ar"/>
                    </w:rPr>
                    <w:t>t/a</w:t>
                  </w:r>
                </w:p>
              </w:tc>
              <w:tc>
                <w:tcPr>
                  <w:tcW w:w="672" w:type="dxa"/>
                  <w:vMerge w:val="continue"/>
                  <w:tcBorders>
                    <w:tl2br w:val="nil"/>
                    <w:tr2bl w:val="nil"/>
                  </w:tcBorders>
                  <w:shd w:val="clear" w:color="auto" w:fill="auto"/>
                  <w:vAlign w:val="center"/>
                </w:tcPr>
                <w:p w14:paraId="4705FFAE">
                  <w:pPr>
                    <w:jc w:val="center"/>
                    <w:rPr>
                      <w:rFonts w:hint="default" w:ascii="Times New Roman" w:hAnsi="Times New Roman" w:eastAsia="宋体" w:cs="Times New Roman"/>
                      <w:b/>
                      <w:bCs/>
                      <w:i w:val="0"/>
                      <w:iCs w:val="0"/>
                      <w:color w:val="000000"/>
                      <w:sz w:val="18"/>
                      <w:szCs w:val="18"/>
                      <w:u w:val="none"/>
                    </w:rPr>
                  </w:pPr>
                </w:p>
              </w:tc>
            </w:tr>
            <w:tr w14:paraId="606FD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29" w:type="dxa"/>
                  <w:vMerge w:val="restart"/>
                  <w:tcBorders>
                    <w:tl2br w:val="nil"/>
                    <w:tr2bl w:val="nil"/>
                  </w:tcBorders>
                  <w:shd w:val="clear" w:color="auto" w:fill="auto"/>
                  <w:vAlign w:val="center"/>
                </w:tcPr>
                <w:p w14:paraId="796984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58" w:type="dxa"/>
                  <w:vMerge w:val="restart"/>
                  <w:tcBorders>
                    <w:tl2br w:val="nil"/>
                    <w:tr2bl w:val="nil"/>
                  </w:tcBorders>
                  <w:shd w:val="clear" w:color="auto" w:fill="auto"/>
                  <w:vAlign w:val="center"/>
                </w:tcPr>
                <w:p w14:paraId="621F4E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eastAsia" w:ascii="宋体" w:hAnsi="宋体" w:eastAsia="宋体" w:cs="宋体"/>
                      <w:i w:val="0"/>
                      <w:iCs w:val="0"/>
                      <w:color w:val="000000"/>
                      <w:kern w:val="0"/>
                      <w:sz w:val="18"/>
                      <w:szCs w:val="18"/>
                      <w:u w:val="none"/>
                      <w:lang w:val="en-US" w:eastAsia="zh-CN" w:bidi="ar"/>
                    </w:rPr>
                    <w:t>热解分选生产区</w:t>
                  </w:r>
                </w:p>
              </w:tc>
              <w:tc>
                <w:tcPr>
                  <w:tcW w:w="1533" w:type="dxa"/>
                  <w:vMerge w:val="restart"/>
                  <w:tcBorders>
                    <w:tl2br w:val="nil"/>
                    <w:tr2bl w:val="nil"/>
                  </w:tcBorders>
                  <w:shd w:val="clear" w:color="auto" w:fill="auto"/>
                  <w:vAlign w:val="center"/>
                </w:tcPr>
                <w:p w14:paraId="0B7D21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热解炉尾气、燃烧室不凝气燃烧废气、清洗炉燃烧烟气、烘干炉燃烧烟气、油罐呼吸气</w:t>
                  </w:r>
                </w:p>
              </w:tc>
              <w:tc>
                <w:tcPr>
                  <w:tcW w:w="1333" w:type="dxa"/>
                  <w:tcBorders>
                    <w:tl2br w:val="nil"/>
                    <w:tr2bl w:val="nil"/>
                  </w:tcBorders>
                  <w:shd w:val="clear" w:color="auto" w:fill="auto"/>
                  <w:vAlign w:val="center"/>
                </w:tcPr>
                <w:p w14:paraId="243AEA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二氧化硫</w:t>
                  </w:r>
                </w:p>
              </w:tc>
              <w:tc>
                <w:tcPr>
                  <w:tcW w:w="748" w:type="dxa"/>
                  <w:vMerge w:val="restart"/>
                  <w:tcBorders>
                    <w:tl2br w:val="nil"/>
                    <w:tr2bl w:val="nil"/>
                  </w:tcBorders>
                  <w:shd w:val="clear" w:color="auto" w:fill="auto"/>
                  <w:vAlign w:val="center"/>
                </w:tcPr>
                <w:p w14:paraId="2E61EE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7200h</w:t>
                  </w:r>
                </w:p>
              </w:tc>
              <w:tc>
                <w:tcPr>
                  <w:tcW w:w="740" w:type="dxa"/>
                  <w:vMerge w:val="restart"/>
                  <w:tcBorders>
                    <w:tl2br w:val="nil"/>
                    <w:tr2bl w:val="nil"/>
                  </w:tcBorders>
                  <w:shd w:val="clear" w:color="auto" w:fill="auto"/>
                  <w:vAlign w:val="center"/>
                </w:tcPr>
                <w:p w14:paraId="1B03F0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1216" w:type="dxa"/>
                  <w:tcBorders>
                    <w:tl2br w:val="nil"/>
                    <w:tr2bl w:val="nil"/>
                  </w:tcBorders>
                  <w:shd w:val="clear" w:color="auto" w:fill="auto"/>
                  <w:vAlign w:val="center"/>
                </w:tcPr>
                <w:p w14:paraId="122AB9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4.18E-05</w:t>
                  </w:r>
                </w:p>
              </w:tc>
              <w:tc>
                <w:tcPr>
                  <w:tcW w:w="967" w:type="dxa"/>
                  <w:tcBorders>
                    <w:tl2br w:val="nil"/>
                    <w:tr2bl w:val="nil"/>
                  </w:tcBorders>
                  <w:shd w:val="clear" w:color="auto" w:fill="auto"/>
                  <w:vAlign w:val="center"/>
                </w:tcPr>
                <w:p w14:paraId="4564EE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4.18E-07</w:t>
                  </w:r>
                </w:p>
              </w:tc>
              <w:tc>
                <w:tcPr>
                  <w:tcW w:w="927" w:type="dxa"/>
                  <w:tcBorders>
                    <w:tl2br w:val="nil"/>
                    <w:tr2bl w:val="nil"/>
                  </w:tcBorders>
                  <w:shd w:val="clear" w:color="auto" w:fill="auto"/>
                  <w:vAlign w:val="center"/>
                </w:tcPr>
                <w:p w14:paraId="0AB26D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3.01E-06</w:t>
                  </w:r>
                </w:p>
              </w:tc>
              <w:tc>
                <w:tcPr>
                  <w:tcW w:w="1100" w:type="dxa"/>
                  <w:vMerge w:val="restart"/>
                  <w:tcBorders>
                    <w:tl2br w:val="nil"/>
                    <w:tr2bl w:val="nil"/>
                  </w:tcBorders>
                  <w:shd w:val="clear" w:color="auto" w:fill="auto"/>
                  <w:vAlign w:val="center"/>
                </w:tcPr>
                <w:p w14:paraId="54EA4A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cs="宋体"/>
                      <w:i w:val="0"/>
                      <w:iCs w:val="0"/>
                      <w:color w:val="000000"/>
                      <w:kern w:val="0"/>
                      <w:sz w:val="18"/>
                      <w:szCs w:val="18"/>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18"/>
                      <w:szCs w:val="18"/>
                      <w:u w:val="none"/>
                      <w:lang w:val="en-US" w:eastAsia="zh-CN" w:bidi="ar"/>
                    </w:rPr>
                    <w:t>”</w:t>
                  </w:r>
                </w:p>
              </w:tc>
              <w:tc>
                <w:tcPr>
                  <w:tcW w:w="766" w:type="dxa"/>
                  <w:tcBorders>
                    <w:tl2br w:val="nil"/>
                    <w:tr2bl w:val="nil"/>
                  </w:tcBorders>
                  <w:shd w:val="clear" w:color="auto" w:fill="auto"/>
                  <w:vAlign w:val="center"/>
                </w:tcPr>
                <w:p w14:paraId="4B85EA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p>
              </w:tc>
              <w:tc>
                <w:tcPr>
                  <w:tcW w:w="899" w:type="dxa"/>
                  <w:tcBorders>
                    <w:tl2br w:val="nil"/>
                    <w:tr2bl w:val="nil"/>
                  </w:tcBorders>
                  <w:shd w:val="clear" w:color="auto" w:fill="auto"/>
                  <w:vAlign w:val="center"/>
                </w:tcPr>
                <w:p w14:paraId="009B573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4.18E-05</w:t>
                  </w:r>
                </w:p>
              </w:tc>
              <w:tc>
                <w:tcPr>
                  <w:tcW w:w="912" w:type="dxa"/>
                  <w:tcBorders>
                    <w:tl2br w:val="nil"/>
                    <w:tr2bl w:val="nil"/>
                  </w:tcBorders>
                  <w:shd w:val="clear" w:color="auto" w:fill="auto"/>
                  <w:vAlign w:val="center"/>
                </w:tcPr>
                <w:p w14:paraId="22A39C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4.18E-07</w:t>
                  </w:r>
                </w:p>
              </w:tc>
              <w:tc>
                <w:tcPr>
                  <w:tcW w:w="955" w:type="dxa"/>
                  <w:tcBorders>
                    <w:tl2br w:val="nil"/>
                    <w:tr2bl w:val="nil"/>
                  </w:tcBorders>
                  <w:shd w:val="clear" w:color="auto" w:fill="auto"/>
                  <w:vAlign w:val="center"/>
                </w:tcPr>
                <w:p w14:paraId="43D706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3.01E-06</w:t>
                  </w:r>
                </w:p>
              </w:tc>
              <w:tc>
                <w:tcPr>
                  <w:tcW w:w="672" w:type="dxa"/>
                  <w:vMerge w:val="restart"/>
                  <w:tcBorders>
                    <w:tl2br w:val="nil"/>
                    <w:tr2bl w:val="nil"/>
                  </w:tcBorders>
                  <w:shd w:val="clear" w:color="auto" w:fill="auto"/>
                  <w:vAlign w:val="center"/>
                </w:tcPr>
                <w:p w14:paraId="4DFEC6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DA001</w:t>
                  </w:r>
                </w:p>
              </w:tc>
            </w:tr>
            <w:tr w14:paraId="15C1F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3AFBE3F9">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15D75526">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7070295F">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5788C9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氮氧化物</w:t>
                  </w:r>
                </w:p>
              </w:tc>
              <w:tc>
                <w:tcPr>
                  <w:tcW w:w="748" w:type="dxa"/>
                  <w:vMerge w:val="continue"/>
                  <w:tcBorders>
                    <w:tl2br w:val="nil"/>
                    <w:tr2bl w:val="nil"/>
                  </w:tcBorders>
                  <w:shd w:val="clear" w:color="auto" w:fill="auto"/>
                  <w:vAlign w:val="center"/>
                </w:tcPr>
                <w:p w14:paraId="517DD053">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46E7A322">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7850B2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25.586 </w:t>
                  </w:r>
                </w:p>
              </w:tc>
              <w:tc>
                <w:tcPr>
                  <w:tcW w:w="967" w:type="dxa"/>
                  <w:tcBorders>
                    <w:tl2br w:val="nil"/>
                    <w:tr2bl w:val="nil"/>
                  </w:tcBorders>
                  <w:shd w:val="clear" w:color="auto" w:fill="auto"/>
                  <w:vAlign w:val="center"/>
                </w:tcPr>
                <w:p w14:paraId="703281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0.256 </w:t>
                  </w:r>
                </w:p>
              </w:tc>
              <w:tc>
                <w:tcPr>
                  <w:tcW w:w="927" w:type="dxa"/>
                  <w:tcBorders>
                    <w:tl2br w:val="nil"/>
                    <w:tr2bl w:val="nil"/>
                  </w:tcBorders>
                  <w:shd w:val="clear" w:color="auto" w:fill="auto"/>
                  <w:vAlign w:val="center"/>
                </w:tcPr>
                <w:p w14:paraId="7E739C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1.842 </w:t>
                  </w:r>
                </w:p>
              </w:tc>
              <w:tc>
                <w:tcPr>
                  <w:tcW w:w="1100" w:type="dxa"/>
                  <w:vMerge w:val="continue"/>
                  <w:tcBorders>
                    <w:tl2br w:val="nil"/>
                    <w:tr2bl w:val="nil"/>
                  </w:tcBorders>
                  <w:shd w:val="clear" w:color="auto" w:fill="auto"/>
                  <w:vAlign w:val="center"/>
                </w:tcPr>
                <w:p w14:paraId="6A1C2375">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1FC2B9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p>
              </w:tc>
              <w:tc>
                <w:tcPr>
                  <w:tcW w:w="899" w:type="dxa"/>
                  <w:tcBorders>
                    <w:tl2br w:val="nil"/>
                    <w:tr2bl w:val="nil"/>
                  </w:tcBorders>
                  <w:shd w:val="clear" w:color="auto" w:fill="auto"/>
                  <w:vAlign w:val="center"/>
                </w:tcPr>
                <w:p w14:paraId="652106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25.586 </w:t>
                  </w:r>
                </w:p>
              </w:tc>
              <w:tc>
                <w:tcPr>
                  <w:tcW w:w="912" w:type="dxa"/>
                  <w:tcBorders>
                    <w:tl2br w:val="nil"/>
                    <w:tr2bl w:val="nil"/>
                  </w:tcBorders>
                  <w:shd w:val="clear" w:color="auto" w:fill="auto"/>
                  <w:vAlign w:val="center"/>
                </w:tcPr>
                <w:p w14:paraId="499A33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0.256 </w:t>
                  </w:r>
                </w:p>
              </w:tc>
              <w:tc>
                <w:tcPr>
                  <w:tcW w:w="955" w:type="dxa"/>
                  <w:tcBorders>
                    <w:tl2br w:val="nil"/>
                    <w:tr2bl w:val="nil"/>
                  </w:tcBorders>
                  <w:shd w:val="clear" w:color="auto" w:fill="auto"/>
                  <w:vAlign w:val="center"/>
                </w:tcPr>
                <w:p w14:paraId="62238B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1.842 </w:t>
                  </w:r>
                </w:p>
              </w:tc>
              <w:tc>
                <w:tcPr>
                  <w:tcW w:w="672" w:type="dxa"/>
                  <w:vMerge w:val="continue"/>
                  <w:tcBorders>
                    <w:tl2br w:val="nil"/>
                    <w:tr2bl w:val="nil"/>
                  </w:tcBorders>
                  <w:shd w:val="clear" w:color="auto" w:fill="auto"/>
                  <w:vAlign w:val="center"/>
                </w:tcPr>
                <w:p w14:paraId="6062BCCD">
                  <w:pPr>
                    <w:jc w:val="center"/>
                    <w:rPr>
                      <w:rFonts w:hint="default" w:ascii="Times New Roman" w:hAnsi="Times New Roman" w:eastAsia="宋体" w:cs="Times New Roman"/>
                      <w:i w:val="0"/>
                      <w:iCs w:val="0"/>
                      <w:color w:val="000000"/>
                      <w:sz w:val="18"/>
                      <w:szCs w:val="18"/>
                      <w:u w:val="none"/>
                    </w:rPr>
                  </w:pPr>
                </w:p>
              </w:tc>
            </w:tr>
            <w:tr w14:paraId="6E019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29AE6D1B">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323F16A6">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3006F47F">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19EAD6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w:t>
                  </w:r>
                  <w:r>
                    <w:rPr>
                      <w:rFonts w:hint="eastAsia" w:cs="Times New Roman"/>
                      <w:i w:val="0"/>
                      <w:iCs w:val="0"/>
                      <w:color w:val="000000"/>
                      <w:kern w:val="0"/>
                      <w:sz w:val="18"/>
                      <w:szCs w:val="18"/>
                      <w:u w:val="none"/>
                      <w:lang w:val="en-US" w:eastAsia="zh-CN" w:bidi="ar"/>
                    </w:rPr>
                    <w:t>含炭黑尘、铜、锡等</w:t>
                  </w:r>
                  <w:r>
                    <w:rPr>
                      <w:rFonts w:hint="default" w:ascii="Times New Roman" w:hAnsi="Times New Roman" w:eastAsia="宋体" w:cs="Times New Roman"/>
                      <w:i w:val="0"/>
                      <w:iCs w:val="0"/>
                      <w:color w:val="000000"/>
                      <w:kern w:val="0"/>
                      <w:sz w:val="18"/>
                      <w:szCs w:val="18"/>
                      <w:u w:val="none"/>
                      <w:lang w:val="en-US" w:eastAsia="zh-CN" w:bidi="ar"/>
                    </w:rPr>
                    <w:t>）</w:t>
                  </w:r>
                </w:p>
              </w:tc>
              <w:tc>
                <w:tcPr>
                  <w:tcW w:w="748" w:type="dxa"/>
                  <w:vMerge w:val="continue"/>
                  <w:tcBorders>
                    <w:tl2br w:val="nil"/>
                    <w:tr2bl w:val="nil"/>
                  </w:tcBorders>
                  <w:shd w:val="clear" w:color="auto" w:fill="auto"/>
                  <w:vAlign w:val="center"/>
                </w:tcPr>
                <w:p w14:paraId="53A93CF8">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3E5CA021">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695807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6.344 </w:t>
                  </w:r>
                </w:p>
              </w:tc>
              <w:tc>
                <w:tcPr>
                  <w:tcW w:w="967" w:type="dxa"/>
                  <w:tcBorders>
                    <w:tl2br w:val="nil"/>
                    <w:tr2bl w:val="nil"/>
                  </w:tcBorders>
                  <w:shd w:val="clear" w:color="auto" w:fill="auto"/>
                  <w:vAlign w:val="center"/>
                </w:tcPr>
                <w:p w14:paraId="65034F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0.063 </w:t>
                  </w:r>
                </w:p>
              </w:tc>
              <w:tc>
                <w:tcPr>
                  <w:tcW w:w="927" w:type="dxa"/>
                  <w:tcBorders>
                    <w:tl2br w:val="nil"/>
                    <w:tr2bl w:val="nil"/>
                  </w:tcBorders>
                  <w:shd w:val="clear" w:color="auto" w:fill="auto"/>
                  <w:vAlign w:val="center"/>
                </w:tcPr>
                <w:p w14:paraId="3DFE95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0.457 </w:t>
                  </w:r>
                </w:p>
              </w:tc>
              <w:tc>
                <w:tcPr>
                  <w:tcW w:w="1100" w:type="dxa"/>
                  <w:vMerge w:val="continue"/>
                  <w:tcBorders>
                    <w:tl2br w:val="nil"/>
                    <w:tr2bl w:val="nil"/>
                  </w:tcBorders>
                  <w:shd w:val="clear" w:color="auto" w:fill="auto"/>
                  <w:vAlign w:val="center"/>
                </w:tcPr>
                <w:p w14:paraId="21573834">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70F4B7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899" w:type="dxa"/>
                  <w:tcBorders>
                    <w:tl2br w:val="nil"/>
                    <w:tr2bl w:val="nil"/>
                  </w:tcBorders>
                  <w:shd w:val="clear" w:color="auto" w:fill="auto"/>
                  <w:vAlign w:val="center"/>
                </w:tcPr>
                <w:p w14:paraId="3A78AC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0.063 </w:t>
                  </w:r>
                </w:p>
              </w:tc>
              <w:tc>
                <w:tcPr>
                  <w:tcW w:w="912" w:type="dxa"/>
                  <w:tcBorders>
                    <w:tl2br w:val="nil"/>
                    <w:tr2bl w:val="nil"/>
                  </w:tcBorders>
                  <w:shd w:val="clear" w:color="auto" w:fill="auto"/>
                  <w:vAlign w:val="center"/>
                </w:tcPr>
                <w:p w14:paraId="5DE50A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955" w:type="dxa"/>
                  <w:tcBorders>
                    <w:tl2br w:val="nil"/>
                    <w:tr2bl w:val="nil"/>
                  </w:tcBorders>
                  <w:shd w:val="clear" w:color="auto" w:fill="auto"/>
                  <w:vAlign w:val="center"/>
                </w:tcPr>
                <w:p w14:paraId="1D777F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0.005 </w:t>
                  </w:r>
                </w:p>
              </w:tc>
              <w:tc>
                <w:tcPr>
                  <w:tcW w:w="672" w:type="dxa"/>
                  <w:vMerge w:val="continue"/>
                  <w:tcBorders>
                    <w:tl2br w:val="nil"/>
                    <w:tr2bl w:val="nil"/>
                  </w:tcBorders>
                  <w:shd w:val="clear" w:color="auto" w:fill="auto"/>
                  <w:vAlign w:val="center"/>
                </w:tcPr>
                <w:p w14:paraId="2A2FA7D2">
                  <w:pPr>
                    <w:jc w:val="center"/>
                    <w:rPr>
                      <w:rFonts w:hint="default" w:ascii="Times New Roman" w:hAnsi="Times New Roman" w:eastAsia="宋体" w:cs="Times New Roman"/>
                      <w:i w:val="0"/>
                      <w:iCs w:val="0"/>
                      <w:color w:val="000000"/>
                      <w:sz w:val="18"/>
                      <w:szCs w:val="18"/>
                      <w:u w:val="none"/>
                    </w:rPr>
                  </w:pPr>
                </w:p>
              </w:tc>
            </w:tr>
            <w:tr w14:paraId="3B7F2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44C582E0">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1FFF87FC">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4BB79348">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030BA6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锡及其化合物</w:t>
                  </w:r>
                </w:p>
              </w:tc>
              <w:tc>
                <w:tcPr>
                  <w:tcW w:w="748" w:type="dxa"/>
                  <w:vMerge w:val="continue"/>
                  <w:tcBorders>
                    <w:tl2br w:val="nil"/>
                    <w:tr2bl w:val="nil"/>
                  </w:tcBorders>
                  <w:shd w:val="clear" w:color="auto" w:fill="auto"/>
                  <w:vAlign w:val="center"/>
                </w:tcPr>
                <w:p w14:paraId="49BB3970">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515B780B">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3324C6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0.055 </w:t>
                  </w:r>
                </w:p>
              </w:tc>
              <w:tc>
                <w:tcPr>
                  <w:tcW w:w="967" w:type="dxa"/>
                  <w:tcBorders>
                    <w:tl2br w:val="nil"/>
                    <w:tr2bl w:val="nil"/>
                  </w:tcBorders>
                  <w:shd w:val="clear" w:color="auto" w:fill="auto"/>
                  <w:vAlign w:val="center"/>
                </w:tcPr>
                <w:p w14:paraId="3F3C86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927" w:type="dxa"/>
                  <w:tcBorders>
                    <w:tl2br w:val="nil"/>
                    <w:tr2bl w:val="nil"/>
                  </w:tcBorders>
                  <w:shd w:val="clear" w:color="auto" w:fill="auto"/>
                  <w:vAlign w:val="center"/>
                </w:tcPr>
                <w:p w14:paraId="17754D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1100" w:type="dxa"/>
                  <w:vMerge w:val="continue"/>
                  <w:tcBorders>
                    <w:tl2br w:val="nil"/>
                    <w:tr2bl w:val="nil"/>
                  </w:tcBorders>
                  <w:shd w:val="clear" w:color="auto" w:fill="auto"/>
                  <w:vAlign w:val="center"/>
                </w:tcPr>
                <w:p w14:paraId="5E6056D1">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48685E8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899" w:type="dxa"/>
                  <w:tcBorders>
                    <w:tl2br w:val="nil"/>
                    <w:tr2bl w:val="nil"/>
                  </w:tcBorders>
                  <w:shd w:val="clear" w:color="auto" w:fill="auto"/>
                  <w:vAlign w:val="center"/>
                </w:tcPr>
                <w:p w14:paraId="173DF2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5.50E-04</w:t>
                  </w:r>
                </w:p>
              </w:tc>
              <w:tc>
                <w:tcPr>
                  <w:tcW w:w="912" w:type="dxa"/>
                  <w:tcBorders>
                    <w:tl2br w:val="nil"/>
                    <w:tr2bl w:val="nil"/>
                  </w:tcBorders>
                  <w:shd w:val="clear" w:color="auto" w:fill="auto"/>
                  <w:vAlign w:val="center"/>
                </w:tcPr>
                <w:p w14:paraId="706E69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5.50E-06</w:t>
                  </w:r>
                </w:p>
              </w:tc>
              <w:tc>
                <w:tcPr>
                  <w:tcW w:w="955" w:type="dxa"/>
                  <w:tcBorders>
                    <w:tl2br w:val="nil"/>
                    <w:tr2bl w:val="nil"/>
                  </w:tcBorders>
                  <w:shd w:val="clear" w:color="auto" w:fill="auto"/>
                  <w:vAlign w:val="center"/>
                </w:tcPr>
                <w:p w14:paraId="31EA37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3.96E-05</w:t>
                  </w:r>
                </w:p>
              </w:tc>
              <w:tc>
                <w:tcPr>
                  <w:tcW w:w="672" w:type="dxa"/>
                  <w:vMerge w:val="continue"/>
                  <w:tcBorders>
                    <w:tl2br w:val="nil"/>
                    <w:tr2bl w:val="nil"/>
                  </w:tcBorders>
                  <w:shd w:val="clear" w:color="auto" w:fill="auto"/>
                  <w:vAlign w:val="center"/>
                </w:tcPr>
                <w:p w14:paraId="2D7F603D">
                  <w:pPr>
                    <w:jc w:val="center"/>
                    <w:rPr>
                      <w:rFonts w:hint="default" w:ascii="Times New Roman" w:hAnsi="Times New Roman" w:eastAsia="宋体" w:cs="Times New Roman"/>
                      <w:i w:val="0"/>
                      <w:iCs w:val="0"/>
                      <w:color w:val="000000"/>
                      <w:sz w:val="18"/>
                      <w:szCs w:val="18"/>
                      <w:u w:val="none"/>
                    </w:rPr>
                  </w:pPr>
                </w:p>
              </w:tc>
            </w:tr>
            <w:tr w14:paraId="172F5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55C1059C">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5AEFC75A">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5ADD6932">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7C78D81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铜及其化合物</w:t>
                  </w:r>
                </w:p>
              </w:tc>
              <w:tc>
                <w:tcPr>
                  <w:tcW w:w="748" w:type="dxa"/>
                  <w:vMerge w:val="continue"/>
                  <w:tcBorders>
                    <w:tl2br w:val="nil"/>
                    <w:tr2bl w:val="nil"/>
                  </w:tcBorders>
                  <w:shd w:val="clear" w:color="auto" w:fill="auto"/>
                  <w:vAlign w:val="center"/>
                </w:tcPr>
                <w:p w14:paraId="6BD1A570">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61F8D235">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6D0B3C7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1.031 </w:t>
                  </w:r>
                </w:p>
              </w:tc>
              <w:tc>
                <w:tcPr>
                  <w:tcW w:w="967" w:type="dxa"/>
                  <w:tcBorders>
                    <w:tl2br w:val="nil"/>
                    <w:tr2bl w:val="nil"/>
                  </w:tcBorders>
                  <w:shd w:val="clear" w:color="auto" w:fill="auto"/>
                  <w:vAlign w:val="center"/>
                </w:tcPr>
                <w:p w14:paraId="7B8A2C2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927" w:type="dxa"/>
                  <w:tcBorders>
                    <w:tl2br w:val="nil"/>
                    <w:tr2bl w:val="nil"/>
                  </w:tcBorders>
                  <w:shd w:val="clear" w:color="auto" w:fill="auto"/>
                  <w:vAlign w:val="center"/>
                </w:tcPr>
                <w:p w14:paraId="1846336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0.074 </w:t>
                  </w:r>
                </w:p>
              </w:tc>
              <w:tc>
                <w:tcPr>
                  <w:tcW w:w="1100" w:type="dxa"/>
                  <w:vMerge w:val="continue"/>
                  <w:tcBorders>
                    <w:tl2br w:val="nil"/>
                    <w:tr2bl w:val="nil"/>
                  </w:tcBorders>
                  <w:shd w:val="clear" w:color="auto" w:fill="auto"/>
                  <w:vAlign w:val="center"/>
                </w:tcPr>
                <w:p w14:paraId="288E111D">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54FDBB0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899" w:type="dxa"/>
                  <w:tcBorders>
                    <w:tl2br w:val="nil"/>
                    <w:tr2bl w:val="nil"/>
                  </w:tcBorders>
                  <w:shd w:val="clear" w:color="auto" w:fill="auto"/>
                  <w:vAlign w:val="center"/>
                </w:tcPr>
                <w:p w14:paraId="2D03F62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1.03E-02</w:t>
                  </w:r>
                </w:p>
              </w:tc>
              <w:tc>
                <w:tcPr>
                  <w:tcW w:w="912" w:type="dxa"/>
                  <w:tcBorders>
                    <w:tl2br w:val="nil"/>
                    <w:tr2bl w:val="nil"/>
                  </w:tcBorders>
                  <w:shd w:val="clear" w:color="auto" w:fill="auto"/>
                  <w:vAlign w:val="center"/>
                </w:tcPr>
                <w:p w14:paraId="2F5A384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1.03E-04</w:t>
                  </w:r>
                </w:p>
              </w:tc>
              <w:tc>
                <w:tcPr>
                  <w:tcW w:w="955" w:type="dxa"/>
                  <w:tcBorders>
                    <w:tl2br w:val="nil"/>
                    <w:tr2bl w:val="nil"/>
                  </w:tcBorders>
                  <w:shd w:val="clear" w:color="auto" w:fill="auto"/>
                  <w:vAlign w:val="center"/>
                </w:tcPr>
                <w:p w14:paraId="0016570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7.43E-04</w:t>
                  </w:r>
                </w:p>
              </w:tc>
              <w:tc>
                <w:tcPr>
                  <w:tcW w:w="672" w:type="dxa"/>
                  <w:vMerge w:val="continue"/>
                  <w:tcBorders>
                    <w:tl2br w:val="nil"/>
                    <w:tr2bl w:val="nil"/>
                  </w:tcBorders>
                  <w:shd w:val="clear" w:color="auto" w:fill="auto"/>
                  <w:vAlign w:val="center"/>
                </w:tcPr>
                <w:p w14:paraId="6DBA2579">
                  <w:pPr>
                    <w:jc w:val="center"/>
                    <w:rPr>
                      <w:rFonts w:hint="default" w:ascii="Times New Roman" w:hAnsi="Times New Roman" w:eastAsia="宋体" w:cs="Times New Roman"/>
                      <w:i w:val="0"/>
                      <w:iCs w:val="0"/>
                      <w:color w:val="000000"/>
                      <w:sz w:val="18"/>
                      <w:szCs w:val="18"/>
                      <w:u w:val="none"/>
                    </w:rPr>
                  </w:pPr>
                </w:p>
              </w:tc>
            </w:tr>
            <w:tr w14:paraId="25261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05A06BA0">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55A6B36A">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5397C285">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7F9DDA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氟化物</w:t>
                  </w:r>
                </w:p>
              </w:tc>
              <w:tc>
                <w:tcPr>
                  <w:tcW w:w="748" w:type="dxa"/>
                  <w:vMerge w:val="continue"/>
                  <w:tcBorders>
                    <w:tl2br w:val="nil"/>
                    <w:tr2bl w:val="nil"/>
                  </w:tcBorders>
                  <w:shd w:val="clear" w:color="auto" w:fill="auto"/>
                  <w:vAlign w:val="center"/>
                </w:tcPr>
                <w:p w14:paraId="5F9F7723">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374B1820">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7799BF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19.250 </w:t>
                  </w:r>
                </w:p>
              </w:tc>
              <w:tc>
                <w:tcPr>
                  <w:tcW w:w="967" w:type="dxa"/>
                  <w:tcBorders>
                    <w:tl2br w:val="nil"/>
                    <w:tr2bl w:val="nil"/>
                  </w:tcBorders>
                  <w:shd w:val="clear" w:color="auto" w:fill="auto"/>
                  <w:vAlign w:val="center"/>
                </w:tcPr>
                <w:p w14:paraId="1CBAB5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0.193 </w:t>
                  </w:r>
                </w:p>
              </w:tc>
              <w:tc>
                <w:tcPr>
                  <w:tcW w:w="927" w:type="dxa"/>
                  <w:tcBorders>
                    <w:tl2br w:val="nil"/>
                    <w:tr2bl w:val="nil"/>
                  </w:tcBorders>
                  <w:shd w:val="clear" w:color="auto" w:fill="auto"/>
                  <w:vAlign w:val="center"/>
                </w:tcPr>
                <w:p w14:paraId="3D6F35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1.386 </w:t>
                  </w:r>
                </w:p>
              </w:tc>
              <w:tc>
                <w:tcPr>
                  <w:tcW w:w="1100" w:type="dxa"/>
                  <w:vMerge w:val="continue"/>
                  <w:tcBorders>
                    <w:tl2br w:val="nil"/>
                    <w:tr2bl w:val="nil"/>
                  </w:tcBorders>
                  <w:shd w:val="clear" w:color="auto" w:fill="auto"/>
                  <w:vAlign w:val="center"/>
                </w:tcPr>
                <w:p w14:paraId="31461F43">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0FDDFA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w:t>
                  </w:r>
                </w:p>
              </w:tc>
              <w:tc>
                <w:tcPr>
                  <w:tcW w:w="899" w:type="dxa"/>
                  <w:tcBorders>
                    <w:tl2br w:val="nil"/>
                    <w:tr2bl w:val="nil"/>
                  </w:tcBorders>
                  <w:shd w:val="clear" w:color="auto" w:fill="auto"/>
                  <w:vAlign w:val="center"/>
                </w:tcPr>
                <w:p w14:paraId="28ED3F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2.888 </w:t>
                  </w:r>
                </w:p>
              </w:tc>
              <w:tc>
                <w:tcPr>
                  <w:tcW w:w="912" w:type="dxa"/>
                  <w:tcBorders>
                    <w:tl2br w:val="nil"/>
                    <w:tr2bl w:val="nil"/>
                  </w:tcBorders>
                  <w:shd w:val="clear" w:color="auto" w:fill="auto"/>
                  <w:vAlign w:val="center"/>
                </w:tcPr>
                <w:p w14:paraId="798489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0.029 </w:t>
                  </w:r>
                </w:p>
              </w:tc>
              <w:tc>
                <w:tcPr>
                  <w:tcW w:w="955" w:type="dxa"/>
                  <w:tcBorders>
                    <w:tl2br w:val="nil"/>
                    <w:tr2bl w:val="nil"/>
                  </w:tcBorders>
                  <w:shd w:val="clear" w:color="auto" w:fill="auto"/>
                  <w:vAlign w:val="center"/>
                </w:tcPr>
                <w:p w14:paraId="3C9F01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0.208 </w:t>
                  </w:r>
                </w:p>
              </w:tc>
              <w:tc>
                <w:tcPr>
                  <w:tcW w:w="672" w:type="dxa"/>
                  <w:vMerge w:val="continue"/>
                  <w:tcBorders>
                    <w:tl2br w:val="nil"/>
                    <w:tr2bl w:val="nil"/>
                  </w:tcBorders>
                  <w:shd w:val="clear" w:color="auto" w:fill="auto"/>
                  <w:vAlign w:val="center"/>
                </w:tcPr>
                <w:p w14:paraId="2882A669">
                  <w:pPr>
                    <w:jc w:val="center"/>
                    <w:rPr>
                      <w:rFonts w:hint="default" w:ascii="Times New Roman" w:hAnsi="Times New Roman" w:eastAsia="宋体" w:cs="Times New Roman"/>
                      <w:i w:val="0"/>
                      <w:iCs w:val="0"/>
                      <w:color w:val="000000"/>
                      <w:sz w:val="18"/>
                      <w:szCs w:val="18"/>
                      <w:u w:val="none"/>
                    </w:rPr>
                  </w:pPr>
                </w:p>
              </w:tc>
            </w:tr>
            <w:tr w14:paraId="6C90E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2E71BC58">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1C69833A">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6B44BAB3">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308D9F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非甲烷总烃</w:t>
                  </w:r>
                </w:p>
              </w:tc>
              <w:tc>
                <w:tcPr>
                  <w:tcW w:w="748" w:type="dxa"/>
                  <w:vMerge w:val="continue"/>
                  <w:tcBorders>
                    <w:tl2br w:val="nil"/>
                    <w:tr2bl w:val="nil"/>
                  </w:tcBorders>
                  <w:shd w:val="clear" w:color="auto" w:fill="auto"/>
                  <w:vAlign w:val="center"/>
                </w:tcPr>
                <w:p w14:paraId="01ABFA17">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4F60A5C2">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6A1682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89.443 </w:t>
                  </w:r>
                </w:p>
              </w:tc>
              <w:tc>
                <w:tcPr>
                  <w:tcW w:w="967" w:type="dxa"/>
                  <w:tcBorders>
                    <w:tl2br w:val="nil"/>
                    <w:tr2bl w:val="nil"/>
                  </w:tcBorders>
                  <w:shd w:val="clear" w:color="auto" w:fill="auto"/>
                  <w:vAlign w:val="center"/>
                </w:tcPr>
                <w:p w14:paraId="2157F3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0.894 </w:t>
                  </w:r>
                </w:p>
              </w:tc>
              <w:tc>
                <w:tcPr>
                  <w:tcW w:w="927" w:type="dxa"/>
                  <w:tcBorders>
                    <w:tl2br w:val="nil"/>
                    <w:tr2bl w:val="nil"/>
                  </w:tcBorders>
                  <w:shd w:val="clear" w:color="auto" w:fill="auto"/>
                  <w:vAlign w:val="center"/>
                </w:tcPr>
                <w:p w14:paraId="6D06220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6.440 </w:t>
                  </w:r>
                </w:p>
              </w:tc>
              <w:tc>
                <w:tcPr>
                  <w:tcW w:w="1100" w:type="dxa"/>
                  <w:vMerge w:val="continue"/>
                  <w:tcBorders>
                    <w:tl2br w:val="nil"/>
                    <w:tr2bl w:val="nil"/>
                  </w:tcBorders>
                  <w:shd w:val="clear" w:color="auto" w:fill="auto"/>
                  <w:vAlign w:val="center"/>
                </w:tcPr>
                <w:p w14:paraId="2E694062">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062519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w:t>
                  </w:r>
                </w:p>
              </w:tc>
              <w:tc>
                <w:tcPr>
                  <w:tcW w:w="899" w:type="dxa"/>
                  <w:tcBorders>
                    <w:tl2br w:val="nil"/>
                    <w:tr2bl w:val="nil"/>
                  </w:tcBorders>
                  <w:shd w:val="clear" w:color="auto" w:fill="auto"/>
                  <w:vAlign w:val="center"/>
                </w:tcPr>
                <w:p w14:paraId="79A4675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8.944 </w:t>
                  </w:r>
                </w:p>
              </w:tc>
              <w:tc>
                <w:tcPr>
                  <w:tcW w:w="912" w:type="dxa"/>
                  <w:tcBorders>
                    <w:tl2br w:val="nil"/>
                    <w:tr2bl w:val="nil"/>
                  </w:tcBorders>
                  <w:shd w:val="clear" w:color="auto" w:fill="auto"/>
                  <w:vAlign w:val="center"/>
                </w:tcPr>
                <w:p w14:paraId="0CABF5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0.089 </w:t>
                  </w:r>
                </w:p>
              </w:tc>
              <w:tc>
                <w:tcPr>
                  <w:tcW w:w="955" w:type="dxa"/>
                  <w:tcBorders>
                    <w:tl2br w:val="nil"/>
                    <w:tr2bl w:val="nil"/>
                  </w:tcBorders>
                  <w:shd w:val="clear" w:color="auto" w:fill="auto"/>
                  <w:vAlign w:val="center"/>
                </w:tcPr>
                <w:p w14:paraId="61B77A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0.644 </w:t>
                  </w:r>
                </w:p>
              </w:tc>
              <w:tc>
                <w:tcPr>
                  <w:tcW w:w="672" w:type="dxa"/>
                  <w:vMerge w:val="continue"/>
                  <w:tcBorders>
                    <w:tl2br w:val="nil"/>
                    <w:tr2bl w:val="nil"/>
                  </w:tcBorders>
                  <w:shd w:val="clear" w:color="auto" w:fill="auto"/>
                  <w:vAlign w:val="center"/>
                </w:tcPr>
                <w:p w14:paraId="18541B8C">
                  <w:pPr>
                    <w:jc w:val="center"/>
                    <w:rPr>
                      <w:rFonts w:hint="default" w:ascii="Times New Roman" w:hAnsi="Times New Roman" w:eastAsia="宋体" w:cs="Times New Roman"/>
                      <w:i w:val="0"/>
                      <w:iCs w:val="0"/>
                      <w:color w:val="000000"/>
                      <w:sz w:val="18"/>
                      <w:szCs w:val="18"/>
                      <w:u w:val="none"/>
                    </w:rPr>
                  </w:pPr>
                </w:p>
              </w:tc>
            </w:tr>
            <w:tr w14:paraId="01791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tcBorders>
                    <w:tl2br w:val="nil"/>
                    <w:tr2bl w:val="nil"/>
                  </w:tcBorders>
                  <w:shd w:val="clear" w:color="auto" w:fill="auto"/>
                  <w:vAlign w:val="center"/>
                </w:tcPr>
                <w:p w14:paraId="1C4819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658" w:type="dxa"/>
                  <w:vMerge w:val="continue"/>
                  <w:tcBorders>
                    <w:tl2br w:val="nil"/>
                    <w:tr2bl w:val="nil"/>
                  </w:tcBorders>
                  <w:shd w:val="clear" w:color="auto" w:fill="auto"/>
                  <w:vAlign w:val="center"/>
                </w:tcPr>
                <w:p w14:paraId="2942073E">
                  <w:pPr>
                    <w:jc w:val="center"/>
                    <w:rPr>
                      <w:rFonts w:hint="default" w:ascii="Times New Roman" w:hAnsi="Times New Roman" w:eastAsia="宋体" w:cs="Times New Roman"/>
                      <w:i w:val="0"/>
                      <w:iCs w:val="0"/>
                      <w:color w:val="000000"/>
                      <w:sz w:val="18"/>
                      <w:szCs w:val="18"/>
                      <w:u w:val="none"/>
                    </w:rPr>
                  </w:pPr>
                </w:p>
              </w:tc>
              <w:tc>
                <w:tcPr>
                  <w:tcW w:w="1533" w:type="dxa"/>
                  <w:tcBorders>
                    <w:tl2br w:val="nil"/>
                    <w:tr2bl w:val="nil"/>
                  </w:tcBorders>
                  <w:shd w:val="clear" w:color="auto" w:fill="auto"/>
                  <w:vAlign w:val="center"/>
                </w:tcPr>
                <w:p w14:paraId="30FE943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出炉粉尘、进仓粉尘、筛分粉尘、旋风分离粉尘、风选粉尘、包装粉尘</w:t>
                  </w:r>
                </w:p>
              </w:tc>
              <w:tc>
                <w:tcPr>
                  <w:tcW w:w="1333" w:type="dxa"/>
                  <w:tcBorders>
                    <w:tl2br w:val="nil"/>
                    <w:tr2bl w:val="nil"/>
                  </w:tcBorders>
                  <w:shd w:val="clear" w:color="auto" w:fill="auto"/>
                  <w:vAlign w:val="center"/>
                </w:tcPr>
                <w:p w14:paraId="3A9274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颗粒物（含炭黑尘）</w:t>
                  </w:r>
                </w:p>
              </w:tc>
              <w:tc>
                <w:tcPr>
                  <w:tcW w:w="748" w:type="dxa"/>
                  <w:vMerge w:val="continue"/>
                  <w:tcBorders>
                    <w:tl2br w:val="nil"/>
                    <w:tr2bl w:val="nil"/>
                  </w:tcBorders>
                  <w:shd w:val="clear" w:color="auto" w:fill="auto"/>
                  <w:vAlign w:val="center"/>
                </w:tcPr>
                <w:p w14:paraId="66D843A5">
                  <w:pPr>
                    <w:jc w:val="center"/>
                    <w:rPr>
                      <w:rFonts w:hint="default" w:ascii="Times New Roman" w:hAnsi="Times New Roman" w:eastAsia="宋体" w:cs="Times New Roman"/>
                      <w:i w:val="0"/>
                      <w:iCs w:val="0"/>
                      <w:color w:val="000000"/>
                      <w:sz w:val="18"/>
                      <w:szCs w:val="18"/>
                      <w:u w:val="none"/>
                    </w:rPr>
                  </w:pPr>
                </w:p>
              </w:tc>
              <w:tc>
                <w:tcPr>
                  <w:tcW w:w="740" w:type="dxa"/>
                  <w:tcBorders>
                    <w:tl2br w:val="nil"/>
                    <w:tr2bl w:val="nil"/>
                  </w:tcBorders>
                  <w:shd w:val="clear" w:color="auto" w:fill="auto"/>
                  <w:vAlign w:val="center"/>
                </w:tcPr>
                <w:p w14:paraId="042256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13000</w:t>
                  </w:r>
                </w:p>
              </w:tc>
              <w:tc>
                <w:tcPr>
                  <w:tcW w:w="1216" w:type="dxa"/>
                  <w:tcBorders>
                    <w:tl2br w:val="nil"/>
                    <w:tr2bl w:val="nil"/>
                  </w:tcBorders>
                  <w:shd w:val="clear" w:color="auto" w:fill="auto"/>
                  <w:vAlign w:val="center"/>
                </w:tcPr>
                <w:p w14:paraId="046A36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80.752 </w:t>
                  </w:r>
                </w:p>
              </w:tc>
              <w:tc>
                <w:tcPr>
                  <w:tcW w:w="967" w:type="dxa"/>
                  <w:tcBorders>
                    <w:tl2br w:val="nil"/>
                    <w:tr2bl w:val="nil"/>
                  </w:tcBorders>
                  <w:shd w:val="clear" w:color="auto" w:fill="auto"/>
                  <w:vAlign w:val="center"/>
                </w:tcPr>
                <w:p w14:paraId="5E968E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1.373 </w:t>
                  </w:r>
                </w:p>
              </w:tc>
              <w:tc>
                <w:tcPr>
                  <w:tcW w:w="927" w:type="dxa"/>
                  <w:tcBorders>
                    <w:tl2br w:val="nil"/>
                    <w:tr2bl w:val="nil"/>
                  </w:tcBorders>
                  <w:shd w:val="clear" w:color="auto" w:fill="auto"/>
                  <w:vAlign w:val="center"/>
                </w:tcPr>
                <w:p w14:paraId="58FC10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9.884 </w:t>
                  </w:r>
                </w:p>
              </w:tc>
              <w:tc>
                <w:tcPr>
                  <w:tcW w:w="1100" w:type="dxa"/>
                  <w:tcBorders>
                    <w:tl2br w:val="nil"/>
                    <w:tr2bl w:val="nil"/>
                  </w:tcBorders>
                  <w:shd w:val="clear" w:color="auto" w:fill="auto"/>
                  <w:vAlign w:val="center"/>
                </w:tcPr>
                <w:p w14:paraId="10AC15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覆膜布袋除尘器</w:t>
                  </w: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水喷淋塔”</w:t>
                  </w:r>
                </w:p>
              </w:tc>
              <w:tc>
                <w:tcPr>
                  <w:tcW w:w="766" w:type="dxa"/>
                  <w:tcBorders>
                    <w:tl2br w:val="nil"/>
                    <w:tr2bl w:val="nil"/>
                  </w:tcBorders>
                  <w:shd w:val="clear" w:color="auto" w:fill="auto"/>
                  <w:vAlign w:val="center"/>
                </w:tcPr>
                <w:p w14:paraId="316910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899" w:type="dxa"/>
                  <w:tcBorders>
                    <w:tl2br w:val="nil"/>
                    <w:tr2bl w:val="nil"/>
                  </w:tcBorders>
                  <w:shd w:val="clear" w:color="auto" w:fill="auto"/>
                  <w:vAlign w:val="center"/>
                </w:tcPr>
                <w:p w14:paraId="7FE5D8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1.056 </w:t>
                  </w:r>
                </w:p>
              </w:tc>
              <w:tc>
                <w:tcPr>
                  <w:tcW w:w="912" w:type="dxa"/>
                  <w:tcBorders>
                    <w:tl2br w:val="nil"/>
                    <w:tr2bl w:val="nil"/>
                  </w:tcBorders>
                  <w:shd w:val="clear" w:color="auto" w:fill="auto"/>
                  <w:vAlign w:val="center"/>
                </w:tcPr>
                <w:p w14:paraId="385C7F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0.014 </w:t>
                  </w:r>
                </w:p>
              </w:tc>
              <w:tc>
                <w:tcPr>
                  <w:tcW w:w="955" w:type="dxa"/>
                  <w:tcBorders>
                    <w:tl2br w:val="nil"/>
                    <w:tr2bl w:val="nil"/>
                  </w:tcBorders>
                  <w:shd w:val="clear" w:color="auto" w:fill="auto"/>
                  <w:vAlign w:val="center"/>
                </w:tcPr>
                <w:p w14:paraId="6F148A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0.099 </w:t>
                  </w:r>
                </w:p>
              </w:tc>
              <w:tc>
                <w:tcPr>
                  <w:tcW w:w="672" w:type="dxa"/>
                  <w:tcBorders>
                    <w:tl2br w:val="nil"/>
                    <w:tr2bl w:val="nil"/>
                  </w:tcBorders>
                  <w:shd w:val="clear" w:color="auto" w:fill="auto"/>
                  <w:vAlign w:val="center"/>
                </w:tcPr>
                <w:p w14:paraId="49A9B6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DA002</w:t>
                  </w:r>
                </w:p>
              </w:tc>
            </w:tr>
            <w:tr w14:paraId="15AFD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restart"/>
                  <w:tcBorders>
                    <w:tl2br w:val="nil"/>
                    <w:tr2bl w:val="nil"/>
                  </w:tcBorders>
                  <w:shd w:val="clear" w:color="auto" w:fill="auto"/>
                  <w:vAlign w:val="center"/>
                </w:tcPr>
                <w:p w14:paraId="560605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3</w:t>
                  </w:r>
                </w:p>
              </w:tc>
              <w:tc>
                <w:tcPr>
                  <w:tcW w:w="658" w:type="dxa"/>
                  <w:vMerge w:val="restart"/>
                  <w:tcBorders>
                    <w:tl2br w:val="nil"/>
                    <w:tr2bl w:val="nil"/>
                  </w:tcBorders>
                  <w:shd w:val="clear" w:color="auto" w:fill="auto"/>
                  <w:vAlign w:val="center"/>
                </w:tcPr>
                <w:p w14:paraId="6F0712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eastAsia" w:ascii="宋体" w:hAnsi="宋体" w:eastAsia="宋体" w:cs="宋体"/>
                      <w:i w:val="0"/>
                      <w:iCs w:val="0"/>
                      <w:color w:val="000000"/>
                      <w:kern w:val="0"/>
                      <w:sz w:val="18"/>
                      <w:szCs w:val="18"/>
                      <w:u w:val="none"/>
                      <w:lang w:val="en-US" w:eastAsia="zh-CN" w:bidi="ar"/>
                    </w:rPr>
                    <w:t>热解分选生产区</w:t>
                  </w:r>
                </w:p>
              </w:tc>
              <w:tc>
                <w:tcPr>
                  <w:tcW w:w="1533" w:type="dxa"/>
                  <w:vMerge w:val="restart"/>
                  <w:tcBorders>
                    <w:tl2br w:val="nil"/>
                    <w:tr2bl w:val="nil"/>
                  </w:tcBorders>
                  <w:shd w:val="clear" w:color="auto" w:fill="auto"/>
                  <w:vAlign w:val="center"/>
                </w:tcPr>
                <w:p w14:paraId="6E8267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热解炉尾气、燃烧室不凝气燃烧废气、清洗炉燃烧烟气、烘干炉燃烧烟气、油罐呼吸气</w:t>
                  </w:r>
                </w:p>
              </w:tc>
              <w:tc>
                <w:tcPr>
                  <w:tcW w:w="1333" w:type="dxa"/>
                  <w:tcBorders>
                    <w:tl2br w:val="nil"/>
                    <w:tr2bl w:val="nil"/>
                  </w:tcBorders>
                  <w:shd w:val="clear" w:color="auto" w:fill="auto"/>
                  <w:vAlign w:val="center"/>
                </w:tcPr>
                <w:p w14:paraId="0ED75F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二氧化硫</w:t>
                  </w:r>
                </w:p>
              </w:tc>
              <w:tc>
                <w:tcPr>
                  <w:tcW w:w="748" w:type="dxa"/>
                  <w:vMerge w:val="continue"/>
                  <w:tcBorders>
                    <w:tl2br w:val="nil"/>
                    <w:tr2bl w:val="nil"/>
                  </w:tcBorders>
                  <w:shd w:val="clear" w:color="auto" w:fill="auto"/>
                  <w:vAlign w:val="center"/>
                </w:tcPr>
                <w:p w14:paraId="7CD8FA5F">
                  <w:pPr>
                    <w:jc w:val="center"/>
                    <w:rPr>
                      <w:rFonts w:hint="default" w:ascii="Times New Roman" w:hAnsi="Times New Roman" w:eastAsia="宋体" w:cs="Times New Roman"/>
                      <w:i w:val="0"/>
                      <w:iCs w:val="0"/>
                      <w:color w:val="000000"/>
                      <w:sz w:val="18"/>
                      <w:szCs w:val="18"/>
                      <w:u w:val="none"/>
                    </w:rPr>
                  </w:pPr>
                </w:p>
              </w:tc>
              <w:tc>
                <w:tcPr>
                  <w:tcW w:w="740" w:type="dxa"/>
                  <w:vMerge w:val="restart"/>
                  <w:tcBorders>
                    <w:tl2br w:val="nil"/>
                    <w:tr2bl w:val="nil"/>
                  </w:tcBorders>
                  <w:shd w:val="clear" w:color="auto" w:fill="auto"/>
                  <w:vAlign w:val="center"/>
                </w:tcPr>
                <w:p w14:paraId="7B2A99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1216" w:type="dxa"/>
                  <w:tcBorders>
                    <w:tl2br w:val="nil"/>
                    <w:tr2bl w:val="nil"/>
                  </w:tcBorders>
                  <w:shd w:val="clear" w:color="auto" w:fill="auto"/>
                  <w:vAlign w:val="center"/>
                </w:tcPr>
                <w:p w14:paraId="7DD148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4.18E-05</w:t>
                  </w:r>
                </w:p>
              </w:tc>
              <w:tc>
                <w:tcPr>
                  <w:tcW w:w="967" w:type="dxa"/>
                  <w:tcBorders>
                    <w:tl2br w:val="nil"/>
                    <w:tr2bl w:val="nil"/>
                  </w:tcBorders>
                  <w:shd w:val="clear" w:color="auto" w:fill="auto"/>
                  <w:vAlign w:val="center"/>
                </w:tcPr>
                <w:p w14:paraId="031F2E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4.18E-07</w:t>
                  </w:r>
                </w:p>
              </w:tc>
              <w:tc>
                <w:tcPr>
                  <w:tcW w:w="927" w:type="dxa"/>
                  <w:tcBorders>
                    <w:tl2br w:val="nil"/>
                    <w:tr2bl w:val="nil"/>
                  </w:tcBorders>
                  <w:shd w:val="clear" w:color="auto" w:fill="auto"/>
                  <w:vAlign w:val="center"/>
                </w:tcPr>
                <w:p w14:paraId="4BBF63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3.01E-06</w:t>
                  </w:r>
                </w:p>
              </w:tc>
              <w:tc>
                <w:tcPr>
                  <w:tcW w:w="1100" w:type="dxa"/>
                  <w:vMerge w:val="restart"/>
                  <w:tcBorders>
                    <w:tl2br w:val="nil"/>
                    <w:tr2bl w:val="nil"/>
                  </w:tcBorders>
                  <w:shd w:val="clear" w:color="auto" w:fill="auto"/>
                  <w:vAlign w:val="center"/>
                </w:tcPr>
                <w:p w14:paraId="44F486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cs="宋体"/>
                      <w:i w:val="0"/>
                      <w:iCs w:val="0"/>
                      <w:color w:val="000000"/>
                      <w:kern w:val="0"/>
                      <w:sz w:val="18"/>
                      <w:szCs w:val="18"/>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18"/>
                      <w:szCs w:val="18"/>
                      <w:u w:val="none"/>
                      <w:lang w:val="en-US" w:eastAsia="zh-CN" w:bidi="ar"/>
                    </w:rPr>
                    <w:t>”</w:t>
                  </w:r>
                </w:p>
              </w:tc>
              <w:tc>
                <w:tcPr>
                  <w:tcW w:w="766" w:type="dxa"/>
                  <w:tcBorders>
                    <w:tl2br w:val="nil"/>
                    <w:tr2bl w:val="nil"/>
                  </w:tcBorders>
                  <w:shd w:val="clear" w:color="auto" w:fill="auto"/>
                  <w:vAlign w:val="center"/>
                </w:tcPr>
                <w:p w14:paraId="2F62CC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p>
              </w:tc>
              <w:tc>
                <w:tcPr>
                  <w:tcW w:w="899" w:type="dxa"/>
                  <w:tcBorders>
                    <w:tl2br w:val="nil"/>
                    <w:tr2bl w:val="nil"/>
                  </w:tcBorders>
                  <w:shd w:val="clear" w:color="auto" w:fill="auto"/>
                  <w:vAlign w:val="center"/>
                </w:tcPr>
                <w:p w14:paraId="0B9629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4.18E-05</w:t>
                  </w:r>
                </w:p>
              </w:tc>
              <w:tc>
                <w:tcPr>
                  <w:tcW w:w="912" w:type="dxa"/>
                  <w:tcBorders>
                    <w:tl2br w:val="nil"/>
                    <w:tr2bl w:val="nil"/>
                  </w:tcBorders>
                  <w:shd w:val="clear" w:color="auto" w:fill="auto"/>
                  <w:vAlign w:val="center"/>
                </w:tcPr>
                <w:p w14:paraId="19A9DE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4.18E-07</w:t>
                  </w:r>
                </w:p>
              </w:tc>
              <w:tc>
                <w:tcPr>
                  <w:tcW w:w="955" w:type="dxa"/>
                  <w:tcBorders>
                    <w:tl2br w:val="nil"/>
                    <w:tr2bl w:val="nil"/>
                  </w:tcBorders>
                  <w:shd w:val="clear" w:color="auto" w:fill="auto"/>
                  <w:vAlign w:val="center"/>
                </w:tcPr>
                <w:p w14:paraId="349B65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3.01E-06</w:t>
                  </w:r>
                </w:p>
              </w:tc>
              <w:tc>
                <w:tcPr>
                  <w:tcW w:w="672" w:type="dxa"/>
                  <w:vMerge w:val="restart"/>
                  <w:tcBorders>
                    <w:tl2br w:val="nil"/>
                    <w:tr2bl w:val="nil"/>
                  </w:tcBorders>
                  <w:shd w:val="clear" w:color="auto" w:fill="auto"/>
                  <w:vAlign w:val="center"/>
                </w:tcPr>
                <w:p w14:paraId="367225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DA003</w:t>
                  </w:r>
                </w:p>
              </w:tc>
            </w:tr>
            <w:tr w14:paraId="77BD1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135E2153">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32FE0E49">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2AAAEA25">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61202A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氮氧化物</w:t>
                  </w:r>
                </w:p>
              </w:tc>
              <w:tc>
                <w:tcPr>
                  <w:tcW w:w="748" w:type="dxa"/>
                  <w:vMerge w:val="continue"/>
                  <w:tcBorders>
                    <w:tl2br w:val="nil"/>
                    <w:tr2bl w:val="nil"/>
                  </w:tcBorders>
                  <w:shd w:val="clear" w:color="auto" w:fill="auto"/>
                  <w:vAlign w:val="center"/>
                </w:tcPr>
                <w:p w14:paraId="2EFE012B">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1EADCD0E">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0995C2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25.586 </w:t>
                  </w:r>
                </w:p>
              </w:tc>
              <w:tc>
                <w:tcPr>
                  <w:tcW w:w="967" w:type="dxa"/>
                  <w:tcBorders>
                    <w:tl2br w:val="nil"/>
                    <w:tr2bl w:val="nil"/>
                  </w:tcBorders>
                  <w:shd w:val="clear" w:color="auto" w:fill="auto"/>
                  <w:vAlign w:val="center"/>
                </w:tcPr>
                <w:p w14:paraId="0BB5C8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0.256 </w:t>
                  </w:r>
                </w:p>
              </w:tc>
              <w:tc>
                <w:tcPr>
                  <w:tcW w:w="927" w:type="dxa"/>
                  <w:tcBorders>
                    <w:tl2br w:val="nil"/>
                    <w:tr2bl w:val="nil"/>
                  </w:tcBorders>
                  <w:shd w:val="clear" w:color="auto" w:fill="auto"/>
                  <w:vAlign w:val="center"/>
                </w:tcPr>
                <w:p w14:paraId="4E2D3C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1.842 </w:t>
                  </w:r>
                </w:p>
              </w:tc>
              <w:tc>
                <w:tcPr>
                  <w:tcW w:w="1100" w:type="dxa"/>
                  <w:vMerge w:val="continue"/>
                  <w:tcBorders>
                    <w:tl2br w:val="nil"/>
                    <w:tr2bl w:val="nil"/>
                  </w:tcBorders>
                  <w:shd w:val="clear" w:color="auto" w:fill="auto"/>
                  <w:vAlign w:val="center"/>
                </w:tcPr>
                <w:p w14:paraId="4D492F04">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6D2E33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p>
              </w:tc>
              <w:tc>
                <w:tcPr>
                  <w:tcW w:w="899" w:type="dxa"/>
                  <w:tcBorders>
                    <w:tl2br w:val="nil"/>
                    <w:tr2bl w:val="nil"/>
                  </w:tcBorders>
                  <w:shd w:val="clear" w:color="auto" w:fill="auto"/>
                  <w:vAlign w:val="center"/>
                </w:tcPr>
                <w:p w14:paraId="2B9324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25.586 </w:t>
                  </w:r>
                </w:p>
              </w:tc>
              <w:tc>
                <w:tcPr>
                  <w:tcW w:w="912" w:type="dxa"/>
                  <w:tcBorders>
                    <w:tl2br w:val="nil"/>
                    <w:tr2bl w:val="nil"/>
                  </w:tcBorders>
                  <w:shd w:val="clear" w:color="auto" w:fill="auto"/>
                  <w:vAlign w:val="center"/>
                </w:tcPr>
                <w:p w14:paraId="560841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0.256 </w:t>
                  </w:r>
                </w:p>
              </w:tc>
              <w:tc>
                <w:tcPr>
                  <w:tcW w:w="955" w:type="dxa"/>
                  <w:tcBorders>
                    <w:tl2br w:val="nil"/>
                    <w:tr2bl w:val="nil"/>
                  </w:tcBorders>
                  <w:shd w:val="clear" w:color="auto" w:fill="auto"/>
                  <w:vAlign w:val="center"/>
                </w:tcPr>
                <w:p w14:paraId="0E53D7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1.842 </w:t>
                  </w:r>
                </w:p>
              </w:tc>
              <w:tc>
                <w:tcPr>
                  <w:tcW w:w="672" w:type="dxa"/>
                  <w:vMerge w:val="continue"/>
                  <w:tcBorders>
                    <w:tl2br w:val="nil"/>
                    <w:tr2bl w:val="nil"/>
                  </w:tcBorders>
                  <w:shd w:val="clear" w:color="auto" w:fill="auto"/>
                  <w:vAlign w:val="center"/>
                </w:tcPr>
                <w:p w14:paraId="63F54399">
                  <w:pPr>
                    <w:jc w:val="center"/>
                    <w:rPr>
                      <w:rFonts w:hint="default" w:ascii="Times New Roman" w:hAnsi="Times New Roman" w:eastAsia="宋体" w:cs="Times New Roman"/>
                      <w:i w:val="0"/>
                      <w:iCs w:val="0"/>
                      <w:color w:val="000000"/>
                      <w:sz w:val="18"/>
                      <w:szCs w:val="18"/>
                      <w:u w:val="none"/>
                    </w:rPr>
                  </w:pPr>
                </w:p>
              </w:tc>
            </w:tr>
            <w:tr w14:paraId="0EDEA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472B5022">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4D1FBA85">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300B3422">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56B568D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w:t>
                  </w:r>
                  <w:r>
                    <w:rPr>
                      <w:rFonts w:hint="eastAsia" w:cs="Times New Roman"/>
                      <w:i w:val="0"/>
                      <w:iCs w:val="0"/>
                      <w:color w:val="000000"/>
                      <w:kern w:val="0"/>
                      <w:sz w:val="18"/>
                      <w:szCs w:val="18"/>
                      <w:u w:val="none"/>
                      <w:lang w:val="en-US" w:eastAsia="zh-CN" w:bidi="ar"/>
                    </w:rPr>
                    <w:t>含炭黑尘、铜、锡等</w:t>
                  </w:r>
                  <w:r>
                    <w:rPr>
                      <w:rFonts w:hint="default" w:ascii="Times New Roman" w:hAnsi="Times New Roman" w:eastAsia="宋体" w:cs="Times New Roman"/>
                      <w:i w:val="0"/>
                      <w:iCs w:val="0"/>
                      <w:color w:val="000000"/>
                      <w:kern w:val="0"/>
                      <w:sz w:val="18"/>
                      <w:szCs w:val="18"/>
                      <w:u w:val="none"/>
                      <w:lang w:val="en-US" w:eastAsia="zh-CN" w:bidi="ar"/>
                    </w:rPr>
                    <w:t>）</w:t>
                  </w:r>
                </w:p>
              </w:tc>
              <w:tc>
                <w:tcPr>
                  <w:tcW w:w="748" w:type="dxa"/>
                  <w:vMerge w:val="continue"/>
                  <w:tcBorders>
                    <w:tl2br w:val="nil"/>
                    <w:tr2bl w:val="nil"/>
                  </w:tcBorders>
                  <w:shd w:val="clear" w:color="auto" w:fill="auto"/>
                  <w:vAlign w:val="center"/>
                </w:tcPr>
                <w:p w14:paraId="7260CB21">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023396A9">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15205C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6.344 </w:t>
                  </w:r>
                </w:p>
              </w:tc>
              <w:tc>
                <w:tcPr>
                  <w:tcW w:w="967" w:type="dxa"/>
                  <w:tcBorders>
                    <w:tl2br w:val="nil"/>
                    <w:tr2bl w:val="nil"/>
                  </w:tcBorders>
                  <w:shd w:val="clear" w:color="auto" w:fill="auto"/>
                  <w:vAlign w:val="center"/>
                </w:tcPr>
                <w:p w14:paraId="06D314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0.063 </w:t>
                  </w:r>
                </w:p>
              </w:tc>
              <w:tc>
                <w:tcPr>
                  <w:tcW w:w="927" w:type="dxa"/>
                  <w:tcBorders>
                    <w:tl2br w:val="nil"/>
                    <w:tr2bl w:val="nil"/>
                  </w:tcBorders>
                  <w:shd w:val="clear" w:color="auto" w:fill="auto"/>
                  <w:vAlign w:val="center"/>
                </w:tcPr>
                <w:p w14:paraId="54AE1D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0.457 </w:t>
                  </w:r>
                </w:p>
              </w:tc>
              <w:tc>
                <w:tcPr>
                  <w:tcW w:w="1100" w:type="dxa"/>
                  <w:vMerge w:val="continue"/>
                  <w:tcBorders>
                    <w:tl2br w:val="nil"/>
                    <w:tr2bl w:val="nil"/>
                  </w:tcBorders>
                  <w:shd w:val="clear" w:color="auto" w:fill="auto"/>
                  <w:vAlign w:val="center"/>
                </w:tcPr>
                <w:p w14:paraId="10699A42">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244FE2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899" w:type="dxa"/>
                  <w:tcBorders>
                    <w:tl2br w:val="nil"/>
                    <w:tr2bl w:val="nil"/>
                  </w:tcBorders>
                  <w:shd w:val="clear" w:color="auto" w:fill="auto"/>
                  <w:vAlign w:val="center"/>
                </w:tcPr>
                <w:p w14:paraId="43C71F3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0.063 </w:t>
                  </w:r>
                </w:p>
              </w:tc>
              <w:tc>
                <w:tcPr>
                  <w:tcW w:w="912" w:type="dxa"/>
                  <w:tcBorders>
                    <w:tl2br w:val="nil"/>
                    <w:tr2bl w:val="nil"/>
                  </w:tcBorders>
                  <w:shd w:val="clear" w:color="auto" w:fill="auto"/>
                  <w:vAlign w:val="center"/>
                </w:tcPr>
                <w:p w14:paraId="1FC556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955" w:type="dxa"/>
                  <w:tcBorders>
                    <w:tl2br w:val="nil"/>
                    <w:tr2bl w:val="nil"/>
                  </w:tcBorders>
                  <w:shd w:val="clear" w:color="auto" w:fill="auto"/>
                  <w:vAlign w:val="center"/>
                </w:tcPr>
                <w:p w14:paraId="694D6A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0.005 </w:t>
                  </w:r>
                </w:p>
              </w:tc>
              <w:tc>
                <w:tcPr>
                  <w:tcW w:w="672" w:type="dxa"/>
                  <w:vMerge w:val="continue"/>
                  <w:tcBorders>
                    <w:tl2br w:val="nil"/>
                    <w:tr2bl w:val="nil"/>
                  </w:tcBorders>
                  <w:shd w:val="clear" w:color="auto" w:fill="auto"/>
                  <w:vAlign w:val="center"/>
                </w:tcPr>
                <w:p w14:paraId="6D6D1516">
                  <w:pPr>
                    <w:jc w:val="center"/>
                    <w:rPr>
                      <w:rFonts w:hint="default" w:ascii="Times New Roman" w:hAnsi="Times New Roman" w:eastAsia="宋体" w:cs="Times New Roman"/>
                      <w:i w:val="0"/>
                      <w:iCs w:val="0"/>
                      <w:color w:val="000000"/>
                      <w:sz w:val="18"/>
                      <w:szCs w:val="18"/>
                      <w:u w:val="none"/>
                    </w:rPr>
                  </w:pPr>
                </w:p>
              </w:tc>
            </w:tr>
            <w:tr w14:paraId="5CC04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2B258582">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57D86113">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08D039C6">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1C8F88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锡及其化合物</w:t>
                  </w:r>
                </w:p>
              </w:tc>
              <w:tc>
                <w:tcPr>
                  <w:tcW w:w="748" w:type="dxa"/>
                  <w:vMerge w:val="continue"/>
                  <w:tcBorders>
                    <w:tl2br w:val="nil"/>
                    <w:tr2bl w:val="nil"/>
                  </w:tcBorders>
                  <w:shd w:val="clear" w:color="auto" w:fill="auto"/>
                  <w:vAlign w:val="center"/>
                </w:tcPr>
                <w:p w14:paraId="7C84F736">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70025DCE">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0FE8E6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0.055 </w:t>
                  </w:r>
                </w:p>
              </w:tc>
              <w:tc>
                <w:tcPr>
                  <w:tcW w:w="967" w:type="dxa"/>
                  <w:tcBorders>
                    <w:tl2br w:val="nil"/>
                    <w:tr2bl w:val="nil"/>
                  </w:tcBorders>
                  <w:shd w:val="clear" w:color="auto" w:fill="auto"/>
                  <w:vAlign w:val="center"/>
                </w:tcPr>
                <w:p w14:paraId="36487C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927" w:type="dxa"/>
                  <w:tcBorders>
                    <w:tl2br w:val="nil"/>
                    <w:tr2bl w:val="nil"/>
                  </w:tcBorders>
                  <w:shd w:val="clear" w:color="auto" w:fill="auto"/>
                  <w:vAlign w:val="center"/>
                </w:tcPr>
                <w:p w14:paraId="46CD67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0.004 </w:t>
                  </w:r>
                </w:p>
              </w:tc>
              <w:tc>
                <w:tcPr>
                  <w:tcW w:w="1100" w:type="dxa"/>
                  <w:vMerge w:val="continue"/>
                  <w:tcBorders>
                    <w:tl2br w:val="nil"/>
                    <w:tr2bl w:val="nil"/>
                  </w:tcBorders>
                  <w:shd w:val="clear" w:color="auto" w:fill="auto"/>
                  <w:vAlign w:val="center"/>
                </w:tcPr>
                <w:p w14:paraId="634FDF8F">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424379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899" w:type="dxa"/>
                  <w:tcBorders>
                    <w:tl2br w:val="nil"/>
                    <w:tr2bl w:val="nil"/>
                  </w:tcBorders>
                  <w:shd w:val="clear" w:color="auto" w:fill="auto"/>
                  <w:vAlign w:val="center"/>
                </w:tcPr>
                <w:p w14:paraId="15CC9C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5.50E-04</w:t>
                  </w:r>
                </w:p>
              </w:tc>
              <w:tc>
                <w:tcPr>
                  <w:tcW w:w="912" w:type="dxa"/>
                  <w:tcBorders>
                    <w:tl2br w:val="nil"/>
                    <w:tr2bl w:val="nil"/>
                  </w:tcBorders>
                  <w:shd w:val="clear" w:color="auto" w:fill="auto"/>
                  <w:vAlign w:val="center"/>
                </w:tcPr>
                <w:p w14:paraId="46D643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5.50E-06</w:t>
                  </w:r>
                </w:p>
              </w:tc>
              <w:tc>
                <w:tcPr>
                  <w:tcW w:w="955" w:type="dxa"/>
                  <w:tcBorders>
                    <w:tl2br w:val="nil"/>
                    <w:tr2bl w:val="nil"/>
                  </w:tcBorders>
                  <w:shd w:val="clear" w:color="auto" w:fill="auto"/>
                  <w:vAlign w:val="center"/>
                </w:tcPr>
                <w:p w14:paraId="079A57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3.96E-05</w:t>
                  </w:r>
                </w:p>
              </w:tc>
              <w:tc>
                <w:tcPr>
                  <w:tcW w:w="672" w:type="dxa"/>
                  <w:vMerge w:val="continue"/>
                  <w:tcBorders>
                    <w:tl2br w:val="nil"/>
                    <w:tr2bl w:val="nil"/>
                  </w:tcBorders>
                  <w:shd w:val="clear" w:color="auto" w:fill="auto"/>
                  <w:vAlign w:val="center"/>
                </w:tcPr>
                <w:p w14:paraId="7DA8028B">
                  <w:pPr>
                    <w:jc w:val="center"/>
                    <w:rPr>
                      <w:rFonts w:hint="default" w:ascii="Times New Roman" w:hAnsi="Times New Roman" w:eastAsia="宋体" w:cs="Times New Roman"/>
                      <w:i w:val="0"/>
                      <w:iCs w:val="0"/>
                      <w:color w:val="000000"/>
                      <w:sz w:val="18"/>
                      <w:szCs w:val="18"/>
                      <w:u w:val="none"/>
                    </w:rPr>
                  </w:pPr>
                </w:p>
              </w:tc>
            </w:tr>
            <w:tr w14:paraId="0E25C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46AB2B57">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758192CF">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18E6E965">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5F1418C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铜及其化合物</w:t>
                  </w:r>
                </w:p>
              </w:tc>
              <w:tc>
                <w:tcPr>
                  <w:tcW w:w="748" w:type="dxa"/>
                  <w:vMerge w:val="continue"/>
                  <w:tcBorders>
                    <w:tl2br w:val="nil"/>
                    <w:tr2bl w:val="nil"/>
                  </w:tcBorders>
                  <w:shd w:val="clear" w:color="auto" w:fill="auto"/>
                  <w:vAlign w:val="center"/>
                </w:tcPr>
                <w:p w14:paraId="5D79E2DB">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6D7B9A91">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2DEE7FA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1.031 </w:t>
                  </w:r>
                </w:p>
              </w:tc>
              <w:tc>
                <w:tcPr>
                  <w:tcW w:w="967" w:type="dxa"/>
                  <w:tcBorders>
                    <w:tl2br w:val="nil"/>
                    <w:tr2bl w:val="nil"/>
                  </w:tcBorders>
                  <w:shd w:val="clear" w:color="auto" w:fill="auto"/>
                  <w:vAlign w:val="center"/>
                </w:tcPr>
                <w:p w14:paraId="69F86EE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927" w:type="dxa"/>
                  <w:tcBorders>
                    <w:tl2br w:val="nil"/>
                    <w:tr2bl w:val="nil"/>
                  </w:tcBorders>
                  <w:shd w:val="clear" w:color="auto" w:fill="auto"/>
                  <w:vAlign w:val="center"/>
                </w:tcPr>
                <w:p w14:paraId="71C3291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0.074 </w:t>
                  </w:r>
                </w:p>
              </w:tc>
              <w:tc>
                <w:tcPr>
                  <w:tcW w:w="1100" w:type="dxa"/>
                  <w:vMerge w:val="continue"/>
                  <w:tcBorders>
                    <w:tl2br w:val="nil"/>
                    <w:tr2bl w:val="nil"/>
                  </w:tcBorders>
                  <w:shd w:val="clear" w:color="auto" w:fill="auto"/>
                  <w:vAlign w:val="center"/>
                </w:tcPr>
                <w:p w14:paraId="36C6144A">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12BC605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899" w:type="dxa"/>
                  <w:tcBorders>
                    <w:tl2br w:val="nil"/>
                    <w:tr2bl w:val="nil"/>
                  </w:tcBorders>
                  <w:shd w:val="clear" w:color="auto" w:fill="auto"/>
                  <w:vAlign w:val="center"/>
                </w:tcPr>
                <w:p w14:paraId="39DAFBC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1.03E-02</w:t>
                  </w:r>
                </w:p>
              </w:tc>
              <w:tc>
                <w:tcPr>
                  <w:tcW w:w="912" w:type="dxa"/>
                  <w:tcBorders>
                    <w:tl2br w:val="nil"/>
                    <w:tr2bl w:val="nil"/>
                  </w:tcBorders>
                  <w:shd w:val="clear" w:color="auto" w:fill="auto"/>
                  <w:vAlign w:val="center"/>
                </w:tcPr>
                <w:p w14:paraId="47EBF12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1.03E-04</w:t>
                  </w:r>
                </w:p>
              </w:tc>
              <w:tc>
                <w:tcPr>
                  <w:tcW w:w="955" w:type="dxa"/>
                  <w:tcBorders>
                    <w:tl2br w:val="nil"/>
                    <w:tr2bl w:val="nil"/>
                  </w:tcBorders>
                  <w:shd w:val="clear" w:color="auto" w:fill="auto"/>
                  <w:vAlign w:val="center"/>
                </w:tcPr>
                <w:p w14:paraId="550312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7.43E-04</w:t>
                  </w:r>
                </w:p>
              </w:tc>
              <w:tc>
                <w:tcPr>
                  <w:tcW w:w="672" w:type="dxa"/>
                  <w:vMerge w:val="continue"/>
                  <w:tcBorders>
                    <w:tl2br w:val="nil"/>
                    <w:tr2bl w:val="nil"/>
                  </w:tcBorders>
                  <w:shd w:val="clear" w:color="auto" w:fill="auto"/>
                  <w:vAlign w:val="center"/>
                </w:tcPr>
                <w:p w14:paraId="54ECB9F1">
                  <w:pPr>
                    <w:jc w:val="center"/>
                    <w:rPr>
                      <w:rFonts w:hint="default" w:ascii="Times New Roman" w:hAnsi="Times New Roman" w:eastAsia="宋体" w:cs="Times New Roman"/>
                      <w:i w:val="0"/>
                      <w:iCs w:val="0"/>
                      <w:color w:val="000000"/>
                      <w:sz w:val="18"/>
                      <w:szCs w:val="18"/>
                      <w:u w:val="none"/>
                    </w:rPr>
                  </w:pPr>
                </w:p>
              </w:tc>
            </w:tr>
            <w:tr w14:paraId="42545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0A442FA6">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76D65B16">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016442C8">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4DE598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氟化物</w:t>
                  </w:r>
                </w:p>
              </w:tc>
              <w:tc>
                <w:tcPr>
                  <w:tcW w:w="748" w:type="dxa"/>
                  <w:vMerge w:val="continue"/>
                  <w:tcBorders>
                    <w:tl2br w:val="nil"/>
                    <w:tr2bl w:val="nil"/>
                  </w:tcBorders>
                  <w:shd w:val="clear" w:color="auto" w:fill="auto"/>
                  <w:vAlign w:val="center"/>
                </w:tcPr>
                <w:p w14:paraId="2DA4E337">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0A5587E5">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10D968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19.250 </w:t>
                  </w:r>
                </w:p>
              </w:tc>
              <w:tc>
                <w:tcPr>
                  <w:tcW w:w="967" w:type="dxa"/>
                  <w:tcBorders>
                    <w:tl2br w:val="nil"/>
                    <w:tr2bl w:val="nil"/>
                  </w:tcBorders>
                  <w:shd w:val="clear" w:color="auto" w:fill="auto"/>
                  <w:vAlign w:val="center"/>
                </w:tcPr>
                <w:p w14:paraId="697947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0.193 </w:t>
                  </w:r>
                </w:p>
              </w:tc>
              <w:tc>
                <w:tcPr>
                  <w:tcW w:w="927" w:type="dxa"/>
                  <w:tcBorders>
                    <w:tl2br w:val="nil"/>
                    <w:tr2bl w:val="nil"/>
                  </w:tcBorders>
                  <w:shd w:val="clear" w:color="auto" w:fill="auto"/>
                  <w:vAlign w:val="center"/>
                </w:tcPr>
                <w:p w14:paraId="098609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1.386 </w:t>
                  </w:r>
                </w:p>
              </w:tc>
              <w:tc>
                <w:tcPr>
                  <w:tcW w:w="1100" w:type="dxa"/>
                  <w:vMerge w:val="continue"/>
                  <w:tcBorders>
                    <w:tl2br w:val="nil"/>
                    <w:tr2bl w:val="nil"/>
                  </w:tcBorders>
                  <w:shd w:val="clear" w:color="auto" w:fill="auto"/>
                  <w:vAlign w:val="center"/>
                </w:tcPr>
                <w:p w14:paraId="53960EEE">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3A7013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w:t>
                  </w:r>
                </w:p>
              </w:tc>
              <w:tc>
                <w:tcPr>
                  <w:tcW w:w="899" w:type="dxa"/>
                  <w:tcBorders>
                    <w:tl2br w:val="nil"/>
                    <w:tr2bl w:val="nil"/>
                  </w:tcBorders>
                  <w:shd w:val="clear" w:color="auto" w:fill="auto"/>
                  <w:vAlign w:val="center"/>
                </w:tcPr>
                <w:p w14:paraId="5AB008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2.888 </w:t>
                  </w:r>
                </w:p>
              </w:tc>
              <w:tc>
                <w:tcPr>
                  <w:tcW w:w="912" w:type="dxa"/>
                  <w:tcBorders>
                    <w:tl2br w:val="nil"/>
                    <w:tr2bl w:val="nil"/>
                  </w:tcBorders>
                  <w:shd w:val="clear" w:color="auto" w:fill="auto"/>
                  <w:vAlign w:val="center"/>
                </w:tcPr>
                <w:p w14:paraId="150B09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0.029 </w:t>
                  </w:r>
                </w:p>
              </w:tc>
              <w:tc>
                <w:tcPr>
                  <w:tcW w:w="955" w:type="dxa"/>
                  <w:tcBorders>
                    <w:tl2br w:val="nil"/>
                    <w:tr2bl w:val="nil"/>
                  </w:tcBorders>
                  <w:shd w:val="clear" w:color="auto" w:fill="auto"/>
                  <w:vAlign w:val="center"/>
                </w:tcPr>
                <w:p w14:paraId="29FDEA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0.208 </w:t>
                  </w:r>
                </w:p>
              </w:tc>
              <w:tc>
                <w:tcPr>
                  <w:tcW w:w="672" w:type="dxa"/>
                  <w:vMerge w:val="continue"/>
                  <w:tcBorders>
                    <w:tl2br w:val="nil"/>
                    <w:tr2bl w:val="nil"/>
                  </w:tcBorders>
                  <w:shd w:val="clear" w:color="auto" w:fill="auto"/>
                  <w:vAlign w:val="center"/>
                </w:tcPr>
                <w:p w14:paraId="3A87172F">
                  <w:pPr>
                    <w:jc w:val="center"/>
                    <w:rPr>
                      <w:rFonts w:hint="default" w:ascii="Times New Roman" w:hAnsi="Times New Roman" w:eastAsia="宋体" w:cs="Times New Roman"/>
                      <w:i w:val="0"/>
                      <w:iCs w:val="0"/>
                      <w:color w:val="000000"/>
                      <w:sz w:val="18"/>
                      <w:szCs w:val="18"/>
                      <w:u w:val="none"/>
                    </w:rPr>
                  </w:pPr>
                </w:p>
              </w:tc>
            </w:tr>
            <w:tr w14:paraId="3EC0F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29" w:type="dxa"/>
                  <w:vMerge w:val="continue"/>
                  <w:tcBorders>
                    <w:tl2br w:val="nil"/>
                    <w:tr2bl w:val="nil"/>
                  </w:tcBorders>
                  <w:shd w:val="clear" w:color="auto" w:fill="auto"/>
                  <w:vAlign w:val="center"/>
                </w:tcPr>
                <w:p w14:paraId="573D84A6">
                  <w:pPr>
                    <w:jc w:val="center"/>
                    <w:rPr>
                      <w:rFonts w:hint="default" w:ascii="Times New Roman" w:hAnsi="Times New Roman" w:eastAsia="宋体" w:cs="Times New Roman"/>
                      <w:i w:val="0"/>
                      <w:iCs w:val="0"/>
                      <w:color w:val="000000"/>
                      <w:sz w:val="18"/>
                      <w:szCs w:val="18"/>
                      <w:u w:val="none"/>
                    </w:rPr>
                  </w:pPr>
                </w:p>
              </w:tc>
              <w:tc>
                <w:tcPr>
                  <w:tcW w:w="658" w:type="dxa"/>
                  <w:vMerge w:val="continue"/>
                  <w:tcBorders>
                    <w:tl2br w:val="nil"/>
                    <w:tr2bl w:val="nil"/>
                  </w:tcBorders>
                  <w:shd w:val="clear" w:color="auto" w:fill="auto"/>
                  <w:vAlign w:val="center"/>
                </w:tcPr>
                <w:p w14:paraId="3CA0B5DC">
                  <w:pPr>
                    <w:jc w:val="center"/>
                    <w:rPr>
                      <w:rFonts w:hint="default" w:ascii="Times New Roman" w:hAnsi="Times New Roman" w:eastAsia="宋体" w:cs="Times New Roman"/>
                      <w:i w:val="0"/>
                      <w:iCs w:val="0"/>
                      <w:color w:val="000000"/>
                      <w:sz w:val="18"/>
                      <w:szCs w:val="18"/>
                      <w:u w:val="none"/>
                    </w:rPr>
                  </w:pPr>
                </w:p>
              </w:tc>
              <w:tc>
                <w:tcPr>
                  <w:tcW w:w="1533" w:type="dxa"/>
                  <w:vMerge w:val="continue"/>
                  <w:tcBorders>
                    <w:tl2br w:val="nil"/>
                    <w:tr2bl w:val="nil"/>
                  </w:tcBorders>
                  <w:shd w:val="clear" w:color="auto" w:fill="auto"/>
                  <w:vAlign w:val="center"/>
                </w:tcPr>
                <w:p w14:paraId="4A2B7B5F">
                  <w:pPr>
                    <w:jc w:val="center"/>
                    <w:rPr>
                      <w:rFonts w:hint="default" w:ascii="Times New Roman" w:hAnsi="Times New Roman" w:eastAsia="宋体" w:cs="Times New Roman"/>
                      <w:i w:val="0"/>
                      <w:iCs w:val="0"/>
                      <w:color w:val="000000"/>
                      <w:sz w:val="18"/>
                      <w:szCs w:val="18"/>
                      <w:u w:val="none"/>
                    </w:rPr>
                  </w:pPr>
                </w:p>
              </w:tc>
              <w:tc>
                <w:tcPr>
                  <w:tcW w:w="1333" w:type="dxa"/>
                  <w:tcBorders>
                    <w:tl2br w:val="nil"/>
                    <w:tr2bl w:val="nil"/>
                  </w:tcBorders>
                  <w:shd w:val="clear" w:color="auto" w:fill="auto"/>
                  <w:vAlign w:val="center"/>
                </w:tcPr>
                <w:p w14:paraId="7D463A8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非甲烷总烃</w:t>
                  </w:r>
                </w:p>
              </w:tc>
              <w:tc>
                <w:tcPr>
                  <w:tcW w:w="748" w:type="dxa"/>
                  <w:vMerge w:val="continue"/>
                  <w:tcBorders>
                    <w:tl2br w:val="nil"/>
                    <w:tr2bl w:val="nil"/>
                  </w:tcBorders>
                  <w:shd w:val="clear" w:color="auto" w:fill="auto"/>
                  <w:vAlign w:val="center"/>
                </w:tcPr>
                <w:p w14:paraId="43422930">
                  <w:pPr>
                    <w:jc w:val="center"/>
                    <w:rPr>
                      <w:rFonts w:hint="default" w:ascii="Times New Roman" w:hAnsi="Times New Roman" w:eastAsia="宋体" w:cs="Times New Roman"/>
                      <w:i w:val="0"/>
                      <w:iCs w:val="0"/>
                      <w:color w:val="000000"/>
                      <w:sz w:val="18"/>
                      <w:szCs w:val="18"/>
                      <w:u w:val="none"/>
                    </w:rPr>
                  </w:pPr>
                </w:p>
              </w:tc>
              <w:tc>
                <w:tcPr>
                  <w:tcW w:w="740" w:type="dxa"/>
                  <w:vMerge w:val="continue"/>
                  <w:tcBorders>
                    <w:tl2br w:val="nil"/>
                    <w:tr2bl w:val="nil"/>
                  </w:tcBorders>
                  <w:shd w:val="clear" w:color="auto" w:fill="auto"/>
                  <w:vAlign w:val="center"/>
                </w:tcPr>
                <w:p w14:paraId="1D1DBA3F">
                  <w:pPr>
                    <w:jc w:val="center"/>
                    <w:rPr>
                      <w:rFonts w:hint="default" w:ascii="Times New Roman" w:hAnsi="Times New Roman" w:eastAsia="宋体" w:cs="Times New Roman"/>
                      <w:i w:val="0"/>
                      <w:iCs w:val="0"/>
                      <w:color w:val="000000"/>
                      <w:sz w:val="18"/>
                      <w:szCs w:val="18"/>
                      <w:u w:val="none"/>
                    </w:rPr>
                  </w:pPr>
                </w:p>
              </w:tc>
              <w:tc>
                <w:tcPr>
                  <w:tcW w:w="1216" w:type="dxa"/>
                  <w:tcBorders>
                    <w:tl2br w:val="nil"/>
                    <w:tr2bl w:val="nil"/>
                  </w:tcBorders>
                  <w:shd w:val="clear" w:color="auto" w:fill="auto"/>
                  <w:vAlign w:val="center"/>
                </w:tcPr>
                <w:p w14:paraId="67BF4B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88.735 </w:t>
                  </w:r>
                </w:p>
              </w:tc>
              <w:tc>
                <w:tcPr>
                  <w:tcW w:w="967" w:type="dxa"/>
                  <w:tcBorders>
                    <w:tl2br w:val="nil"/>
                    <w:tr2bl w:val="nil"/>
                  </w:tcBorders>
                  <w:shd w:val="clear" w:color="auto" w:fill="auto"/>
                  <w:vAlign w:val="center"/>
                </w:tcPr>
                <w:p w14:paraId="5D2762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0.887 </w:t>
                  </w:r>
                </w:p>
              </w:tc>
              <w:tc>
                <w:tcPr>
                  <w:tcW w:w="927" w:type="dxa"/>
                  <w:tcBorders>
                    <w:tl2br w:val="nil"/>
                    <w:tr2bl w:val="nil"/>
                  </w:tcBorders>
                  <w:shd w:val="clear" w:color="auto" w:fill="auto"/>
                  <w:vAlign w:val="center"/>
                </w:tcPr>
                <w:p w14:paraId="20ED01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6.389 </w:t>
                  </w:r>
                </w:p>
              </w:tc>
              <w:tc>
                <w:tcPr>
                  <w:tcW w:w="1100" w:type="dxa"/>
                  <w:vMerge w:val="continue"/>
                  <w:tcBorders>
                    <w:tl2br w:val="nil"/>
                    <w:tr2bl w:val="nil"/>
                  </w:tcBorders>
                  <w:shd w:val="clear" w:color="auto" w:fill="auto"/>
                  <w:vAlign w:val="center"/>
                </w:tcPr>
                <w:p w14:paraId="18B5CCB1">
                  <w:pPr>
                    <w:jc w:val="center"/>
                    <w:rPr>
                      <w:rFonts w:hint="default" w:ascii="Times New Roman" w:hAnsi="Times New Roman" w:eastAsia="宋体" w:cs="Times New Roman"/>
                      <w:i w:val="0"/>
                      <w:iCs w:val="0"/>
                      <w:color w:val="000000"/>
                      <w:sz w:val="18"/>
                      <w:szCs w:val="18"/>
                      <w:u w:val="none"/>
                    </w:rPr>
                  </w:pPr>
                </w:p>
              </w:tc>
              <w:tc>
                <w:tcPr>
                  <w:tcW w:w="766" w:type="dxa"/>
                  <w:tcBorders>
                    <w:tl2br w:val="nil"/>
                    <w:tr2bl w:val="nil"/>
                  </w:tcBorders>
                  <w:shd w:val="clear" w:color="auto" w:fill="auto"/>
                  <w:vAlign w:val="center"/>
                </w:tcPr>
                <w:p w14:paraId="54B11A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w:t>
                  </w:r>
                </w:p>
              </w:tc>
              <w:tc>
                <w:tcPr>
                  <w:tcW w:w="899" w:type="dxa"/>
                  <w:tcBorders>
                    <w:tl2br w:val="nil"/>
                    <w:tr2bl w:val="nil"/>
                  </w:tcBorders>
                  <w:shd w:val="clear" w:color="auto" w:fill="auto"/>
                  <w:vAlign w:val="center"/>
                </w:tcPr>
                <w:p w14:paraId="66406A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8.944 </w:t>
                  </w:r>
                </w:p>
              </w:tc>
              <w:tc>
                <w:tcPr>
                  <w:tcW w:w="912" w:type="dxa"/>
                  <w:tcBorders>
                    <w:tl2br w:val="nil"/>
                    <w:tr2bl w:val="nil"/>
                  </w:tcBorders>
                  <w:shd w:val="clear" w:color="auto" w:fill="auto"/>
                  <w:vAlign w:val="center"/>
                </w:tcPr>
                <w:p w14:paraId="4638AF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0.089 </w:t>
                  </w:r>
                </w:p>
              </w:tc>
              <w:tc>
                <w:tcPr>
                  <w:tcW w:w="955" w:type="dxa"/>
                  <w:tcBorders>
                    <w:tl2br w:val="nil"/>
                    <w:tr2bl w:val="nil"/>
                  </w:tcBorders>
                  <w:shd w:val="clear" w:color="auto" w:fill="auto"/>
                  <w:vAlign w:val="center"/>
                </w:tcPr>
                <w:p w14:paraId="24864A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0.639 </w:t>
                  </w:r>
                </w:p>
              </w:tc>
              <w:tc>
                <w:tcPr>
                  <w:tcW w:w="672" w:type="dxa"/>
                  <w:vMerge w:val="continue"/>
                  <w:tcBorders>
                    <w:tl2br w:val="nil"/>
                    <w:tr2bl w:val="nil"/>
                  </w:tcBorders>
                  <w:shd w:val="clear" w:color="auto" w:fill="auto"/>
                  <w:vAlign w:val="center"/>
                </w:tcPr>
                <w:p w14:paraId="72B26FC9">
                  <w:pPr>
                    <w:jc w:val="center"/>
                    <w:rPr>
                      <w:rFonts w:hint="default" w:ascii="Times New Roman" w:hAnsi="Times New Roman" w:eastAsia="宋体" w:cs="Times New Roman"/>
                      <w:i w:val="0"/>
                      <w:iCs w:val="0"/>
                      <w:color w:val="000000"/>
                      <w:sz w:val="18"/>
                      <w:szCs w:val="18"/>
                      <w:u w:val="none"/>
                    </w:rPr>
                  </w:pPr>
                </w:p>
              </w:tc>
            </w:tr>
            <w:tr w14:paraId="31C06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29" w:type="dxa"/>
                  <w:tcBorders>
                    <w:tl2br w:val="nil"/>
                    <w:tr2bl w:val="nil"/>
                  </w:tcBorders>
                  <w:shd w:val="clear" w:color="auto" w:fill="auto"/>
                  <w:vAlign w:val="center"/>
                </w:tcPr>
                <w:p w14:paraId="243C81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4</w:t>
                  </w:r>
                </w:p>
              </w:tc>
              <w:tc>
                <w:tcPr>
                  <w:tcW w:w="658" w:type="dxa"/>
                  <w:vMerge w:val="continue"/>
                  <w:tcBorders>
                    <w:tl2br w:val="nil"/>
                    <w:tr2bl w:val="nil"/>
                  </w:tcBorders>
                  <w:shd w:val="clear" w:color="auto" w:fill="auto"/>
                  <w:vAlign w:val="center"/>
                </w:tcPr>
                <w:p w14:paraId="7CBEA0FF">
                  <w:pPr>
                    <w:jc w:val="center"/>
                    <w:rPr>
                      <w:rFonts w:hint="default" w:ascii="Times New Roman" w:hAnsi="Times New Roman" w:eastAsia="宋体" w:cs="Times New Roman"/>
                      <w:i w:val="0"/>
                      <w:iCs w:val="0"/>
                      <w:color w:val="000000"/>
                      <w:sz w:val="18"/>
                      <w:szCs w:val="18"/>
                      <w:u w:val="none"/>
                    </w:rPr>
                  </w:pPr>
                </w:p>
              </w:tc>
              <w:tc>
                <w:tcPr>
                  <w:tcW w:w="1533" w:type="dxa"/>
                  <w:tcBorders>
                    <w:tl2br w:val="nil"/>
                    <w:tr2bl w:val="nil"/>
                  </w:tcBorders>
                  <w:shd w:val="clear" w:color="auto" w:fill="auto"/>
                  <w:vAlign w:val="center"/>
                </w:tcPr>
                <w:p w14:paraId="222D4F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出炉粉尘、进仓粉尘、筛分粉尘、旋风分离粉尘、风选粉尘、包装粉尘</w:t>
                  </w:r>
                </w:p>
              </w:tc>
              <w:tc>
                <w:tcPr>
                  <w:tcW w:w="1333" w:type="dxa"/>
                  <w:tcBorders>
                    <w:tl2br w:val="nil"/>
                    <w:tr2bl w:val="nil"/>
                  </w:tcBorders>
                  <w:shd w:val="clear" w:color="auto" w:fill="auto"/>
                  <w:vAlign w:val="center"/>
                </w:tcPr>
                <w:p w14:paraId="5FAF0D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颗粒物（含炭黑尘）</w:t>
                  </w:r>
                </w:p>
              </w:tc>
              <w:tc>
                <w:tcPr>
                  <w:tcW w:w="748" w:type="dxa"/>
                  <w:vMerge w:val="continue"/>
                  <w:tcBorders>
                    <w:tl2br w:val="nil"/>
                    <w:tr2bl w:val="nil"/>
                  </w:tcBorders>
                  <w:shd w:val="clear" w:color="auto" w:fill="auto"/>
                  <w:vAlign w:val="center"/>
                </w:tcPr>
                <w:p w14:paraId="02AD140A">
                  <w:pPr>
                    <w:jc w:val="center"/>
                    <w:rPr>
                      <w:rFonts w:hint="default" w:ascii="Times New Roman" w:hAnsi="Times New Roman" w:eastAsia="宋体" w:cs="Times New Roman"/>
                      <w:i w:val="0"/>
                      <w:iCs w:val="0"/>
                      <w:color w:val="000000"/>
                      <w:sz w:val="18"/>
                      <w:szCs w:val="18"/>
                      <w:u w:val="none"/>
                    </w:rPr>
                  </w:pPr>
                </w:p>
              </w:tc>
              <w:tc>
                <w:tcPr>
                  <w:tcW w:w="740" w:type="dxa"/>
                  <w:tcBorders>
                    <w:tl2br w:val="nil"/>
                    <w:tr2bl w:val="nil"/>
                  </w:tcBorders>
                  <w:shd w:val="clear" w:color="auto" w:fill="auto"/>
                  <w:vAlign w:val="center"/>
                </w:tcPr>
                <w:p w14:paraId="78C6FF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13000</w:t>
                  </w:r>
                </w:p>
              </w:tc>
              <w:tc>
                <w:tcPr>
                  <w:tcW w:w="1216" w:type="dxa"/>
                  <w:tcBorders>
                    <w:tl2br w:val="nil"/>
                    <w:tr2bl w:val="nil"/>
                  </w:tcBorders>
                  <w:shd w:val="clear" w:color="auto" w:fill="auto"/>
                  <w:vAlign w:val="center"/>
                </w:tcPr>
                <w:p w14:paraId="73ECAD5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 xml:space="preserve">80.752 </w:t>
                  </w:r>
                </w:p>
              </w:tc>
              <w:tc>
                <w:tcPr>
                  <w:tcW w:w="967" w:type="dxa"/>
                  <w:tcBorders>
                    <w:tl2br w:val="nil"/>
                    <w:tr2bl w:val="nil"/>
                  </w:tcBorders>
                  <w:shd w:val="clear" w:color="auto" w:fill="auto"/>
                  <w:vAlign w:val="center"/>
                </w:tcPr>
                <w:p w14:paraId="34A907B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 xml:space="preserve">1.373 </w:t>
                  </w:r>
                </w:p>
              </w:tc>
              <w:tc>
                <w:tcPr>
                  <w:tcW w:w="927" w:type="dxa"/>
                  <w:tcBorders>
                    <w:tl2br w:val="nil"/>
                    <w:tr2bl w:val="nil"/>
                  </w:tcBorders>
                  <w:shd w:val="clear" w:color="auto" w:fill="auto"/>
                  <w:vAlign w:val="center"/>
                </w:tcPr>
                <w:p w14:paraId="2ED3F84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 xml:space="preserve">9.884 </w:t>
                  </w:r>
                </w:p>
              </w:tc>
              <w:tc>
                <w:tcPr>
                  <w:tcW w:w="1100" w:type="dxa"/>
                  <w:tcBorders>
                    <w:tl2br w:val="nil"/>
                    <w:tr2bl w:val="nil"/>
                  </w:tcBorders>
                  <w:shd w:val="clear" w:color="auto" w:fill="auto"/>
                  <w:vAlign w:val="center"/>
                </w:tcPr>
                <w:p w14:paraId="112BF53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覆膜布袋除尘器</w:t>
                  </w: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水喷淋塔”</w:t>
                  </w:r>
                </w:p>
              </w:tc>
              <w:tc>
                <w:tcPr>
                  <w:tcW w:w="766" w:type="dxa"/>
                  <w:tcBorders>
                    <w:tl2br w:val="nil"/>
                    <w:tr2bl w:val="nil"/>
                  </w:tcBorders>
                  <w:shd w:val="clear" w:color="auto" w:fill="auto"/>
                  <w:vAlign w:val="center"/>
                </w:tcPr>
                <w:p w14:paraId="53A7316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899" w:type="dxa"/>
                  <w:tcBorders>
                    <w:tl2br w:val="nil"/>
                    <w:tr2bl w:val="nil"/>
                  </w:tcBorders>
                  <w:shd w:val="clear" w:color="auto" w:fill="auto"/>
                  <w:vAlign w:val="center"/>
                </w:tcPr>
                <w:p w14:paraId="7D8449D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 xml:space="preserve">1.056 </w:t>
                  </w:r>
                </w:p>
              </w:tc>
              <w:tc>
                <w:tcPr>
                  <w:tcW w:w="912" w:type="dxa"/>
                  <w:tcBorders>
                    <w:tl2br w:val="nil"/>
                    <w:tr2bl w:val="nil"/>
                  </w:tcBorders>
                  <w:shd w:val="clear" w:color="auto" w:fill="auto"/>
                  <w:vAlign w:val="center"/>
                </w:tcPr>
                <w:p w14:paraId="4848417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 xml:space="preserve">0.014 </w:t>
                  </w:r>
                </w:p>
              </w:tc>
              <w:tc>
                <w:tcPr>
                  <w:tcW w:w="955" w:type="dxa"/>
                  <w:tcBorders>
                    <w:tl2br w:val="nil"/>
                    <w:tr2bl w:val="nil"/>
                  </w:tcBorders>
                  <w:shd w:val="clear" w:color="auto" w:fill="auto"/>
                  <w:vAlign w:val="center"/>
                </w:tcPr>
                <w:p w14:paraId="2F247EC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 xml:space="preserve">0.099 </w:t>
                  </w:r>
                </w:p>
              </w:tc>
              <w:tc>
                <w:tcPr>
                  <w:tcW w:w="672" w:type="dxa"/>
                  <w:tcBorders>
                    <w:tl2br w:val="nil"/>
                    <w:tr2bl w:val="nil"/>
                  </w:tcBorders>
                  <w:shd w:val="clear" w:color="auto" w:fill="auto"/>
                  <w:vAlign w:val="center"/>
                </w:tcPr>
                <w:p w14:paraId="5C364E7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DA004</w:t>
                  </w:r>
                </w:p>
              </w:tc>
            </w:tr>
          </w:tbl>
          <w:p w14:paraId="6DE67CDA">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default" w:ascii="Times New Roman" w:hAnsi="Times New Roman" w:cs="Times New Roman"/>
                <w:b/>
                <w:bCs/>
                <w:color w:val="auto"/>
                <w:szCs w:val="21"/>
                <w:lang w:val="en-US"/>
              </w:rPr>
            </w:pPr>
            <w:r>
              <w:rPr>
                <w:rFonts w:hint="default" w:ascii="Times New Roman" w:hAnsi="Times New Roman" w:eastAsia="宋体" w:cs="Times New Roman"/>
                <w:color w:val="auto"/>
                <w:spacing w:val="0"/>
                <w:sz w:val="24"/>
                <w:szCs w:val="28"/>
                <w:lang w:val="en-US" w:eastAsia="zh-CN"/>
              </w:rPr>
              <w:t>本项目属于简化管理排污单位</w:t>
            </w:r>
            <w:r>
              <w:rPr>
                <w:rFonts w:hint="eastAsia" w:cs="Times New Roman"/>
                <w:bCs/>
                <w:color w:val="auto"/>
                <w:spacing w:val="0"/>
                <w:position w:val="0"/>
                <w:sz w:val="24"/>
                <w:lang w:val="en-US" w:eastAsia="zh-CN"/>
              </w:rPr>
              <w:t>，参照</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排污</w:t>
            </w:r>
            <w:r>
              <w:rPr>
                <w:rFonts w:hint="eastAsia" w:ascii="Times New Roman" w:hAnsi="Times New Roman" w:eastAsia="宋体" w:cs="Times New Roman"/>
                <w:b w:val="0"/>
                <w:bCs w:val="0"/>
                <w:color w:val="auto"/>
                <w:kern w:val="0"/>
                <w:sz w:val="24"/>
                <w:szCs w:val="24"/>
                <w:lang w:val="en-US" w:eastAsia="zh-CN"/>
              </w:rPr>
              <w:t xml:space="preserve">许可证申请与核发技术规范 </w:t>
            </w:r>
            <w:r>
              <w:rPr>
                <w:rFonts w:hint="eastAsia" w:cs="Times New Roman"/>
                <w:b w:val="0"/>
                <w:bCs w:val="0"/>
                <w:color w:val="auto"/>
                <w:kern w:val="0"/>
                <w:sz w:val="24"/>
                <w:szCs w:val="24"/>
                <w:lang w:val="en-US" w:eastAsia="zh-CN"/>
              </w:rPr>
              <w:t>废弃资源加工工业</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w:t>
            </w:r>
            <w:r>
              <w:rPr>
                <w:rFonts w:hint="eastAsia" w:ascii="Times New Roman" w:hAnsi="Times New Roman" w:eastAsia="宋体" w:cs="Times New Roman"/>
                <w:b w:val="0"/>
                <w:bCs w:val="0"/>
                <w:color w:val="auto"/>
                <w:kern w:val="0"/>
                <w:sz w:val="24"/>
                <w:szCs w:val="24"/>
                <w:lang w:val="en-US" w:eastAsia="zh-CN"/>
              </w:rPr>
              <w:t>HJ1</w:t>
            </w:r>
            <w:r>
              <w:rPr>
                <w:rFonts w:hint="eastAsia" w:cs="Times New Roman"/>
                <w:b w:val="0"/>
                <w:bCs w:val="0"/>
                <w:color w:val="auto"/>
                <w:kern w:val="0"/>
                <w:sz w:val="24"/>
                <w:szCs w:val="24"/>
                <w:lang w:val="en-US" w:eastAsia="zh-CN"/>
              </w:rPr>
              <w:t>034</w:t>
            </w:r>
            <w:r>
              <w:rPr>
                <w:rFonts w:hint="eastAsia" w:ascii="Times New Roman" w:hAnsi="Times New Roman" w:eastAsia="宋体" w:cs="Times New Roman"/>
                <w:b w:val="0"/>
                <w:bCs w:val="0"/>
                <w:color w:val="auto"/>
                <w:kern w:val="0"/>
                <w:sz w:val="24"/>
                <w:szCs w:val="24"/>
                <w:lang w:val="en-US" w:eastAsia="zh-CN"/>
              </w:rPr>
              <w:t>-20</w:t>
            </w:r>
            <w:r>
              <w:rPr>
                <w:rFonts w:hint="eastAsia" w:cs="Times New Roman"/>
                <w:b w:val="0"/>
                <w:bCs w:val="0"/>
                <w:color w:val="auto"/>
                <w:kern w:val="0"/>
                <w:sz w:val="24"/>
                <w:szCs w:val="24"/>
                <w:lang w:val="en-US" w:eastAsia="zh-CN"/>
              </w:rPr>
              <w:t>19</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“表23废轮胎加工工业排污单位废气产排污环节名称、污染物种类、排放形式及污染防治设施一览表”</w:t>
            </w:r>
            <w:r>
              <w:rPr>
                <w:rFonts w:hint="eastAsia" w:ascii="Times New Roman" w:hAnsi="Times New Roman" w:cs="Times New Roman"/>
                <w:b w:val="0"/>
                <w:bCs w:val="0"/>
                <w:color w:val="auto"/>
                <w:kern w:val="0"/>
                <w:sz w:val="24"/>
                <w:szCs w:val="24"/>
                <w:lang w:val="en-US" w:eastAsia="zh-CN"/>
              </w:rPr>
              <w:t>，DA00</w:t>
            </w:r>
            <w:r>
              <w:rPr>
                <w:rFonts w:hint="eastAsia" w:cs="Times New Roman"/>
                <w:b w:val="0"/>
                <w:bCs w:val="0"/>
                <w:color w:val="auto"/>
                <w:kern w:val="0"/>
                <w:sz w:val="24"/>
                <w:szCs w:val="24"/>
                <w:lang w:val="en-US" w:eastAsia="zh-CN"/>
              </w:rPr>
              <w:t>1</w:t>
            </w:r>
            <w:r>
              <w:rPr>
                <w:rFonts w:hint="eastAsia" w:ascii="Times New Roman" w:hAnsi="Times New Roman" w:cs="Times New Roman"/>
                <w:b w:val="0"/>
                <w:bCs w:val="0"/>
                <w:color w:val="auto"/>
                <w:kern w:val="0"/>
                <w:sz w:val="24"/>
                <w:szCs w:val="24"/>
                <w:lang w:val="en-US" w:eastAsia="zh-CN"/>
              </w:rPr>
              <w:t>和</w:t>
            </w:r>
            <w:r>
              <w:rPr>
                <w:rFonts w:hint="eastAsia" w:cs="Times New Roman"/>
                <w:b w:val="0"/>
                <w:bCs w:val="0"/>
                <w:color w:val="auto"/>
                <w:kern w:val="0"/>
                <w:sz w:val="24"/>
                <w:szCs w:val="24"/>
                <w:lang w:val="en-US" w:eastAsia="zh-CN"/>
              </w:rPr>
              <w:t>DA003</w:t>
            </w:r>
            <w:r>
              <w:rPr>
                <w:rFonts w:hint="eastAsia" w:ascii="Times New Roman" w:hAnsi="Times New Roman" w:cs="Times New Roman"/>
                <w:b w:val="0"/>
                <w:bCs w:val="0"/>
                <w:color w:val="auto"/>
                <w:kern w:val="0"/>
                <w:sz w:val="24"/>
                <w:szCs w:val="24"/>
                <w:lang w:val="en-US" w:eastAsia="zh-CN"/>
              </w:rPr>
              <w:t>为</w:t>
            </w:r>
            <w:r>
              <w:rPr>
                <w:rFonts w:hint="eastAsia" w:cs="Times New Roman"/>
                <w:b w:val="0"/>
                <w:bCs w:val="0"/>
                <w:color w:val="auto"/>
                <w:kern w:val="0"/>
                <w:sz w:val="24"/>
                <w:szCs w:val="24"/>
                <w:lang w:val="en-US" w:eastAsia="zh-CN"/>
              </w:rPr>
              <w:t>主要</w:t>
            </w:r>
            <w:r>
              <w:rPr>
                <w:rFonts w:hint="eastAsia" w:ascii="Times New Roman" w:hAnsi="Times New Roman" w:cs="Times New Roman"/>
                <w:b w:val="0"/>
                <w:bCs w:val="0"/>
                <w:color w:val="auto"/>
                <w:kern w:val="0"/>
                <w:sz w:val="24"/>
                <w:szCs w:val="24"/>
                <w:lang w:val="en-US" w:eastAsia="zh-CN"/>
              </w:rPr>
              <w:t>排放口</w:t>
            </w:r>
            <w:r>
              <w:rPr>
                <w:rFonts w:hint="eastAsia" w:cs="Times New Roman"/>
                <w:b w:val="0"/>
                <w:bCs w:val="0"/>
                <w:color w:val="auto"/>
                <w:kern w:val="0"/>
                <w:sz w:val="24"/>
                <w:szCs w:val="24"/>
                <w:lang w:val="en-US" w:eastAsia="zh-CN"/>
              </w:rPr>
              <w:t>，DA002、DA004为一般排放口。</w:t>
            </w:r>
          </w:p>
          <w:p w14:paraId="12D35CC2">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表4-</w:t>
            </w:r>
            <w:r>
              <w:rPr>
                <w:rFonts w:hint="eastAsia" w:cs="Times New Roman"/>
                <w:b/>
                <w:bCs/>
                <w:color w:val="auto"/>
                <w:szCs w:val="21"/>
                <w:lang w:val="en-US" w:eastAsia="zh-CN"/>
              </w:rPr>
              <w:t>16</w:t>
            </w:r>
            <w:r>
              <w:rPr>
                <w:rFonts w:hint="default" w:ascii="Times New Roman" w:hAnsi="Times New Roman" w:cs="Times New Roman"/>
                <w:b/>
                <w:bCs/>
                <w:color w:val="auto"/>
                <w:szCs w:val="21"/>
              </w:rPr>
              <w:t xml:space="preserve">  项目废气产排污节点、污染物种类及污染防治设施一览表</w:t>
            </w:r>
          </w:p>
          <w:tbl>
            <w:tblPr>
              <w:tblStyle w:val="26"/>
              <w:tblW w:w="14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13"/>
              <w:gridCol w:w="693"/>
              <w:gridCol w:w="2041"/>
              <w:gridCol w:w="1598"/>
              <w:gridCol w:w="744"/>
              <w:gridCol w:w="1152"/>
              <w:gridCol w:w="768"/>
              <w:gridCol w:w="980"/>
              <w:gridCol w:w="1112"/>
              <w:gridCol w:w="914"/>
              <w:gridCol w:w="1007"/>
              <w:gridCol w:w="914"/>
              <w:gridCol w:w="834"/>
              <w:gridCol w:w="800"/>
            </w:tblGrid>
            <w:tr w14:paraId="0A9FE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restart"/>
                  <w:tcBorders>
                    <w:tl2br w:val="nil"/>
                    <w:tr2bl w:val="nil"/>
                  </w:tcBorders>
                  <w:shd w:val="clear" w:color="auto" w:fill="auto"/>
                  <w:vAlign w:val="center"/>
                </w:tcPr>
                <w:p w14:paraId="5757DF6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序号</w:t>
                  </w:r>
                </w:p>
              </w:tc>
              <w:tc>
                <w:tcPr>
                  <w:tcW w:w="693" w:type="dxa"/>
                  <w:vMerge w:val="restart"/>
                  <w:tcBorders>
                    <w:tl2br w:val="nil"/>
                    <w:tr2bl w:val="nil"/>
                  </w:tcBorders>
                  <w:shd w:val="clear" w:color="auto" w:fill="auto"/>
                  <w:vAlign w:val="center"/>
                </w:tcPr>
                <w:p w14:paraId="02FDA72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生产区</w:t>
                  </w:r>
                </w:p>
              </w:tc>
              <w:tc>
                <w:tcPr>
                  <w:tcW w:w="2041" w:type="dxa"/>
                  <w:vMerge w:val="restart"/>
                  <w:tcBorders>
                    <w:tl2br w:val="nil"/>
                    <w:tr2bl w:val="nil"/>
                  </w:tcBorders>
                  <w:shd w:val="clear" w:color="auto" w:fill="auto"/>
                  <w:vAlign w:val="center"/>
                </w:tcPr>
                <w:p w14:paraId="5907FC3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废气类型</w:t>
                  </w:r>
                </w:p>
              </w:tc>
              <w:tc>
                <w:tcPr>
                  <w:tcW w:w="1598" w:type="dxa"/>
                  <w:vMerge w:val="restart"/>
                  <w:tcBorders>
                    <w:tl2br w:val="nil"/>
                    <w:tr2bl w:val="nil"/>
                  </w:tcBorders>
                  <w:shd w:val="clear" w:color="auto" w:fill="auto"/>
                  <w:vAlign w:val="center"/>
                </w:tcPr>
                <w:p w14:paraId="0B99A3F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污染物种类</w:t>
                  </w:r>
                </w:p>
              </w:tc>
              <w:tc>
                <w:tcPr>
                  <w:tcW w:w="744" w:type="dxa"/>
                  <w:vMerge w:val="restart"/>
                  <w:tcBorders>
                    <w:tl2br w:val="nil"/>
                    <w:tr2bl w:val="nil"/>
                  </w:tcBorders>
                  <w:shd w:val="clear" w:color="auto" w:fill="auto"/>
                  <w:vAlign w:val="center"/>
                </w:tcPr>
                <w:p w14:paraId="247EEEE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排放形式</w:t>
                  </w:r>
                </w:p>
              </w:tc>
              <w:tc>
                <w:tcPr>
                  <w:tcW w:w="1920" w:type="dxa"/>
                  <w:gridSpan w:val="2"/>
                  <w:tcBorders>
                    <w:tl2br w:val="nil"/>
                    <w:tr2bl w:val="nil"/>
                  </w:tcBorders>
                  <w:shd w:val="clear" w:color="auto" w:fill="auto"/>
                  <w:vAlign w:val="center"/>
                </w:tcPr>
                <w:p w14:paraId="2F3DD12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污染收集措施</w:t>
                  </w:r>
                </w:p>
              </w:tc>
              <w:tc>
                <w:tcPr>
                  <w:tcW w:w="4013" w:type="dxa"/>
                  <w:gridSpan w:val="4"/>
                  <w:tcBorders>
                    <w:tl2br w:val="nil"/>
                    <w:tr2bl w:val="nil"/>
                  </w:tcBorders>
                  <w:shd w:val="clear" w:color="auto" w:fill="auto"/>
                  <w:vAlign w:val="center"/>
                </w:tcPr>
                <w:p w14:paraId="38BBD3F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污染治理设施</w:t>
                  </w:r>
                </w:p>
              </w:tc>
              <w:tc>
                <w:tcPr>
                  <w:tcW w:w="914" w:type="dxa"/>
                  <w:vMerge w:val="restart"/>
                  <w:tcBorders>
                    <w:tl2br w:val="nil"/>
                    <w:tr2bl w:val="nil"/>
                  </w:tcBorders>
                  <w:shd w:val="clear" w:color="auto" w:fill="auto"/>
                  <w:vAlign w:val="center"/>
                </w:tcPr>
                <w:p w14:paraId="713A8B4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有组织排放口名称</w:t>
                  </w:r>
                </w:p>
              </w:tc>
              <w:tc>
                <w:tcPr>
                  <w:tcW w:w="834" w:type="dxa"/>
                  <w:vMerge w:val="restart"/>
                  <w:tcBorders>
                    <w:tl2br w:val="nil"/>
                    <w:tr2bl w:val="nil"/>
                  </w:tcBorders>
                  <w:shd w:val="clear" w:color="auto" w:fill="auto"/>
                  <w:vAlign w:val="center"/>
                </w:tcPr>
                <w:p w14:paraId="5128292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有组织排放口编号</w:t>
                  </w:r>
                </w:p>
              </w:tc>
              <w:tc>
                <w:tcPr>
                  <w:tcW w:w="800" w:type="dxa"/>
                  <w:vMerge w:val="restart"/>
                  <w:tcBorders>
                    <w:tl2br w:val="nil"/>
                    <w:tr2bl w:val="nil"/>
                  </w:tcBorders>
                  <w:shd w:val="clear" w:color="auto" w:fill="auto"/>
                  <w:vAlign w:val="center"/>
                </w:tcPr>
                <w:p w14:paraId="58675B7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排放口类型</w:t>
                  </w:r>
                </w:p>
              </w:tc>
            </w:tr>
            <w:tr w14:paraId="0C609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16758775">
                  <w:pPr>
                    <w:jc w:val="center"/>
                    <w:rPr>
                      <w:rFonts w:hint="default" w:ascii="Times New Roman" w:hAnsi="Times New Roman" w:eastAsia="宋体" w:cs="Times New Roman"/>
                      <w:b/>
                      <w:bCs/>
                      <w:i w:val="0"/>
                      <w:iCs w:val="0"/>
                      <w:color w:val="000000"/>
                      <w:sz w:val="18"/>
                      <w:szCs w:val="18"/>
                      <w:u w:val="none"/>
                    </w:rPr>
                  </w:pPr>
                </w:p>
              </w:tc>
              <w:tc>
                <w:tcPr>
                  <w:tcW w:w="693" w:type="dxa"/>
                  <w:vMerge w:val="continue"/>
                  <w:tcBorders>
                    <w:tl2br w:val="nil"/>
                    <w:tr2bl w:val="nil"/>
                  </w:tcBorders>
                  <w:shd w:val="clear" w:color="auto" w:fill="auto"/>
                  <w:vAlign w:val="center"/>
                </w:tcPr>
                <w:p w14:paraId="111DBC5B">
                  <w:pPr>
                    <w:jc w:val="center"/>
                    <w:rPr>
                      <w:rFonts w:hint="default" w:ascii="Times New Roman" w:hAnsi="Times New Roman" w:eastAsia="宋体" w:cs="Times New Roman"/>
                      <w:b/>
                      <w:bCs/>
                      <w:i w:val="0"/>
                      <w:iCs w:val="0"/>
                      <w:color w:val="000000"/>
                      <w:sz w:val="18"/>
                      <w:szCs w:val="18"/>
                      <w:u w:val="none"/>
                    </w:rPr>
                  </w:pPr>
                </w:p>
              </w:tc>
              <w:tc>
                <w:tcPr>
                  <w:tcW w:w="2041" w:type="dxa"/>
                  <w:vMerge w:val="continue"/>
                  <w:tcBorders>
                    <w:tl2br w:val="nil"/>
                    <w:tr2bl w:val="nil"/>
                  </w:tcBorders>
                  <w:shd w:val="clear" w:color="auto" w:fill="auto"/>
                  <w:vAlign w:val="center"/>
                </w:tcPr>
                <w:p w14:paraId="4ABE7DBF">
                  <w:pPr>
                    <w:jc w:val="center"/>
                    <w:rPr>
                      <w:rFonts w:hint="default" w:ascii="Times New Roman" w:hAnsi="Times New Roman" w:eastAsia="宋体" w:cs="Times New Roman"/>
                      <w:b/>
                      <w:bCs/>
                      <w:i w:val="0"/>
                      <w:iCs w:val="0"/>
                      <w:color w:val="000000"/>
                      <w:sz w:val="18"/>
                      <w:szCs w:val="18"/>
                      <w:u w:val="none"/>
                    </w:rPr>
                  </w:pPr>
                </w:p>
              </w:tc>
              <w:tc>
                <w:tcPr>
                  <w:tcW w:w="1598" w:type="dxa"/>
                  <w:vMerge w:val="continue"/>
                  <w:tcBorders>
                    <w:tl2br w:val="nil"/>
                    <w:tr2bl w:val="nil"/>
                  </w:tcBorders>
                  <w:shd w:val="clear" w:color="auto" w:fill="auto"/>
                  <w:vAlign w:val="center"/>
                </w:tcPr>
                <w:p w14:paraId="0A8D8715">
                  <w:pPr>
                    <w:jc w:val="center"/>
                    <w:rPr>
                      <w:rFonts w:hint="default" w:ascii="Times New Roman" w:hAnsi="Times New Roman" w:eastAsia="宋体" w:cs="Times New Roman"/>
                      <w:b/>
                      <w:bCs/>
                      <w:i w:val="0"/>
                      <w:iCs w:val="0"/>
                      <w:color w:val="000000"/>
                      <w:sz w:val="18"/>
                      <w:szCs w:val="18"/>
                      <w:u w:val="none"/>
                    </w:rPr>
                  </w:pPr>
                </w:p>
              </w:tc>
              <w:tc>
                <w:tcPr>
                  <w:tcW w:w="744" w:type="dxa"/>
                  <w:vMerge w:val="continue"/>
                  <w:tcBorders>
                    <w:tl2br w:val="nil"/>
                    <w:tr2bl w:val="nil"/>
                  </w:tcBorders>
                  <w:shd w:val="clear" w:color="auto" w:fill="auto"/>
                  <w:vAlign w:val="center"/>
                </w:tcPr>
                <w:p w14:paraId="3CA37E04">
                  <w:pPr>
                    <w:jc w:val="center"/>
                    <w:rPr>
                      <w:rFonts w:hint="default" w:ascii="Times New Roman" w:hAnsi="Times New Roman" w:eastAsia="宋体" w:cs="Times New Roman"/>
                      <w:b/>
                      <w:bCs/>
                      <w:i w:val="0"/>
                      <w:iCs w:val="0"/>
                      <w:color w:val="000000"/>
                      <w:sz w:val="18"/>
                      <w:szCs w:val="18"/>
                      <w:u w:val="none"/>
                    </w:rPr>
                  </w:pPr>
                </w:p>
              </w:tc>
              <w:tc>
                <w:tcPr>
                  <w:tcW w:w="1152" w:type="dxa"/>
                  <w:tcBorders>
                    <w:tl2br w:val="nil"/>
                    <w:tr2bl w:val="nil"/>
                  </w:tcBorders>
                  <w:shd w:val="clear" w:color="auto" w:fill="auto"/>
                  <w:vAlign w:val="center"/>
                </w:tcPr>
                <w:p w14:paraId="4A41461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收集措施</w:t>
                  </w:r>
                </w:p>
              </w:tc>
              <w:tc>
                <w:tcPr>
                  <w:tcW w:w="768" w:type="dxa"/>
                  <w:tcBorders>
                    <w:tl2br w:val="nil"/>
                    <w:tr2bl w:val="nil"/>
                  </w:tcBorders>
                  <w:shd w:val="clear" w:color="auto" w:fill="auto"/>
                  <w:vAlign w:val="center"/>
                </w:tcPr>
                <w:p w14:paraId="439EED1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收集效率（%）</w:t>
                  </w:r>
                </w:p>
              </w:tc>
              <w:tc>
                <w:tcPr>
                  <w:tcW w:w="980" w:type="dxa"/>
                  <w:tcBorders>
                    <w:tl2br w:val="nil"/>
                    <w:tr2bl w:val="nil"/>
                  </w:tcBorders>
                  <w:shd w:val="clear" w:color="auto" w:fill="auto"/>
                  <w:vAlign w:val="center"/>
                </w:tcPr>
                <w:p w14:paraId="3311398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污染治理设施编号</w:t>
                  </w:r>
                </w:p>
              </w:tc>
              <w:tc>
                <w:tcPr>
                  <w:tcW w:w="1112" w:type="dxa"/>
                  <w:tcBorders>
                    <w:tl2br w:val="nil"/>
                    <w:tr2bl w:val="nil"/>
                  </w:tcBorders>
                  <w:shd w:val="clear" w:color="auto" w:fill="auto"/>
                  <w:vAlign w:val="center"/>
                </w:tcPr>
                <w:p w14:paraId="7716E8F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污染治理设施名称</w:t>
                  </w:r>
                </w:p>
              </w:tc>
              <w:tc>
                <w:tcPr>
                  <w:tcW w:w="914" w:type="dxa"/>
                  <w:tcBorders>
                    <w:tl2br w:val="nil"/>
                    <w:tr2bl w:val="nil"/>
                  </w:tcBorders>
                  <w:shd w:val="clear" w:color="auto" w:fill="auto"/>
                  <w:vAlign w:val="center"/>
                </w:tcPr>
                <w:p w14:paraId="5CB83E4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处理效率（%）</w:t>
                  </w:r>
                </w:p>
              </w:tc>
              <w:tc>
                <w:tcPr>
                  <w:tcW w:w="1007" w:type="dxa"/>
                  <w:tcBorders>
                    <w:tl2br w:val="nil"/>
                    <w:tr2bl w:val="nil"/>
                  </w:tcBorders>
                  <w:shd w:val="clear" w:color="auto" w:fill="auto"/>
                  <w:vAlign w:val="center"/>
                </w:tcPr>
                <w:p w14:paraId="78263F0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是否为可行技术</w:t>
                  </w:r>
                </w:p>
              </w:tc>
              <w:tc>
                <w:tcPr>
                  <w:tcW w:w="914" w:type="dxa"/>
                  <w:vMerge w:val="continue"/>
                  <w:tcBorders>
                    <w:tl2br w:val="nil"/>
                    <w:tr2bl w:val="nil"/>
                  </w:tcBorders>
                  <w:shd w:val="clear" w:color="auto" w:fill="auto"/>
                  <w:vAlign w:val="center"/>
                </w:tcPr>
                <w:p w14:paraId="27AE8C5A">
                  <w:pPr>
                    <w:jc w:val="center"/>
                    <w:rPr>
                      <w:rFonts w:hint="default" w:ascii="Times New Roman" w:hAnsi="Times New Roman" w:eastAsia="宋体" w:cs="Times New Roman"/>
                      <w:b/>
                      <w:bCs/>
                      <w:i w:val="0"/>
                      <w:iCs w:val="0"/>
                      <w:color w:val="000000"/>
                      <w:sz w:val="18"/>
                      <w:szCs w:val="18"/>
                      <w:u w:val="none"/>
                    </w:rPr>
                  </w:pPr>
                </w:p>
              </w:tc>
              <w:tc>
                <w:tcPr>
                  <w:tcW w:w="834" w:type="dxa"/>
                  <w:vMerge w:val="continue"/>
                  <w:tcBorders>
                    <w:tl2br w:val="nil"/>
                    <w:tr2bl w:val="nil"/>
                  </w:tcBorders>
                  <w:shd w:val="clear" w:color="auto" w:fill="auto"/>
                  <w:vAlign w:val="center"/>
                </w:tcPr>
                <w:p w14:paraId="33C85B45">
                  <w:pPr>
                    <w:jc w:val="center"/>
                    <w:rPr>
                      <w:rFonts w:hint="default" w:ascii="Times New Roman" w:hAnsi="Times New Roman" w:eastAsia="宋体" w:cs="Times New Roman"/>
                      <w:b/>
                      <w:bCs/>
                      <w:i w:val="0"/>
                      <w:iCs w:val="0"/>
                      <w:color w:val="000000"/>
                      <w:sz w:val="18"/>
                      <w:szCs w:val="18"/>
                      <w:u w:val="none"/>
                    </w:rPr>
                  </w:pPr>
                </w:p>
              </w:tc>
              <w:tc>
                <w:tcPr>
                  <w:tcW w:w="800" w:type="dxa"/>
                  <w:vMerge w:val="continue"/>
                  <w:tcBorders>
                    <w:tl2br w:val="nil"/>
                    <w:tr2bl w:val="nil"/>
                  </w:tcBorders>
                  <w:shd w:val="clear" w:color="auto" w:fill="auto"/>
                  <w:vAlign w:val="center"/>
                </w:tcPr>
                <w:p w14:paraId="4C53E679">
                  <w:pPr>
                    <w:jc w:val="center"/>
                    <w:rPr>
                      <w:rFonts w:hint="default" w:ascii="Times New Roman" w:hAnsi="Times New Roman" w:eastAsia="宋体" w:cs="Times New Roman"/>
                      <w:b/>
                      <w:bCs/>
                      <w:i w:val="0"/>
                      <w:iCs w:val="0"/>
                      <w:color w:val="000000"/>
                      <w:sz w:val="18"/>
                      <w:szCs w:val="18"/>
                      <w:u w:val="none"/>
                    </w:rPr>
                  </w:pPr>
                </w:p>
              </w:tc>
            </w:tr>
            <w:tr w14:paraId="6AF55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90" w:hRule="atLeast"/>
                <w:jc w:val="center"/>
              </w:trPr>
              <w:tc>
                <w:tcPr>
                  <w:tcW w:w="513" w:type="dxa"/>
                  <w:vMerge w:val="restart"/>
                  <w:tcBorders>
                    <w:tl2br w:val="nil"/>
                    <w:tr2bl w:val="nil"/>
                  </w:tcBorders>
                  <w:shd w:val="clear" w:color="auto" w:fill="auto"/>
                  <w:vAlign w:val="center"/>
                </w:tcPr>
                <w:p w14:paraId="1DD79EC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93" w:type="dxa"/>
                  <w:vMerge w:val="restart"/>
                  <w:tcBorders>
                    <w:tl2br w:val="nil"/>
                    <w:tr2bl w:val="nil"/>
                  </w:tcBorders>
                  <w:shd w:val="clear" w:color="auto" w:fill="auto"/>
                  <w:vAlign w:val="center"/>
                </w:tcPr>
                <w:p w14:paraId="625F79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1#热解分选生产区</w:t>
                  </w:r>
                </w:p>
              </w:tc>
              <w:tc>
                <w:tcPr>
                  <w:tcW w:w="2041" w:type="dxa"/>
                  <w:vMerge w:val="restart"/>
                  <w:tcBorders>
                    <w:tl2br w:val="nil"/>
                    <w:tr2bl w:val="nil"/>
                  </w:tcBorders>
                  <w:shd w:val="clear" w:color="auto" w:fill="auto"/>
                  <w:vAlign w:val="center"/>
                </w:tcPr>
                <w:p w14:paraId="1EC23E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热解炉尾气、燃烧室不凝气燃烧废气、清洗炉燃烧烟气、烘干炉燃烧烟气、油罐呼吸气</w:t>
                  </w:r>
                </w:p>
              </w:tc>
              <w:tc>
                <w:tcPr>
                  <w:tcW w:w="1598" w:type="dxa"/>
                  <w:tcBorders>
                    <w:tl2br w:val="nil"/>
                    <w:tr2bl w:val="nil"/>
                  </w:tcBorders>
                  <w:shd w:val="clear" w:color="auto" w:fill="auto"/>
                  <w:vAlign w:val="center"/>
                </w:tcPr>
                <w:p w14:paraId="3D0A0A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二氧化硫</w:t>
                  </w:r>
                </w:p>
              </w:tc>
              <w:tc>
                <w:tcPr>
                  <w:tcW w:w="744" w:type="dxa"/>
                  <w:vMerge w:val="restart"/>
                  <w:tcBorders>
                    <w:tl2br w:val="nil"/>
                    <w:tr2bl w:val="nil"/>
                  </w:tcBorders>
                  <w:shd w:val="clear" w:color="auto" w:fill="auto"/>
                  <w:vAlign w:val="center"/>
                </w:tcPr>
                <w:p w14:paraId="5D2000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有组织</w:t>
                  </w:r>
                </w:p>
              </w:tc>
              <w:tc>
                <w:tcPr>
                  <w:tcW w:w="1152" w:type="dxa"/>
                  <w:vMerge w:val="restart"/>
                  <w:tcBorders>
                    <w:tl2br w:val="nil"/>
                    <w:tr2bl w:val="nil"/>
                  </w:tcBorders>
                  <w:shd w:val="clear" w:color="auto" w:fill="auto"/>
                  <w:vAlign w:val="center"/>
                </w:tcPr>
                <w:p w14:paraId="53B3DF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密闭管道收集</w:t>
                  </w:r>
                  <w:r>
                    <w:rPr>
                      <w:rFonts w:hint="eastAsia" w:ascii="Times New Roman" w:hAnsi="Times New Roman" w:eastAsia="宋体" w:cs="Times New Roman"/>
                      <w:i w:val="0"/>
                      <w:iCs w:val="0"/>
                      <w:color w:val="000000"/>
                      <w:kern w:val="0"/>
                      <w:sz w:val="18"/>
                      <w:szCs w:val="18"/>
                      <w:u w:val="none"/>
                      <w:lang w:val="en-US" w:eastAsia="zh-CN" w:bidi="ar"/>
                    </w:rPr>
                    <w:t>/集气罩收集</w:t>
                  </w:r>
                </w:p>
              </w:tc>
              <w:tc>
                <w:tcPr>
                  <w:tcW w:w="768" w:type="dxa"/>
                  <w:vMerge w:val="restart"/>
                  <w:tcBorders>
                    <w:tl2br w:val="nil"/>
                    <w:tr2bl w:val="nil"/>
                  </w:tcBorders>
                  <w:shd w:val="clear" w:color="auto" w:fill="auto"/>
                  <w:vAlign w:val="center"/>
                </w:tcPr>
                <w:p w14:paraId="692AF0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eastAsia" w:ascii="Times New Roman" w:hAnsi="Times New Roman" w:eastAsia="宋体" w:cs="Times New Roman"/>
                      <w:i w:val="0"/>
                      <w:iCs w:val="0"/>
                      <w:color w:val="000000"/>
                      <w:kern w:val="0"/>
                      <w:sz w:val="18"/>
                      <w:szCs w:val="18"/>
                      <w:u w:val="none"/>
                      <w:lang w:val="en-US" w:eastAsia="zh-CN" w:bidi="ar"/>
                    </w:rPr>
                    <w:t>热解炉99%</w:t>
                  </w:r>
                  <w:r>
                    <w:rPr>
                      <w:rFonts w:hint="eastAsia" w:cs="Times New Roman"/>
                      <w:i w:val="0"/>
                      <w:iCs w:val="0"/>
                      <w:color w:val="000000"/>
                      <w:kern w:val="0"/>
                      <w:sz w:val="18"/>
                      <w:szCs w:val="18"/>
                      <w:u w:val="none"/>
                      <w:lang w:val="en-US" w:eastAsia="zh-CN" w:bidi="ar"/>
                    </w:rPr>
                    <w:t>；</w:t>
                  </w:r>
                  <w:r>
                    <w:rPr>
                      <w:rFonts w:hint="eastAsia" w:ascii="Times New Roman" w:hAnsi="Times New Roman" w:eastAsia="宋体" w:cs="Times New Roman"/>
                      <w:i w:val="0"/>
                      <w:iCs w:val="0"/>
                      <w:color w:val="000000"/>
                      <w:kern w:val="0"/>
                      <w:sz w:val="18"/>
                      <w:szCs w:val="18"/>
                      <w:u w:val="none"/>
                      <w:lang w:val="en-US" w:eastAsia="zh-CN" w:bidi="ar"/>
                    </w:rPr>
                    <w:t>其他100%</w:t>
                  </w:r>
                </w:p>
              </w:tc>
              <w:tc>
                <w:tcPr>
                  <w:tcW w:w="980" w:type="dxa"/>
                  <w:vMerge w:val="restart"/>
                  <w:tcBorders>
                    <w:tl2br w:val="nil"/>
                    <w:tr2bl w:val="nil"/>
                  </w:tcBorders>
                  <w:shd w:val="clear" w:color="auto" w:fill="auto"/>
                  <w:vAlign w:val="center"/>
                </w:tcPr>
                <w:p w14:paraId="0039C9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TA001</w:t>
                  </w:r>
                </w:p>
              </w:tc>
              <w:tc>
                <w:tcPr>
                  <w:tcW w:w="1112" w:type="dxa"/>
                  <w:vMerge w:val="restart"/>
                  <w:tcBorders>
                    <w:tl2br w:val="nil"/>
                    <w:tr2bl w:val="nil"/>
                  </w:tcBorders>
                  <w:shd w:val="clear" w:color="auto" w:fill="auto"/>
                  <w:vAlign w:val="center"/>
                </w:tcPr>
                <w:p w14:paraId="4672EE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r>
                    <w:rPr>
                      <w:rFonts w:hint="eastAsia" w:cs="Times New Roman"/>
                      <w:i w:val="0"/>
                      <w:iCs w:val="0"/>
                      <w:color w:val="000000"/>
                      <w:kern w:val="0"/>
                      <w:sz w:val="18"/>
                      <w:szCs w:val="18"/>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18"/>
                      <w:szCs w:val="18"/>
                      <w:u w:val="none"/>
                      <w:lang w:val="en-US" w:eastAsia="zh-CN" w:bidi="ar"/>
                    </w:rPr>
                    <w:t>”</w:t>
                  </w:r>
                </w:p>
              </w:tc>
              <w:tc>
                <w:tcPr>
                  <w:tcW w:w="914" w:type="dxa"/>
                  <w:tcBorders>
                    <w:tl2br w:val="nil"/>
                    <w:tr2bl w:val="nil"/>
                  </w:tcBorders>
                  <w:shd w:val="clear" w:color="auto" w:fill="auto"/>
                  <w:vAlign w:val="center"/>
                </w:tcPr>
                <w:p w14:paraId="46F0A7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p>
              </w:tc>
              <w:tc>
                <w:tcPr>
                  <w:tcW w:w="1007" w:type="dxa"/>
                  <w:vMerge w:val="restart"/>
                  <w:tcBorders>
                    <w:tl2br w:val="nil"/>
                    <w:tr2bl w:val="nil"/>
                  </w:tcBorders>
                  <w:shd w:val="clear" w:color="auto" w:fill="auto"/>
                  <w:vAlign w:val="center"/>
                </w:tcPr>
                <w:p w14:paraId="7571AE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是</w:t>
                  </w:r>
                </w:p>
              </w:tc>
              <w:tc>
                <w:tcPr>
                  <w:tcW w:w="914" w:type="dxa"/>
                  <w:vMerge w:val="restart"/>
                  <w:tcBorders>
                    <w:tl2br w:val="nil"/>
                    <w:tr2bl w:val="nil"/>
                  </w:tcBorders>
                  <w:shd w:val="clear" w:color="auto" w:fill="auto"/>
                  <w:vAlign w:val="center"/>
                </w:tcPr>
                <w:p w14:paraId="7C8C42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1#排放口</w:t>
                  </w:r>
                </w:p>
              </w:tc>
              <w:tc>
                <w:tcPr>
                  <w:tcW w:w="834" w:type="dxa"/>
                  <w:vMerge w:val="restart"/>
                  <w:tcBorders>
                    <w:tl2br w:val="nil"/>
                    <w:tr2bl w:val="nil"/>
                  </w:tcBorders>
                  <w:shd w:val="clear" w:color="auto" w:fill="auto"/>
                  <w:vAlign w:val="center"/>
                </w:tcPr>
                <w:p w14:paraId="1AAC17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DA001</w:t>
                  </w:r>
                </w:p>
              </w:tc>
              <w:tc>
                <w:tcPr>
                  <w:tcW w:w="800" w:type="dxa"/>
                  <w:vMerge w:val="restart"/>
                  <w:tcBorders>
                    <w:tl2br w:val="nil"/>
                    <w:tr2bl w:val="nil"/>
                  </w:tcBorders>
                  <w:shd w:val="clear" w:color="auto" w:fill="auto"/>
                  <w:vAlign w:val="center"/>
                </w:tcPr>
                <w:p w14:paraId="4EA43D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主要排放口</w:t>
                  </w:r>
                </w:p>
              </w:tc>
            </w:tr>
            <w:tr w14:paraId="6284D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63D9F599">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07003CB6">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3DAD48B6">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5DB84C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氮氧化物</w:t>
                  </w:r>
                </w:p>
              </w:tc>
              <w:tc>
                <w:tcPr>
                  <w:tcW w:w="744" w:type="dxa"/>
                  <w:vMerge w:val="continue"/>
                  <w:tcBorders>
                    <w:tl2br w:val="nil"/>
                    <w:tr2bl w:val="nil"/>
                  </w:tcBorders>
                  <w:shd w:val="clear" w:color="auto" w:fill="auto"/>
                  <w:vAlign w:val="center"/>
                </w:tcPr>
                <w:p w14:paraId="0F778381">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075F6DC3">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3D7CA2EE">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45FB63A1">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6E161ABE">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5C187F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p>
              </w:tc>
              <w:tc>
                <w:tcPr>
                  <w:tcW w:w="1007" w:type="dxa"/>
                  <w:vMerge w:val="continue"/>
                  <w:tcBorders>
                    <w:tl2br w:val="nil"/>
                    <w:tr2bl w:val="nil"/>
                  </w:tcBorders>
                  <w:shd w:val="clear" w:color="auto" w:fill="auto"/>
                  <w:vAlign w:val="center"/>
                </w:tcPr>
                <w:p w14:paraId="7A9EE0CA">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44645A19">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5E55AC59">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7732CF96">
                  <w:pPr>
                    <w:jc w:val="center"/>
                    <w:rPr>
                      <w:rFonts w:hint="default" w:ascii="Times New Roman" w:hAnsi="Times New Roman" w:eastAsia="宋体" w:cs="Times New Roman"/>
                      <w:i w:val="0"/>
                      <w:iCs w:val="0"/>
                      <w:color w:val="000000"/>
                      <w:sz w:val="18"/>
                      <w:szCs w:val="18"/>
                      <w:u w:val="none"/>
                    </w:rPr>
                  </w:pPr>
                </w:p>
              </w:tc>
            </w:tr>
            <w:tr w14:paraId="51F57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4784EFE7">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179B230C">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77951B6F">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457BA7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w:t>
                  </w:r>
                  <w:r>
                    <w:rPr>
                      <w:rFonts w:hint="eastAsia" w:cs="Times New Roman"/>
                      <w:i w:val="0"/>
                      <w:iCs w:val="0"/>
                      <w:color w:val="000000"/>
                      <w:kern w:val="0"/>
                      <w:sz w:val="18"/>
                      <w:szCs w:val="18"/>
                      <w:u w:val="none"/>
                      <w:lang w:val="en-US" w:eastAsia="zh-CN" w:bidi="ar"/>
                    </w:rPr>
                    <w:t>含炭黑尘、铜、锡等</w:t>
                  </w:r>
                  <w:r>
                    <w:rPr>
                      <w:rFonts w:hint="default" w:ascii="Times New Roman" w:hAnsi="Times New Roman" w:eastAsia="宋体" w:cs="Times New Roman"/>
                      <w:i w:val="0"/>
                      <w:iCs w:val="0"/>
                      <w:color w:val="000000"/>
                      <w:kern w:val="0"/>
                      <w:sz w:val="18"/>
                      <w:szCs w:val="18"/>
                      <w:u w:val="none"/>
                      <w:lang w:val="en-US" w:eastAsia="zh-CN" w:bidi="ar"/>
                    </w:rPr>
                    <w:t>）</w:t>
                  </w:r>
                </w:p>
              </w:tc>
              <w:tc>
                <w:tcPr>
                  <w:tcW w:w="744" w:type="dxa"/>
                  <w:vMerge w:val="continue"/>
                  <w:tcBorders>
                    <w:tl2br w:val="nil"/>
                    <w:tr2bl w:val="nil"/>
                  </w:tcBorders>
                  <w:shd w:val="clear" w:color="auto" w:fill="auto"/>
                  <w:vAlign w:val="center"/>
                </w:tcPr>
                <w:p w14:paraId="342CE76A">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64E63884">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365FF285">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31905D0C">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37381379">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72C0FE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1007" w:type="dxa"/>
                  <w:vMerge w:val="continue"/>
                  <w:tcBorders>
                    <w:tl2br w:val="nil"/>
                    <w:tr2bl w:val="nil"/>
                  </w:tcBorders>
                  <w:shd w:val="clear" w:color="auto" w:fill="auto"/>
                  <w:vAlign w:val="center"/>
                </w:tcPr>
                <w:p w14:paraId="1671AC66">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170315C0">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07B00A91">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10C79C0E">
                  <w:pPr>
                    <w:jc w:val="center"/>
                    <w:rPr>
                      <w:rFonts w:hint="default" w:ascii="Times New Roman" w:hAnsi="Times New Roman" w:eastAsia="宋体" w:cs="Times New Roman"/>
                      <w:i w:val="0"/>
                      <w:iCs w:val="0"/>
                      <w:color w:val="000000"/>
                      <w:sz w:val="18"/>
                      <w:szCs w:val="18"/>
                      <w:u w:val="none"/>
                    </w:rPr>
                  </w:pPr>
                </w:p>
              </w:tc>
            </w:tr>
            <w:tr w14:paraId="4AFDB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4F4CA34A">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30D9F1F8">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2A890F2F">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5C8717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锡及其化合物</w:t>
                  </w:r>
                </w:p>
              </w:tc>
              <w:tc>
                <w:tcPr>
                  <w:tcW w:w="744" w:type="dxa"/>
                  <w:vMerge w:val="continue"/>
                  <w:tcBorders>
                    <w:tl2br w:val="nil"/>
                    <w:tr2bl w:val="nil"/>
                  </w:tcBorders>
                  <w:shd w:val="clear" w:color="auto" w:fill="auto"/>
                  <w:vAlign w:val="center"/>
                </w:tcPr>
                <w:p w14:paraId="0ED1F5D0">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1282936B">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4086185A">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74A826BF">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2929571A">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711B3D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1007" w:type="dxa"/>
                  <w:vMerge w:val="continue"/>
                  <w:tcBorders>
                    <w:tl2br w:val="nil"/>
                    <w:tr2bl w:val="nil"/>
                  </w:tcBorders>
                  <w:shd w:val="clear" w:color="auto" w:fill="auto"/>
                  <w:vAlign w:val="center"/>
                </w:tcPr>
                <w:p w14:paraId="438EBA75">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4C7F7EC3">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52654CA8">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2EC87E0C">
                  <w:pPr>
                    <w:jc w:val="center"/>
                    <w:rPr>
                      <w:rFonts w:hint="default" w:ascii="Times New Roman" w:hAnsi="Times New Roman" w:eastAsia="宋体" w:cs="Times New Roman"/>
                      <w:i w:val="0"/>
                      <w:iCs w:val="0"/>
                      <w:color w:val="000000"/>
                      <w:sz w:val="18"/>
                      <w:szCs w:val="18"/>
                      <w:u w:val="none"/>
                    </w:rPr>
                  </w:pPr>
                </w:p>
              </w:tc>
            </w:tr>
            <w:tr w14:paraId="2309C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0C0EE6B5">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3F1374E6">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357A1B71">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44960FE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铜</w:t>
                  </w:r>
                  <w:r>
                    <w:rPr>
                      <w:rFonts w:hint="default" w:ascii="Times New Roman" w:hAnsi="Times New Roman" w:eastAsia="宋体" w:cs="Times New Roman"/>
                      <w:i w:val="0"/>
                      <w:iCs w:val="0"/>
                      <w:color w:val="000000"/>
                      <w:kern w:val="0"/>
                      <w:sz w:val="18"/>
                      <w:szCs w:val="18"/>
                      <w:u w:val="none"/>
                      <w:lang w:val="en-US" w:eastAsia="zh-CN" w:bidi="ar"/>
                    </w:rPr>
                    <w:t>及其化合物</w:t>
                  </w:r>
                </w:p>
              </w:tc>
              <w:tc>
                <w:tcPr>
                  <w:tcW w:w="744" w:type="dxa"/>
                  <w:vMerge w:val="continue"/>
                  <w:tcBorders>
                    <w:tl2br w:val="nil"/>
                    <w:tr2bl w:val="nil"/>
                  </w:tcBorders>
                  <w:shd w:val="clear" w:color="auto" w:fill="auto"/>
                  <w:vAlign w:val="center"/>
                </w:tcPr>
                <w:p w14:paraId="2DB2BE94">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6F9BDDCB">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6E89201A">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5DFCC9DB">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1EE3281E">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2A597C1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1007" w:type="dxa"/>
                  <w:vMerge w:val="continue"/>
                  <w:tcBorders>
                    <w:tl2br w:val="nil"/>
                    <w:tr2bl w:val="nil"/>
                  </w:tcBorders>
                  <w:shd w:val="clear" w:color="auto" w:fill="auto"/>
                  <w:vAlign w:val="center"/>
                </w:tcPr>
                <w:p w14:paraId="4B834D95">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3BFF5906">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26F79DC2">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67201975">
                  <w:pPr>
                    <w:jc w:val="center"/>
                    <w:rPr>
                      <w:rFonts w:hint="default" w:ascii="Times New Roman" w:hAnsi="Times New Roman" w:eastAsia="宋体" w:cs="Times New Roman"/>
                      <w:i w:val="0"/>
                      <w:iCs w:val="0"/>
                      <w:color w:val="000000"/>
                      <w:sz w:val="18"/>
                      <w:szCs w:val="18"/>
                      <w:u w:val="none"/>
                    </w:rPr>
                  </w:pPr>
                </w:p>
              </w:tc>
            </w:tr>
            <w:tr w14:paraId="7252F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54837A2F">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4C6A3A6F">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7EEBECD7">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5D2656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氟化物</w:t>
                  </w:r>
                </w:p>
              </w:tc>
              <w:tc>
                <w:tcPr>
                  <w:tcW w:w="744" w:type="dxa"/>
                  <w:vMerge w:val="continue"/>
                  <w:tcBorders>
                    <w:tl2br w:val="nil"/>
                    <w:tr2bl w:val="nil"/>
                  </w:tcBorders>
                  <w:shd w:val="clear" w:color="auto" w:fill="auto"/>
                  <w:vAlign w:val="center"/>
                </w:tcPr>
                <w:p w14:paraId="06A75731">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174D1F37">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5598A412">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11209547">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245EF958">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39FC9F2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w:t>
                  </w:r>
                </w:p>
              </w:tc>
              <w:tc>
                <w:tcPr>
                  <w:tcW w:w="1007" w:type="dxa"/>
                  <w:vMerge w:val="continue"/>
                  <w:tcBorders>
                    <w:tl2br w:val="nil"/>
                    <w:tr2bl w:val="nil"/>
                  </w:tcBorders>
                  <w:shd w:val="clear" w:color="auto" w:fill="auto"/>
                  <w:vAlign w:val="center"/>
                </w:tcPr>
                <w:p w14:paraId="7548AEDC">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785708CB">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7DE34395">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37B59239">
                  <w:pPr>
                    <w:jc w:val="center"/>
                    <w:rPr>
                      <w:rFonts w:hint="default" w:ascii="Times New Roman" w:hAnsi="Times New Roman" w:eastAsia="宋体" w:cs="Times New Roman"/>
                      <w:i w:val="0"/>
                      <w:iCs w:val="0"/>
                      <w:color w:val="000000"/>
                      <w:sz w:val="18"/>
                      <w:szCs w:val="18"/>
                      <w:u w:val="none"/>
                    </w:rPr>
                  </w:pPr>
                </w:p>
              </w:tc>
            </w:tr>
            <w:tr w14:paraId="0A52F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489050FF">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4D9AED2E">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415C08D9">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07134A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非甲烷总烃</w:t>
                  </w:r>
                </w:p>
              </w:tc>
              <w:tc>
                <w:tcPr>
                  <w:tcW w:w="744" w:type="dxa"/>
                  <w:vMerge w:val="continue"/>
                  <w:tcBorders>
                    <w:tl2br w:val="nil"/>
                    <w:tr2bl w:val="nil"/>
                  </w:tcBorders>
                  <w:shd w:val="clear" w:color="auto" w:fill="auto"/>
                  <w:vAlign w:val="center"/>
                </w:tcPr>
                <w:p w14:paraId="6730E567">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07A2275B">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7C3BCB47">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7EABC47E">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11182F02">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31D025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w:t>
                  </w:r>
                </w:p>
              </w:tc>
              <w:tc>
                <w:tcPr>
                  <w:tcW w:w="1007" w:type="dxa"/>
                  <w:vMerge w:val="continue"/>
                  <w:tcBorders>
                    <w:tl2br w:val="nil"/>
                    <w:tr2bl w:val="nil"/>
                  </w:tcBorders>
                  <w:shd w:val="clear" w:color="auto" w:fill="auto"/>
                  <w:vAlign w:val="center"/>
                </w:tcPr>
                <w:p w14:paraId="7BA85803">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242BB69B">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589AEE68">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42368A1F">
                  <w:pPr>
                    <w:jc w:val="center"/>
                    <w:rPr>
                      <w:rFonts w:hint="default" w:ascii="Times New Roman" w:hAnsi="Times New Roman" w:eastAsia="宋体" w:cs="Times New Roman"/>
                      <w:i w:val="0"/>
                      <w:iCs w:val="0"/>
                      <w:color w:val="000000"/>
                      <w:sz w:val="18"/>
                      <w:szCs w:val="18"/>
                      <w:u w:val="none"/>
                    </w:rPr>
                  </w:pPr>
                </w:p>
              </w:tc>
            </w:tr>
            <w:tr w14:paraId="28F42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4ABF5737">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6906A395">
                  <w:pPr>
                    <w:jc w:val="center"/>
                    <w:rPr>
                      <w:rFonts w:hint="default" w:ascii="Times New Roman" w:hAnsi="Times New Roman" w:eastAsia="宋体" w:cs="Times New Roman"/>
                      <w:i w:val="0"/>
                      <w:iCs w:val="0"/>
                      <w:color w:val="000000"/>
                      <w:sz w:val="18"/>
                      <w:szCs w:val="18"/>
                      <w:u w:val="none"/>
                    </w:rPr>
                  </w:pPr>
                </w:p>
              </w:tc>
              <w:tc>
                <w:tcPr>
                  <w:tcW w:w="2041" w:type="dxa"/>
                  <w:tcBorders>
                    <w:tl2br w:val="nil"/>
                    <w:tr2bl w:val="nil"/>
                  </w:tcBorders>
                  <w:shd w:val="clear" w:color="auto" w:fill="auto"/>
                  <w:vAlign w:val="center"/>
                </w:tcPr>
                <w:p w14:paraId="13344A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进仓粉尘、筛分粉尘、旋风分离粉尘、风选粉尘、包装粉尘</w:t>
                  </w:r>
                </w:p>
              </w:tc>
              <w:tc>
                <w:tcPr>
                  <w:tcW w:w="1598" w:type="dxa"/>
                  <w:tcBorders>
                    <w:tl2br w:val="nil"/>
                    <w:tr2bl w:val="nil"/>
                  </w:tcBorders>
                  <w:shd w:val="clear" w:color="auto" w:fill="auto"/>
                  <w:vAlign w:val="center"/>
                </w:tcPr>
                <w:p w14:paraId="3E469F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颗粒物（含炭黑尘）</w:t>
                  </w:r>
                </w:p>
              </w:tc>
              <w:tc>
                <w:tcPr>
                  <w:tcW w:w="744" w:type="dxa"/>
                  <w:tcBorders>
                    <w:tl2br w:val="nil"/>
                    <w:tr2bl w:val="nil"/>
                  </w:tcBorders>
                  <w:shd w:val="clear" w:color="auto" w:fill="auto"/>
                  <w:vAlign w:val="center"/>
                </w:tcPr>
                <w:p w14:paraId="56B4D7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有组织</w:t>
                  </w:r>
                </w:p>
              </w:tc>
              <w:tc>
                <w:tcPr>
                  <w:tcW w:w="1152" w:type="dxa"/>
                  <w:tcBorders>
                    <w:tl2br w:val="nil"/>
                    <w:tr2bl w:val="nil"/>
                  </w:tcBorders>
                  <w:shd w:val="clear" w:color="auto" w:fill="auto"/>
                  <w:vAlign w:val="center"/>
                </w:tcPr>
                <w:p w14:paraId="431AB7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密闭管道收集/顶吸式集气罩收集</w:t>
                  </w:r>
                </w:p>
              </w:tc>
              <w:tc>
                <w:tcPr>
                  <w:tcW w:w="768" w:type="dxa"/>
                  <w:tcBorders>
                    <w:tl2br w:val="nil"/>
                    <w:tr2bl w:val="nil"/>
                  </w:tcBorders>
                  <w:shd w:val="clear" w:color="auto" w:fill="auto"/>
                  <w:vAlign w:val="center"/>
                </w:tcPr>
                <w:p w14:paraId="39DD04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100/90</w:t>
                  </w:r>
                </w:p>
              </w:tc>
              <w:tc>
                <w:tcPr>
                  <w:tcW w:w="980" w:type="dxa"/>
                  <w:tcBorders>
                    <w:tl2br w:val="nil"/>
                    <w:tr2bl w:val="nil"/>
                  </w:tcBorders>
                  <w:shd w:val="clear" w:color="auto" w:fill="auto"/>
                  <w:vAlign w:val="center"/>
                </w:tcPr>
                <w:p w14:paraId="602B7B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TA002</w:t>
                  </w:r>
                </w:p>
              </w:tc>
              <w:tc>
                <w:tcPr>
                  <w:tcW w:w="1112" w:type="dxa"/>
                  <w:tcBorders>
                    <w:tl2br w:val="nil"/>
                    <w:tr2bl w:val="nil"/>
                  </w:tcBorders>
                  <w:shd w:val="clear" w:color="auto" w:fill="auto"/>
                  <w:vAlign w:val="center"/>
                </w:tcPr>
                <w:p w14:paraId="4CABC8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“覆膜布袋除尘器+水喷淋塔”</w:t>
                  </w:r>
                </w:p>
              </w:tc>
              <w:tc>
                <w:tcPr>
                  <w:tcW w:w="914" w:type="dxa"/>
                  <w:tcBorders>
                    <w:tl2br w:val="nil"/>
                    <w:tr2bl w:val="nil"/>
                  </w:tcBorders>
                  <w:shd w:val="clear" w:color="auto" w:fill="auto"/>
                  <w:vAlign w:val="center"/>
                </w:tcPr>
                <w:p w14:paraId="4E5551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1007" w:type="dxa"/>
                  <w:tcBorders>
                    <w:tl2br w:val="nil"/>
                    <w:tr2bl w:val="nil"/>
                  </w:tcBorders>
                  <w:shd w:val="clear" w:color="auto" w:fill="auto"/>
                  <w:vAlign w:val="center"/>
                </w:tcPr>
                <w:p w14:paraId="0CA958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是</w:t>
                  </w:r>
                </w:p>
              </w:tc>
              <w:tc>
                <w:tcPr>
                  <w:tcW w:w="914" w:type="dxa"/>
                  <w:tcBorders>
                    <w:tl2br w:val="nil"/>
                    <w:tr2bl w:val="nil"/>
                  </w:tcBorders>
                  <w:shd w:val="clear" w:color="auto" w:fill="auto"/>
                  <w:vAlign w:val="center"/>
                </w:tcPr>
                <w:p w14:paraId="7A69D0D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2#排放口</w:t>
                  </w:r>
                </w:p>
              </w:tc>
              <w:tc>
                <w:tcPr>
                  <w:tcW w:w="834" w:type="dxa"/>
                  <w:tcBorders>
                    <w:tl2br w:val="nil"/>
                    <w:tr2bl w:val="nil"/>
                  </w:tcBorders>
                  <w:shd w:val="clear" w:color="auto" w:fill="auto"/>
                  <w:vAlign w:val="center"/>
                </w:tcPr>
                <w:p w14:paraId="69735A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DA002</w:t>
                  </w:r>
                </w:p>
              </w:tc>
              <w:tc>
                <w:tcPr>
                  <w:tcW w:w="800" w:type="dxa"/>
                  <w:tcBorders>
                    <w:tl2br w:val="nil"/>
                    <w:tr2bl w:val="nil"/>
                  </w:tcBorders>
                  <w:shd w:val="clear" w:color="auto" w:fill="auto"/>
                  <w:vAlign w:val="center"/>
                </w:tcPr>
                <w:p w14:paraId="552C24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一般排放口</w:t>
                  </w:r>
                </w:p>
              </w:tc>
            </w:tr>
            <w:tr w14:paraId="0E3F9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restart"/>
                  <w:tcBorders>
                    <w:tl2br w:val="nil"/>
                    <w:tr2bl w:val="nil"/>
                  </w:tcBorders>
                  <w:shd w:val="clear" w:color="auto" w:fill="auto"/>
                  <w:vAlign w:val="center"/>
                </w:tcPr>
                <w:p w14:paraId="75E738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2</w:t>
                  </w:r>
                </w:p>
              </w:tc>
              <w:tc>
                <w:tcPr>
                  <w:tcW w:w="693" w:type="dxa"/>
                  <w:vMerge w:val="restart"/>
                  <w:tcBorders>
                    <w:tl2br w:val="nil"/>
                    <w:tr2bl w:val="nil"/>
                  </w:tcBorders>
                  <w:shd w:val="clear" w:color="auto" w:fill="auto"/>
                  <w:vAlign w:val="center"/>
                </w:tcPr>
                <w:p w14:paraId="73BAED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2#热解分选生产区</w:t>
                  </w:r>
                </w:p>
              </w:tc>
              <w:tc>
                <w:tcPr>
                  <w:tcW w:w="2041" w:type="dxa"/>
                  <w:vMerge w:val="restart"/>
                  <w:tcBorders>
                    <w:tl2br w:val="nil"/>
                    <w:tr2bl w:val="nil"/>
                  </w:tcBorders>
                  <w:shd w:val="clear" w:color="auto" w:fill="auto"/>
                  <w:vAlign w:val="center"/>
                </w:tcPr>
                <w:p w14:paraId="4BC7E3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热解炉尾气、燃烧室不凝气燃烧废气、清洗炉燃烧烟气、烘干炉燃烧烟气、油罐呼吸气</w:t>
                  </w:r>
                </w:p>
              </w:tc>
              <w:tc>
                <w:tcPr>
                  <w:tcW w:w="1598" w:type="dxa"/>
                  <w:tcBorders>
                    <w:tl2br w:val="nil"/>
                    <w:tr2bl w:val="nil"/>
                  </w:tcBorders>
                  <w:shd w:val="clear" w:color="auto" w:fill="auto"/>
                  <w:vAlign w:val="center"/>
                </w:tcPr>
                <w:p w14:paraId="5C3342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二氧化硫</w:t>
                  </w:r>
                </w:p>
              </w:tc>
              <w:tc>
                <w:tcPr>
                  <w:tcW w:w="744" w:type="dxa"/>
                  <w:vMerge w:val="restart"/>
                  <w:tcBorders>
                    <w:tl2br w:val="nil"/>
                    <w:tr2bl w:val="nil"/>
                  </w:tcBorders>
                  <w:shd w:val="clear" w:color="auto" w:fill="auto"/>
                  <w:vAlign w:val="center"/>
                </w:tcPr>
                <w:p w14:paraId="49A7DF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有组织</w:t>
                  </w:r>
                </w:p>
              </w:tc>
              <w:tc>
                <w:tcPr>
                  <w:tcW w:w="1152" w:type="dxa"/>
                  <w:vMerge w:val="restart"/>
                  <w:tcBorders>
                    <w:tl2br w:val="nil"/>
                    <w:tr2bl w:val="nil"/>
                  </w:tcBorders>
                  <w:shd w:val="clear" w:color="auto" w:fill="auto"/>
                  <w:vAlign w:val="center"/>
                </w:tcPr>
                <w:p w14:paraId="318C37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密闭管道收集</w:t>
                  </w:r>
                  <w:r>
                    <w:rPr>
                      <w:rFonts w:hint="eastAsia" w:ascii="Times New Roman" w:hAnsi="Times New Roman" w:eastAsia="宋体" w:cs="Times New Roman"/>
                      <w:i w:val="0"/>
                      <w:iCs w:val="0"/>
                      <w:color w:val="000000"/>
                      <w:kern w:val="0"/>
                      <w:sz w:val="18"/>
                      <w:szCs w:val="18"/>
                      <w:u w:val="none"/>
                      <w:lang w:val="en-US" w:eastAsia="zh-CN" w:bidi="ar"/>
                    </w:rPr>
                    <w:t>/集气罩收集</w:t>
                  </w:r>
                </w:p>
              </w:tc>
              <w:tc>
                <w:tcPr>
                  <w:tcW w:w="768" w:type="dxa"/>
                  <w:vMerge w:val="restart"/>
                  <w:tcBorders>
                    <w:tl2br w:val="nil"/>
                    <w:tr2bl w:val="nil"/>
                  </w:tcBorders>
                  <w:shd w:val="clear" w:color="auto" w:fill="auto"/>
                  <w:vAlign w:val="center"/>
                </w:tcPr>
                <w:p w14:paraId="5057745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ascii="Times New Roman" w:hAnsi="Times New Roman" w:eastAsia="宋体" w:cs="Times New Roman"/>
                      <w:i w:val="0"/>
                      <w:iCs w:val="0"/>
                      <w:color w:val="000000"/>
                      <w:kern w:val="0"/>
                      <w:sz w:val="18"/>
                      <w:szCs w:val="18"/>
                      <w:u w:val="none"/>
                      <w:lang w:val="en-US" w:eastAsia="zh-CN" w:bidi="ar"/>
                    </w:rPr>
                    <w:t>热解炉99%</w:t>
                  </w:r>
                  <w:r>
                    <w:rPr>
                      <w:rFonts w:hint="eastAsia" w:cs="Times New Roman"/>
                      <w:i w:val="0"/>
                      <w:iCs w:val="0"/>
                      <w:color w:val="000000"/>
                      <w:kern w:val="0"/>
                      <w:sz w:val="18"/>
                      <w:szCs w:val="18"/>
                      <w:u w:val="none"/>
                      <w:lang w:val="en-US" w:eastAsia="zh-CN" w:bidi="ar"/>
                    </w:rPr>
                    <w:t>；</w:t>
                  </w:r>
                  <w:r>
                    <w:rPr>
                      <w:rFonts w:hint="eastAsia" w:ascii="Times New Roman" w:hAnsi="Times New Roman" w:eastAsia="宋体" w:cs="Times New Roman"/>
                      <w:i w:val="0"/>
                      <w:iCs w:val="0"/>
                      <w:color w:val="000000"/>
                      <w:kern w:val="0"/>
                      <w:sz w:val="18"/>
                      <w:szCs w:val="18"/>
                      <w:u w:val="none"/>
                      <w:lang w:val="en-US" w:eastAsia="zh-CN" w:bidi="ar"/>
                    </w:rPr>
                    <w:t>其他100%</w:t>
                  </w:r>
                </w:p>
              </w:tc>
              <w:tc>
                <w:tcPr>
                  <w:tcW w:w="980" w:type="dxa"/>
                  <w:vMerge w:val="restart"/>
                  <w:tcBorders>
                    <w:tl2br w:val="nil"/>
                    <w:tr2bl w:val="nil"/>
                  </w:tcBorders>
                  <w:shd w:val="clear" w:color="auto" w:fill="auto"/>
                  <w:vAlign w:val="center"/>
                </w:tcPr>
                <w:p w14:paraId="3042EE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TA004</w:t>
                  </w:r>
                </w:p>
              </w:tc>
              <w:tc>
                <w:tcPr>
                  <w:tcW w:w="1112" w:type="dxa"/>
                  <w:vMerge w:val="restart"/>
                  <w:tcBorders>
                    <w:tl2br w:val="nil"/>
                    <w:tr2bl w:val="nil"/>
                  </w:tcBorders>
                  <w:shd w:val="clear" w:color="auto" w:fill="auto"/>
                  <w:vAlign w:val="center"/>
                </w:tcPr>
                <w:p w14:paraId="5A7EA1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r>
                    <w:rPr>
                      <w:rFonts w:hint="eastAsia" w:cs="Times New Roman"/>
                      <w:i w:val="0"/>
                      <w:iCs w:val="0"/>
                      <w:color w:val="000000"/>
                      <w:kern w:val="0"/>
                      <w:sz w:val="18"/>
                      <w:szCs w:val="18"/>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18"/>
                      <w:szCs w:val="18"/>
                      <w:u w:val="none"/>
                      <w:lang w:val="en-US" w:eastAsia="zh-CN" w:bidi="ar"/>
                    </w:rPr>
                    <w:t>”</w:t>
                  </w:r>
                </w:p>
              </w:tc>
              <w:tc>
                <w:tcPr>
                  <w:tcW w:w="914" w:type="dxa"/>
                  <w:tcBorders>
                    <w:tl2br w:val="nil"/>
                    <w:tr2bl w:val="nil"/>
                  </w:tcBorders>
                  <w:shd w:val="clear" w:color="auto" w:fill="auto"/>
                  <w:vAlign w:val="center"/>
                </w:tcPr>
                <w:p w14:paraId="4DEC3C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p>
              </w:tc>
              <w:tc>
                <w:tcPr>
                  <w:tcW w:w="1007" w:type="dxa"/>
                  <w:vMerge w:val="restart"/>
                  <w:tcBorders>
                    <w:tl2br w:val="nil"/>
                    <w:tr2bl w:val="nil"/>
                  </w:tcBorders>
                  <w:shd w:val="clear" w:color="auto" w:fill="auto"/>
                  <w:vAlign w:val="center"/>
                </w:tcPr>
                <w:p w14:paraId="0885AAB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 是</w:t>
                  </w:r>
                </w:p>
              </w:tc>
              <w:tc>
                <w:tcPr>
                  <w:tcW w:w="914" w:type="dxa"/>
                  <w:vMerge w:val="restart"/>
                  <w:tcBorders>
                    <w:tl2br w:val="nil"/>
                    <w:tr2bl w:val="nil"/>
                  </w:tcBorders>
                  <w:shd w:val="clear" w:color="auto" w:fill="auto"/>
                  <w:vAlign w:val="center"/>
                </w:tcPr>
                <w:p w14:paraId="21DBAA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4#排放口</w:t>
                  </w:r>
                </w:p>
              </w:tc>
              <w:tc>
                <w:tcPr>
                  <w:tcW w:w="834" w:type="dxa"/>
                  <w:vMerge w:val="restart"/>
                  <w:tcBorders>
                    <w:tl2br w:val="nil"/>
                    <w:tr2bl w:val="nil"/>
                  </w:tcBorders>
                  <w:shd w:val="clear" w:color="auto" w:fill="auto"/>
                  <w:vAlign w:val="center"/>
                </w:tcPr>
                <w:p w14:paraId="1CBDAA5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DA003</w:t>
                  </w:r>
                </w:p>
              </w:tc>
              <w:tc>
                <w:tcPr>
                  <w:tcW w:w="800" w:type="dxa"/>
                  <w:vMerge w:val="restart"/>
                  <w:tcBorders>
                    <w:tl2br w:val="nil"/>
                    <w:tr2bl w:val="nil"/>
                  </w:tcBorders>
                  <w:shd w:val="clear" w:color="auto" w:fill="auto"/>
                  <w:vAlign w:val="center"/>
                </w:tcPr>
                <w:p w14:paraId="70ECBA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主要排放口</w:t>
                  </w:r>
                </w:p>
              </w:tc>
            </w:tr>
            <w:tr w14:paraId="4410B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752A720A">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5F7D49FC">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41031534">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1FBD7E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氮氧化物</w:t>
                  </w:r>
                </w:p>
              </w:tc>
              <w:tc>
                <w:tcPr>
                  <w:tcW w:w="744" w:type="dxa"/>
                  <w:vMerge w:val="continue"/>
                  <w:tcBorders>
                    <w:tl2br w:val="nil"/>
                    <w:tr2bl w:val="nil"/>
                  </w:tcBorders>
                  <w:shd w:val="clear" w:color="auto" w:fill="auto"/>
                  <w:vAlign w:val="center"/>
                </w:tcPr>
                <w:p w14:paraId="07657040">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4EF18191">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475E0216">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67BFB0A1">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2429E49A">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5DAC6A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p>
              </w:tc>
              <w:tc>
                <w:tcPr>
                  <w:tcW w:w="1007" w:type="dxa"/>
                  <w:vMerge w:val="continue"/>
                  <w:tcBorders>
                    <w:tl2br w:val="nil"/>
                    <w:tr2bl w:val="nil"/>
                  </w:tcBorders>
                  <w:shd w:val="clear" w:color="auto" w:fill="auto"/>
                  <w:vAlign w:val="center"/>
                </w:tcPr>
                <w:p w14:paraId="7FA89FEE">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703F919E">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0BB5991D">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64A37CCB">
                  <w:pPr>
                    <w:jc w:val="center"/>
                    <w:rPr>
                      <w:rFonts w:hint="default" w:ascii="Times New Roman" w:hAnsi="Times New Roman" w:eastAsia="宋体" w:cs="Times New Roman"/>
                      <w:i w:val="0"/>
                      <w:iCs w:val="0"/>
                      <w:color w:val="000000"/>
                      <w:sz w:val="18"/>
                      <w:szCs w:val="18"/>
                      <w:u w:val="none"/>
                    </w:rPr>
                  </w:pPr>
                </w:p>
              </w:tc>
            </w:tr>
            <w:tr w14:paraId="20834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3E5B0577">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0FD22FCF">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31E3F374">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030FB1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w:t>
                  </w:r>
                  <w:r>
                    <w:rPr>
                      <w:rFonts w:hint="eastAsia" w:cs="Times New Roman"/>
                      <w:i w:val="0"/>
                      <w:iCs w:val="0"/>
                      <w:color w:val="000000"/>
                      <w:kern w:val="0"/>
                      <w:sz w:val="18"/>
                      <w:szCs w:val="18"/>
                      <w:u w:val="none"/>
                      <w:lang w:val="en-US" w:eastAsia="zh-CN" w:bidi="ar"/>
                    </w:rPr>
                    <w:t>含炭黑尘、铜、锡等</w:t>
                  </w:r>
                  <w:r>
                    <w:rPr>
                      <w:rFonts w:hint="default" w:ascii="Times New Roman" w:hAnsi="Times New Roman" w:eastAsia="宋体" w:cs="Times New Roman"/>
                      <w:i w:val="0"/>
                      <w:iCs w:val="0"/>
                      <w:color w:val="000000"/>
                      <w:kern w:val="0"/>
                      <w:sz w:val="18"/>
                      <w:szCs w:val="18"/>
                      <w:u w:val="none"/>
                      <w:lang w:val="en-US" w:eastAsia="zh-CN" w:bidi="ar"/>
                    </w:rPr>
                    <w:t>）</w:t>
                  </w:r>
                </w:p>
              </w:tc>
              <w:tc>
                <w:tcPr>
                  <w:tcW w:w="744" w:type="dxa"/>
                  <w:vMerge w:val="continue"/>
                  <w:tcBorders>
                    <w:tl2br w:val="nil"/>
                    <w:tr2bl w:val="nil"/>
                  </w:tcBorders>
                  <w:shd w:val="clear" w:color="auto" w:fill="auto"/>
                  <w:vAlign w:val="center"/>
                </w:tcPr>
                <w:p w14:paraId="0EDD92DB">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563B535A">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3A659BF2">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2F6BC570">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2E25A325">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06A438A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1007" w:type="dxa"/>
                  <w:vMerge w:val="continue"/>
                  <w:tcBorders>
                    <w:tl2br w:val="nil"/>
                    <w:tr2bl w:val="nil"/>
                  </w:tcBorders>
                  <w:shd w:val="clear" w:color="auto" w:fill="auto"/>
                  <w:vAlign w:val="center"/>
                </w:tcPr>
                <w:p w14:paraId="7BFDC535">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3A732182">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3AD0284A">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23C8FA62">
                  <w:pPr>
                    <w:jc w:val="center"/>
                    <w:rPr>
                      <w:rFonts w:hint="default" w:ascii="Times New Roman" w:hAnsi="Times New Roman" w:eastAsia="宋体" w:cs="Times New Roman"/>
                      <w:i w:val="0"/>
                      <w:iCs w:val="0"/>
                      <w:color w:val="000000"/>
                      <w:sz w:val="18"/>
                      <w:szCs w:val="18"/>
                      <w:u w:val="none"/>
                    </w:rPr>
                  </w:pPr>
                </w:p>
              </w:tc>
            </w:tr>
            <w:tr w14:paraId="39FF6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1135DBD2">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5F981EC6">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3DCED0BE">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3AD40E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锡及其化合物</w:t>
                  </w:r>
                </w:p>
              </w:tc>
              <w:tc>
                <w:tcPr>
                  <w:tcW w:w="744" w:type="dxa"/>
                  <w:vMerge w:val="continue"/>
                  <w:tcBorders>
                    <w:tl2br w:val="nil"/>
                    <w:tr2bl w:val="nil"/>
                  </w:tcBorders>
                  <w:shd w:val="clear" w:color="auto" w:fill="auto"/>
                  <w:vAlign w:val="center"/>
                </w:tcPr>
                <w:p w14:paraId="06C973F6">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6CBB4596">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3A6E7191">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0430251F">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372BCB30">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1AF0E4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1007" w:type="dxa"/>
                  <w:vMerge w:val="continue"/>
                  <w:tcBorders>
                    <w:tl2br w:val="nil"/>
                    <w:tr2bl w:val="nil"/>
                  </w:tcBorders>
                  <w:shd w:val="clear" w:color="auto" w:fill="auto"/>
                  <w:vAlign w:val="center"/>
                </w:tcPr>
                <w:p w14:paraId="6478F421">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1FFAADCE">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0597869F">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7F5DD277">
                  <w:pPr>
                    <w:jc w:val="center"/>
                    <w:rPr>
                      <w:rFonts w:hint="default" w:ascii="Times New Roman" w:hAnsi="Times New Roman" w:eastAsia="宋体" w:cs="Times New Roman"/>
                      <w:i w:val="0"/>
                      <w:iCs w:val="0"/>
                      <w:color w:val="000000"/>
                      <w:sz w:val="18"/>
                      <w:szCs w:val="18"/>
                      <w:u w:val="none"/>
                    </w:rPr>
                  </w:pPr>
                </w:p>
              </w:tc>
            </w:tr>
            <w:tr w14:paraId="60ECC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55BF4F1D">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0775AE4C">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1DB49E77">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0EB1644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铜</w:t>
                  </w:r>
                  <w:r>
                    <w:rPr>
                      <w:rFonts w:hint="default" w:ascii="Times New Roman" w:hAnsi="Times New Roman" w:eastAsia="宋体" w:cs="Times New Roman"/>
                      <w:i w:val="0"/>
                      <w:iCs w:val="0"/>
                      <w:color w:val="000000"/>
                      <w:kern w:val="0"/>
                      <w:sz w:val="18"/>
                      <w:szCs w:val="18"/>
                      <w:u w:val="none"/>
                      <w:lang w:val="en-US" w:eastAsia="zh-CN" w:bidi="ar"/>
                    </w:rPr>
                    <w:t>及其化合物</w:t>
                  </w:r>
                </w:p>
              </w:tc>
              <w:tc>
                <w:tcPr>
                  <w:tcW w:w="744" w:type="dxa"/>
                  <w:vMerge w:val="continue"/>
                  <w:tcBorders>
                    <w:tl2br w:val="nil"/>
                    <w:tr2bl w:val="nil"/>
                  </w:tcBorders>
                  <w:shd w:val="clear" w:color="auto" w:fill="auto"/>
                  <w:vAlign w:val="center"/>
                </w:tcPr>
                <w:p w14:paraId="5076FC0C">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0EDAD264">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7EDDCF57">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46B1C4AA">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77F94A63">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438C7C2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99</w:t>
                  </w:r>
                </w:p>
              </w:tc>
              <w:tc>
                <w:tcPr>
                  <w:tcW w:w="1007" w:type="dxa"/>
                  <w:vMerge w:val="continue"/>
                  <w:tcBorders>
                    <w:tl2br w:val="nil"/>
                    <w:tr2bl w:val="nil"/>
                  </w:tcBorders>
                  <w:shd w:val="clear" w:color="auto" w:fill="auto"/>
                  <w:vAlign w:val="center"/>
                </w:tcPr>
                <w:p w14:paraId="68CA0812">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6398757B">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6099C1C6">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7434DEE1">
                  <w:pPr>
                    <w:jc w:val="center"/>
                    <w:rPr>
                      <w:rFonts w:hint="default" w:ascii="Times New Roman" w:hAnsi="Times New Roman" w:eastAsia="宋体" w:cs="Times New Roman"/>
                      <w:i w:val="0"/>
                      <w:iCs w:val="0"/>
                      <w:color w:val="000000"/>
                      <w:sz w:val="18"/>
                      <w:szCs w:val="18"/>
                      <w:u w:val="none"/>
                    </w:rPr>
                  </w:pPr>
                </w:p>
              </w:tc>
            </w:tr>
            <w:tr w14:paraId="1C9AD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0A7D641D">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13AA7476">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77E701BB">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16E114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氟化物</w:t>
                  </w:r>
                </w:p>
              </w:tc>
              <w:tc>
                <w:tcPr>
                  <w:tcW w:w="744" w:type="dxa"/>
                  <w:vMerge w:val="continue"/>
                  <w:tcBorders>
                    <w:tl2br w:val="nil"/>
                    <w:tr2bl w:val="nil"/>
                  </w:tcBorders>
                  <w:shd w:val="clear" w:color="auto" w:fill="auto"/>
                  <w:vAlign w:val="center"/>
                </w:tcPr>
                <w:p w14:paraId="058934B7">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7E39D099">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3B4AB32B">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30762860">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518D3DBD">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24527F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85</w:t>
                  </w:r>
                </w:p>
              </w:tc>
              <w:tc>
                <w:tcPr>
                  <w:tcW w:w="1007" w:type="dxa"/>
                  <w:vMerge w:val="continue"/>
                  <w:tcBorders>
                    <w:tl2br w:val="nil"/>
                    <w:tr2bl w:val="nil"/>
                  </w:tcBorders>
                  <w:shd w:val="clear" w:color="auto" w:fill="auto"/>
                  <w:vAlign w:val="center"/>
                </w:tcPr>
                <w:p w14:paraId="0AD655C6">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4A35288E">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24A3A73F">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0A2949E9">
                  <w:pPr>
                    <w:jc w:val="center"/>
                    <w:rPr>
                      <w:rFonts w:hint="default" w:ascii="Times New Roman" w:hAnsi="Times New Roman" w:eastAsia="宋体" w:cs="Times New Roman"/>
                      <w:i w:val="0"/>
                      <w:iCs w:val="0"/>
                      <w:color w:val="000000"/>
                      <w:sz w:val="18"/>
                      <w:szCs w:val="18"/>
                      <w:u w:val="none"/>
                    </w:rPr>
                  </w:pPr>
                </w:p>
              </w:tc>
            </w:tr>
            <w:tr w14:paraId="60A2F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720E8C35">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6C9BD146">
                  <w:pPr>
                    <w:jc w:val="center"/>
                    <w:rPr>
                      <w:rFonts w:hint="default" w:ascii="Times New Roman" w:hAnsi="Times New Roman" w:eastAsia="宋体" w:cs="Times New Roman"/>
                      <w:i w:val="0"/>
                      <w:iCs w:val="0"/>
                      <w:color w:val="000000"/>
                      <w:sz w:val="18"/>
                      <w:szCs w:val="18"/>
                      <w:u w:val="none"/>
                    </w:rPr>
                  </w:pPr>
                </w:p>
              </w:tc>
              <w:tc>
                <w:tcPr>
                  <w:tcW w:w="2041" w:type="dxa"/>
                  <w:vMerge w:val="continue"/>
                  <w:tcBorders>
                    <w:tl2br w:val="nil"/>
                    <w:tr2bl w:val="nil"/>
                  </w:tcBorders>
                  <w:shd w:val="clear" w:color="auto" w:fill="auto"/>
                  <w:vAlign w:val="center"/>
                </w:tcPr>
                <w:p w14:paraId="5FB20D6D">
                  <w:pPr>
                    <w:jc w:val="center"/>
                    <w:rPr>
                      <w:rFonts w:hint="default" w:ascii="Times New Roman" w:hAnsi="Times New Roman" w:eastAsia="宋体" w:cs="Times New Roman"/>
                      <w:i w:val="0"/>
                      <w:iCs w:val="0"/>
                      <w:color w:val="000000"/>
                      <w:sz w:val="18"/>
                      <w:szCs w:val="18"/>
                      <w:u w:val="none"/>
                    </w:rPr>
                  </w:pPr>
                </w:p>
              </w:tc>
              <w:tc>
                <w:tcPr>
                  <w:tcW w:w="1598" w:type="dxa"/>
                  <w:tcBorders>
                    <w:tl2br w:val="nil"/>
                    <w:tr2bl w:val="nil"/>
                  </w:tcBorders>
                  <w:shd w:val="clear" w:color="auto" w:fill="auto"/>
                  <w:vAlign w:val="center"/>
                </w:tcPr>
                <w:p w14:paraId="386446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非甲烷总烃</w:t>
                  </w:r>
                </w:p>
              </w:tc>
              <w:tc>
                <w:tcPr>
                  <w:tcW w:w="744" w:type="dxa"/>
                  <w:vMerge w:val="continue"/>
                  <w:tcBorders>
                    <w:tl2br w:val="nil"/>
                    <w:tr2bl w:val="nil"/>
                  </w:tcBorders>
                  <w:shd w:val="clear" w:color="auto" w:fill="auto"/>
                  <w:vAlign w:val="center"/>
                </w:tcPr>
                <w:p w14:paraId="08B52A03">
                  <w:pPr>
                    <w:jc w:val="center"/>
                    <w:rPr>
                      <w:rFonts w:hint="default" w:ascii="Times New Roman" w:hAnsi="Times New Roman" w:eastAsia="宋体" w:cs="Times New Roman"/>
                      <w:i w:val="0"/>
                      <w:iCs w:val="0"/>
                      <w:color w:val="000000"/>
                      <w:sz w:val="18"/>
                      <w:szCs w:val="18"/>
                      <w:u w:val="none"/>
                    </w:rPr>
                  </w:pPr>
                </w:p>
              </w:tc>
              <w:tc>
                <w:tcPr>
                  <w:tcW w:w="1152" w:type="dxa"/>
                  <w:vMerge w:val="continue"/>
                  <w:tcBorders>
                    <w:tl2br w:val="nil"/>
                    <w:tr2bl w:val="nil"/>
                  </w:tcBorders>
                  <w:shd w:val="clear" w:color="auto" w:fill="auto"/>
                  <w:vAlign w:val="center"/>
                </w:tcPr>
                <w:p w14:paraId="1DA519C7">
                  <w:pPr>
                    <w:jc w:val="center"/>
                    <w:rPr>
                      <w:rFonts w:hint="default" w:ascii="Times New Roman" w:hAnsi="Times New Roman" w:eastAsia="宋体" w:cs="Times New Roman"/>
                      <w:i w:val="0"/>
                      <w:iCs w:val="0"/>
                      <w:color w:val="000000"/>
                      <w:sz w:val="18"/>
                      <w:szCs w:val="18"/>
                      <w:u w:val="none"/>
                    </w:rPr>
                  </w:pPr>
                </w:p>
              </w:tc>
              <w:tc>
                <w:tcPr>
                  <w:tcW w:w="768" w:type="dxa"/>
                  <w:vMerge w:val="continue"/>
                  <w:tcBorders>
                    <w:tl2br w:val="nil"/>
                    <w:tr2bl w:val="nil"/>
                  </w:tcBorders>
                  <w:shd w:val="clear" w:color="auto" w:fill="auto"/>
                  <w:vAlign w:val="center"/>
                </w:tcPr>
                <w:p w14:paraId="621AF624">
                  <w:pPr>
                    <w:jc w:val="center"/>
                    <w:rPr>
                      <w:rFonts w:hint="default" w:ascii="Times New Roman" w:hAnsi="Times New Roman" w:eastAsia="宋体" w:cs="Times New Roman"/>
                      <w:i w:val="0"/>
                      <w:iCs w:val="0"/>
                      <w:color w:val="000000"/>
                      <w:sz w:val="18"/>
                      <w:szCs w:val="18"/>
                      <w:u w:val="none"/>
                    </w:rPr>
                  </w:pPr>
                </w:p>
              </w:tc>
              <w:tc>
                <w:tcPr>
                  <w:tcW w:w="980" w:type="dxa"/>
                  <w:vMerge w:val="continue"/>
                  <w:tcBorders>
                    <w:tl2br w:val="nil"/>
                    <w:tr2bl w:val="nil"/>
                  </w:tcBorders>
                  <w:shd w:val="clear" w:color="auto" w:fill="auto"/>
                  <w:vAlign w:val="center"/>
                </w:tcPr>
                <w:p w14:paraId="67B4F77E">
                  <w:pPr>
                    <w:jc w:val="center"/>
                    <w:rPr>
                      <w:rFonts w:hint="default" w:ascii="Times New Roman" w:hAnsi="Times New Roman" w:eastAsia="宋体" w:cs="Times New Roman"/>
                      <w:i w:val="0"/>
                      <w:iCs w:val="0"/>
                      <w:color w:val="000000"/>
                      <w:sz w:val="18"/>
                      <w:szCs w:val="18"/>
                      <w:u w:val="none"/>
                    </w:rPr>
                  </w:pPr>
                </w:p>
              </w:tc>
              <w:tc>
                <w:tcPr>
                  <w:tcW w:w="1112" w:type="dxa"/>
                  <w:vMerge w:val="continue"/>
                  <w:tcBorders>
                    <w:tl2br w:val="nil"/>
                    <w:tr2bl w:val="nil"/>
                  </w:tcBorders>
                  <w:shd w:val="clear" w:color="auto" w:fill="auto"/>
                  <w:vAlign w:val="center"/>
                </w:tcPr>
                <w:p w14:paraId="31E989DD">
                  <w:pPr>
                    <w:jc w:val="center"/>
                    <w:rPr>
                      <w:rFonts w:hint="default" w:ascii="Times New Roman" w:hAnsi="Times New Roman" w:eastAsia="宋体" w:cs="Times New Roman"/>
                      <w:i w:val="0"/>
                      <w:iCs w:val="0"/>
                      <w:color w:val="000000"/>
                      <w:sz w:val="18"/>
                      <w:szCs w:val="18"/>
                      <w:u w:val="none"/>
                    </w:rPr>
                  </w:pPr>
                </w:p>
              </w:tc>
              <w:tc>
                <w:tcPr>
                  <w:tcW w:w="914" w:type="dxa"/>
                  <w:tcBorders>
                    <w:tl2br w:val="nil"/>
                    <w:tr2bl w:val="nil"/>
                  </w:tcBorders>
                  <w:shd w:val="clear" w:color="auto" w:fill="auto"/>
                  <w:vAlign w:val="center"/>
                </w:tcPr>
                <w:p w14:paraId="15C7D6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90</w:t>
                  </w:r>
                </w:p>
              </w:tc>
              <w:tc>
                <w:tcPr>
                  <w:tcW w:w="1007" w:type="dxa"/>
                  <w:vMerge w:val="continue"/>
                  <w:tcBorders>
                    <w:tl2br w:val="nil"/>
                    <w:tr2bl w:val="nil"/>
                  </w:tcBorders>
                  <w:shd w:val="clear" w:color="auto" w:fill="auto"/>
                  <w:vAlign w:val="center"/>
                </w:tcPr>
                <w:p w14:paraId="59419684">
                  <w:pPr>
                    <w:jc w:val="center"/>
                    <w:rPr>
                      <w:rFonts w:hint="default" w:ascii="Times New Roman" w:hAnsi="Times New Roman" w:eastAsia="宋体" w:cs="Times New Roman"/>
                      <w:i w:val="0"/>
                      <w:iCs w:val="0"/>
                      <w:color w:val="000000"/>
                      <w:sz w:val="18"/>
                      <w:szCs w:val="18"/>
                      <w:u w:val="none"/>
                    </w:rPr>
                  </w:pPr>
                </w:p>
              </w:tc>
              <w:tc>
                <w:tcPr>
                  <w:tcW w:w="914" w:type="dxa"/>
                  <w:vMerge w:val="continue"/>
                  <w:tcBorders>
                    <w:tl2br w:val="nil"/>
                    <w:tr2bl w:val="nil"/>
                  </w:tcBorders>
                  <w:shd w:val="clear" w:color="auto" w:fill="auto"/>
                  <w:vAlign w:val="center"/>
                </w:tcPr>
                <w:p w14:paraId="09D78CC3">
                  <w:pPr>
                    <w:jc w:val="center"/>
                    <w:rPr>
                      <w:rFonts w:hint="default" w:ascii="Times New Roman" w:hAnsi="Times New Roman" w:eastAsia="宋体" w:cs="Times New Roman"/>
                      <w:i w:val="0"/>
                      <w:iCs w:val="0"/>
                      <w:color w:val="000000"/>
                      <w:sz w:val="18"/>
                      <w:szCs w:val="18"/>
                      <w:u w:val="none"/>
                    </w:rPr>
                  </w:pPr>
                </w:p>
              </w:tc>
              <w:tc>
                <w:tcPr>
                  <w:tcW w:w="834" w:type="dxa"/>
                  <w:vMerge w:val="continue"/>
                  <w:tcBorders>
                    <w:tl2br w:val="nil"/>
                    <w:tr2bl w:val="nil"/>
                  </w:tcBorders>
                  <w:shd w:val="clear" w:color="auto" w:fill="auto"/>
                  <w:vAlign w:val="center"/>
                </w:tcPr>
                <w:p w14:paraId="7D5842AA">
                  <w:pPr>
                    <w:jc w:val="center"/>
                    <w:rPr>
                      <w:rFonts w:hint="default" w:ascii="Times New Roman" w:hAnsi="Times New Roman" w:eastAsia="宋体" w:cs="Times New Roman"/>
                      <w:i w:val="0"/>
                      <w:iCs w:val="0"/>
                      <w:color w:val="000000"/>
                      <w:sz w:val="18"/>
                      <w:szCs w:val="18"/>
                      <w:u w:val="none"/>
                    </w:rPr>
                  </w:pPr>
                </w:p>
              </w:tc>
              <w:tc>
                <w:tcPr>
                  <w:tcW w:w="800" w:type="dxa"/>
                  <w:vMerge w:val="continue"/>
                  <w:tcBorders>
                    <w:tl2br w:val="nil"/>
                    <w:tr2bl w:val="nil"/>
                  </w:tcBorders>
                  <w:shd w:val="clear" w:color="auto" w:fill="auto"/>
                  <w:vAlign w:val="center"/>
                </w:tcPr>
                <w:p w14:paraId="69DDFF3E">
                  <w:pPr>
                    <w:jc w:val="center"/>
                    <w:rPr>
                      <w:rFonts w:hint="default" w:ascii="Times New Roman" w:hAnsi="Times New Roman" w:eastAsia="宋体" w:cs="Times New Roman"/>
                      <w:i w:val="0"/>
                      <w:iCs w:val="0"/>
                      <w:color w:val="000000"/>
                      <w:sz w:val="18"/>
                      <w:szCs w:val="18"/>
                      <w:u w:val="none"/>
                    </w:rPr>
                  </w:pPr>
                </w:p>
              </w:tc>
            </w:tr>
            <w:tr w14:paraId="79EEE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13" w:type="dxa"/>
                  <w:vMerge w:val="continue"/>
                  <w:tcBorders>
                    <w:tl2br w:val="nil"/>
                    <w:tr2bl w:val="nil"/>
                  </w:tcBorders>
                  <w:shd w:val="clear" w:color="auto" w:fill="auto"/>
                  <w:vAlign w:val="center"/>
                </w:tcPr>
                <w:p w14:paraId="56AE2253">
                  <w:pPr>
                    <w:jc w:val="center"/>
                    <w:rPr>
                      <w:rFonts w:hint="default" w:ascii="Times New Roman" w:hAnsi="Times New Roman" w:eastAsia="宋体" w:cs="Times New Roman"/>
                      <w:i w:val="0"/>
                      <w:iCs w:val="0"/>
                      <w:color w:val="000000"/>
                      <w:sz w:val="18"/>
                      <w:szCs w:val="18"/>
                      <w:u w:val="none"/>
                    </w:rPr>
                  </w:pPr>
                </w:p>
              </w:tc>
              <w:tc>
                <w:tcPr>
                  <w:tcW w:w="693" w:type="dxa"/>
                  <w:vMerge w:val="continue"/>
                  <w:tcBorders>
                    <w:tl2br w:val="nil"/>
                    <w:tr2bl w:val="nil"/>
                  </w:tcBorders>
                  <w:shd w:val="clear" w:color="auto" w:fill="auto"/>
                  <w:vAlign w:val="center"/>
                </w:tcPr>
                <w:p w14:paraId="35B5E01A">
                  <w:pPr>
                    <w:jc w:val="center"/>
                    <w:rPr>
                      <w:rFonts w:hint="default" w:ascii="Times New Roman" w:hAnsi="Times New Roman" w:eastAsia="宋体" w:cs="Times New Roman"/>
                      <w:i w:val="0"/>
                      <w:iCs w:val="0"/>
                      <w:color w:val="000000"/>
                      <w:sz w:val="18"/>
                      <w:szCs w:val="18"/>
                      <w:u w:val="none"/>
                    </w:rPr>
                  </w:pPr>
                </w:p>
              </w:tc>
              <w:tc>
                <w:tcPr>
                  <w:tcW w:w="2041" w:type="dxa"/>
                  <w:tcBorders>
                    <w:tl2br w:val="nil"/>
                    <w:tr2bl w:val="nil"/>
                  </w:tcBorders>
                  <w:shd w:val="clear" w:color="auto" w:fill="auto"/>
                  <w:vAlign w:val="center"/>
                </w:tcPr>
                <w:p w14:paraId="4E5B84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进仓粉尘、筛分粉尘、旋风分离粉尘、风选粉尘、包装粉尘</w:t>
                  </w:r>
                </w:p>
              </w:tc>
              <w:tc>
                <w:tcPr>
                  <w:tcW w:w="1598" w:type="dxa"/>
                  <w:tcBorders>
                    <w:tl2br w:val="nil"/>
                    <w:tr2bl w:val="nil"/>
                  </w:tcBorders>
                  <w:shd w:val="clear" w:color="auto" w:fill="auto"/>
                  <w:vAlign w:val="center"/>
                </w:tcPr>
                <w:p w14:paraId="5AB9E0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颗粒物（含炭黑尘）</w:t>
                  </w:r>
                </w:p>
              </w:tc>
              <w:tc>
                <w:tcPr>
                  <w:tcW w:w="744" w:type="dxa"/>
                  <w:tcBorders>
                    <w:tl2br w:val="nil"/>
                    <w:tr2bl w:val="nil"/>
                  </w:tcBorders>
                  <w:shd w:val="clear" w:color="auto" w:fill="auto"/>
                  <w:vAlign w:val="center"/>
                </w:tcPr>
                <w:p w14:paraId="0726BA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有组织</w:t>
                  </w:r>
                </w:p>
              </w:tc>
              <w:tc>
                <w:tcPr>
                  <w:tcW w:w="1152" w:type="dxa"/>
                  <w:tcBorders>
                    <w:tl2br w:val="nil"/>
                    <w:tr2bl w:val="nil"/>
                  </w:tcBorders>
                  <w:shd w:val="clear" w:color="auto" w:fill="auto"/>
                  <w:vAlign w:val="center"/>
                </w:tcPr>
                <w:p w14:paraId="4F3F8D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密闭管道收集/顶吸式集气罩收集</w:t>
                  </w:r>
                </w:p>
              </w:tc>
              <w:tc>
                <w:tcPr>
                  <w:tcW w:w="768" w:type="dxa"/>
                  <w:tcBorders>
                    <w:tl2br w:val="nil"/>
                    <w:tr2bl w:val="nil"/>
                  </w:tcBorders>
                  <w:shd w:val="clear" w:color="auto" w:fill="auto"/>
                  <w:vAlign w:val="center"/>
                </w:tcPr>
                <w:p w14:paraId="2930F9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100/90</w:t>
                  </w:r>
                </w:p>
              </w:tc>
              <w:tc>
                <w:tcPr>
                  <w:tcW w:w="980" w:type="dxa"/>
                  <w:tcBorders>
                    <w:tl2br w:val="nil"/>
                    <w:tr2bl w:val="nil"/>
                  </w:tcBorders>
                  <w:shd w:val="clear" w:color="auto" w:fill="auto"/>
                  <w:vAlign w:val="center"/>
                </w:tcPr>
                <w:p w14:paraId="7A6AD6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TA005</w:t>
                  </w:r>
                </w:p>
              </w:tc>
              <w:tc>
                <w:tcPr>
                  <w:tcW w:w="1112" w:type="dxa"/>
                  <w:tcBorders>
                    <w:tl2br w:val="nil"/>
                    <w:tr2bl w:val="nil"/>
                  </w:tcBorders>
                  <w:shd w:val="clear" w:color="auto" w:fill="auto"/>
                  <w:vAlign w:val="center"/>
                </w:tcPr>
                <w:p w14:paraId="26DBFD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“覆膜布袋除尘器+水喷淋塔”</w:t>
                  </w:r>
                </w:p>
              </w:tc>
              <w:tc>
                <w:tcPr>
                  <w:tcW w:w="914" w:type="dxa"/>
                  <w:tcBorders>
                    <w:tl2br w:val="nil"/>
                    <w:tr2bl w:val="nil"/>
                  </w:tcBorders>
                  <w:shd w:val="clear" w:color="auto" w:fill="auto"/>
                  <w:vAlign w:val="center"/>
                </w:tcPr>
                <w:p w14:paraId="7FBA62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w:t>
                  </w:r>
                </w:p>
              </w:tc>
              <w:tc>
                <w:tcPr>
                  <w:tcW w:w="1007" w:type="dxa"/>
                  <w:tcBorders>
                    <w:tl2br w:val="nil"/>
                    <w:tr2bl w:val="nil"/>
                  </w:tcBorders>
                  <w:shd w:val="clear" w:color="auto" w:fill="auto"/>
                  <w:vAlign w:val="center"/>
                </w:tcPr>
                <w:p w14:paraId="2B415C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是</w:t>
                  </w:r>
                </w:p>
              </w:tc>
              <w:tc>
                <w:tcPr>
                  <w:tcW w:w="914" w:type="dxa"/>
                  <w:tcBorders>
                    <w:tl2br w:val="nil"/>
                    <w:tr2bl w:val="nil"/>
                  </w:tcBorders>
                  <w:shd w:val="clear" w:color="auto" w:fill="auto"/>
                  <w:vAlign w:val="center"/>
                </w:tcPr>
                <w:p w14:paraId="607A0D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5#排放口</w:t>
                  </w:r>
                </w:p>
              </w:tc>
              <w:tc>
                <w:tcPr>
                  <w:tcW w:w="834" w:type="dxa"/>
                  <w:tcBorders>
                    <w:tl2br w:val="nil"/>
                    <w:tr2bl w:val="nil"/>
                  </w:tcBorders>
                  <w:shd w:val="clear" w:color="auto" w:fill="auto"/>
                  <w:vAlign w:val="center"/>
                </w:tcPr>
                <w:p w14:paraId="5EDFC4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DA004</w:t>
                  </w:r>
                </w:p>
              </w:tc>
              <w:tc>
                <w:tcPr>
                  <w:tcW w:w="800" w:type="dxa"/>
                  <w:tcBorders>
                    <w:tl2br w:val="nil"/>
                    <w:tr2bl w:val="nil"/>
                  </w:tcBorders>
                  <w:shd w:val="clear" w:color="auto" w:fill="auto"/>
                  <w:vAlign w:val="center"/>
                </w:tcPr>
                <w:p w14:paraId="63F78C5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一般排放口</w:t>
                  </w:r>
                </w:p>
              </w:tc>
            </w:tr>
          </w:tbl>
          <w:p w14:paraId="7D5C1F12">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表4-</w:t>
            </w:r>
            <w:r>
              <w:rPr>
                <w:rFonts w:hint="eastAsia" w:cs="Times New Roman"/>
                <w:b/>
                <w:bCs/>
                <w:color w:val="auto"/>
                <w:szCs w:val="21"/>
                <w:lang w:val="en-US" w:eastAsia="zh-CN"/>
              </w:rPr>
              <w:t>17</w:t>
            </w:r>
            <w:r>
              <w:rPr>
                <w:rFonts w:hint="default" w:ascii="Times New Roman" w:hAnsi="Times New Roman" w:cs="Times New Roman"/>
                <w:b/>
                <w:bCs/>
                <w:color w:val="auto"/>
                <w:szCs w:val="21"/>
              </w:rPr>
              <w:t xml:space="preserve">  项目有组织废气排放口一览表</w:t>
            </w:r>
          </w:p>
          <w:tbl>
            <w:tblPr>
              <w:tblStyle w:val="26"/>
              <w:tblW w:w="138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85"/>
              <w:gridCol w:w="1588"/>
              <w:gridCol w:w="1684"/>
              <w:gridCol w:w="728"/>
              <w:gridCol w:w="917"/>
              <w:gridCol w:w="1853"/>
              <w:gridCol w:w="1063"/>
              <w:gridCol w:w="1098"/>
              <w:gridCol w:w="909"/>
              <w:gridCol w:w="737"/>
              <w:gridCol w:w="1000"/>
              <w:gridCol w:w="909"/>
              <w:gridCol w:w="686"/>
            </w:tblGrid>
            <w:tr w14:paraId="6FEA8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jc w:val="center"/>
              </w:trPr>
              <w:tc>
                <w:tcPr>
                  <w:tcW w:w="685" w:type="dxa"/>
                  <w:vMerge w:val="restart"/>
                  <w:tcBorders>
                    <w:tl2br w:val="nil"/>
                    <w:tr2bl w:val="nil"/>
                  </w:tcBorders>
                  <w:shd w:val="clear" w:color="auto" w:fill="auto"/>
                  <w:vAlign w:val="center"/>
                </w:tcPr>
                <w:p w14:paraId="7ED908B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排放口编号</w:t>
                  </w:r>
                </w:p>
              </w:tc>
              <w:tc>
                <w:tcPr>
                  <w:tcW w:w="1588" w:type="dxa"/>
                  <w:vMerge w:val="restart"/>
                  <w:tcBorders>
                    <w:tl2br w:val="nil"/>
                    <w:tr2bl w:val="nil"/>
                  </w:tcBorders>
                  <w:shd w:val="clear" w:color="auto" w:fill="auto"/>
                  <w:vAlign w:val="center"/>
                </w:tcPr>
                <w:p w14:paraId="6BF4CCE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废气类型</w:t>
                  </w:r>
                </w:p>
              </w:tc>
              <w:tc>
                <w:tcPr>
                  <w:tcW w:w="1684" w:type="dxa"/>
                  <w:vMerge w:val="restart"/>
                  <w:tcBorders>
                    <w:tl2br w:val="nil"/>
                    <w:tr2bl w:val="nil"/>
                  </w:tcBorders>
                  <w:shd w:val="clear" w:color="auto" w:fill="auto"/>
                  <w:vAlign w:val="center"/>
                </w:tcPr>
                <w:p w14:paraId="500850F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污染物种类</w:t>
                  </w:r>
                </w:p>
              </w:tc>
              <w:tc>
                <w:tcPr>
                  <w:tcW w:w="1645" w:type="dxa"/>
                  <w:gridSpan w:val="2"/>
                  <w:tcBorders>
                    <w:tl2br w:val="nil"/>
                    <w:tr2bl w:val="nil"/>
                  </w:tcBorders>
                  <w:shd w:val="clear" w:color="auto" w:fill="auto"/>
                  <w:vAlign w:val="center"/>
                </w:tcPr>
                <w:p w14:paraId="6728C2F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地理坐标</w:t>
                  </w:r>
                </w:p>
              </w:tc>
              <w:tc>
                <w:tcPr>
                  <w:tcW w:w="4014" w:type="dxa"/>
                  <w:gridSpan w:val="3"/>
                  <w:tcBorders>
                    <w:tl2br w:val="nil"/>
                    <w:tr2bl w:val="nil"/>
                  </w:tcBorders>
                  <w:shd w:val="clear" w:color="auto" w:fill="auto"/>
                  <w:vAlign w:val="center"/>
                </w:tcPr>
                <w:p w14:paraId="03D134D0">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18"/>
                      <w:szCs w:val="18"/>
                      <w:u w:val="none"/>
                      <w:lang w:val="en-US" w:eastAsia="zh-CN" w:bidi="ar"/>
                    </w:rPr>
                  </w:pPr>
                  <w:r>
                    <w:rPr>
                      <w:rFonts w:hint="default" w:ascii="Times New Roman" w:hAnsi="Times New Roman" w:eastAsia="宋体" w:cs="Times New Roman"/>
                      <w:b/>
                      <w:bCs/>
                      <w:i w:val="0"/>
                      <w:iCs w:val="0"/>
                      <w:color w:val="000000"/>
                      <w:kern w:val="0"/>
                      <w:sz w:val="18"/>
                      <w:szCs w:val="18"/>
                      <w:u w:val="none"/>
                      <w:lang w:val="en-US" w:eastAsia="zh-CN" w:bidi="ar"/>
                    </w:rPr>
                    <w:t>排放标准</w:t>
                  </w:r>
                </w:p>
              </w:tc>
              <w:tc>
                <w:tcPr>
                  <w:tcW w:w="2646" w:type="dxa"/>
                  <w:gridSpan w:val="3"/>
                  <w:tcBorders>
                    <w:tl2br w:val="nil"/>
                    <w:tr2bl w:val="nil"/>
                  </w:tcBorders>
                  <w:shd w:val="clear" w:color="auto" w:fill="auto"/>
                  <w:vAlign w:val="center"/>
                </w:tcPr>
                <w:p w14:paraId="4EA6339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排气筒参数</w:t>
                  </w:r>
                </w:p>
              </w:tc>
              <w:tc>
                <w:tcPr>
                  <w:tcW w:w="909" w:type="dxa"/>
                  <w:vMerge w:val="restart"/>
                  <w:tcBorders>
                    <w:tl2br w:val="nil"/>
                    <w:tr2bl w:val="nil"/>
                  </w:tcBorders>
                  <w:shd w:val="clear" w:color="auto" w:fill="auto"/>
                  <w:vAlign w:val="center"/>
                </w:tcPr>
                <w:p w14:paraId="533A774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达标情况</w:t>
                  </w:r>
                </w:p>
              </w:tc>
              <w:tc>
                <w:tcPr>
                  <w:tcW w:w="686" w:type="dxa"/>
                  <w:vMerge w:val="restart"/>
                  <w:tcBorders>
                    <w:tl2br w:val="nil"/>
                    <w:tr2bl w:val="nil"/>
                  </w:tcBorders>
                  <w:shd w:val="clear" w:color="auto" w:fill="auto"/>
                  <w:vAlign w:val="center"/>
                </w:tcPr>
                <w:p w14:paraId="360B480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排放口类型</w:t>
                  </w:r>
                </w:p>
              </w:tc>
            </w:tr>
            <w:tr w14:paraId="2BFAE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32" w:hRule="atLeast"/>
                <w:jc w:val="center"/>
              </w:trPr>
              <w:tc>
                <w:tcPr>
                  <w:tcW w:w="685" w:type="dxa"/>
                  <w:vMerge w:val="continue"/>
                  <w:tcBorders>
                    <w:tl2br w:val="nil"/>
                    <w:tr2bl w:val="nil"/>
                  </w:tcBorders>
                  <w:shd w:val="clear" w:color="auto" w:fill="auto"/>
                  <w:vAlign w:val="center"/>
                </w:tcPr>
                <w:p w14:paraId="5F6CAA91">
                  <w:pPr>
                    <w:jc w:val="center"/>
                    <w:rPr>
                      <w:rFonts w:hint="default" w:ascii="Times New Roman" w:hAnsi="Times New Roman" w:eastAsia="宋体" w:cs="Times New Roman"/>
                      <w:b/>
                      <w:bCs/>
                      <w:i w:val="0"/>
                      <w:iCs w:val="0"/>
                      <w:color w:val="000000"/>
                      <w:sz w:val="18"/>
                      <w:szCs w:val="18"/>
                      <w:u w:val="none"/>
                    </w:rPr>
                  </w:pPr>
                </w:p>
              </w:tc>
              <w:tc>
                <w:tcPr>
                  <w:tcW w:w="1588" w:type="dxa"/>
                  <w:vMerge w:val="continue"/>
                  <w:tcBorders>
                    <w:tl2br w:val="nil"/>
                    <w:tr2bl w:val="nil"/>
                  </w:tcBorders>
                  <w:shd w:val="clear" w:color="auto" w:fill="auto"/>
                  <w:vAlign w:val="center"/>
                </w:tcPr>
                <w:p w14:paraId="77A8EBEF">
                  <w:pPr>
                    <w:jc w:val="center"/>
                    <w:rPr>
                      <w:rFonts w:hint="default" w:ascii="Times New Roman" w:hAnsi="Times New Roman" w:eastAsia="宋体" w:cs="Times New Roman"/>
                      <w:b/>
                      <w:bCs/>
                      <w:i w:val="0"/>
                      <w:iCs w:val="0"/>
                      <w:color w:val="000000"/>
                      <w:sz w:val="18"/>
                      <w:szCs w:val="18"/>
                      <w:u w:val="none"/>
                    </w:rPr>
                  </w:pPr>
                </w:p>
              </w:tc>
              <w:tc>
                <w:tcPr>
                  <w:tcW w:w="1684" w:type="dxa"/>
                  <w:vMerge w:val="continue"/>
                  <w:tcBorders>
                    <w:tl2br w:val="nil"/>
                    <w:tr2bl w:val="nil"/>
                  </w:tcBorders>
                  <w:shd w:val="clear" w:color="auto" w:fill="auto"/>
                  <w:vAlign w:val="center"/>
                </w:tcPr>
                <w:p w14:paraId="2F0820E5">
                  <w:pPr>
                    <w:jc w:val="center"/>
                    <w:rPr>
                      <w:rFonts w:hint="default" w:ascii="Times New Roman" w:hAnsi="Times New Roman" w:eastAsia="宋体" w:cs="Times New Roman"/>
                      <w:b/>
                      <w:bCs/>
                      <w:i w:val="0"/>
                      <w:iCs w:val="0"/>
                      <w:color w:val="000000"/>
                      <w:sz w:val="18"/>
                      <w:szCs w:val="18"/>
                      <w:u w:val="none"/>
                    </w:rPr>
                  </w:pPr>
                </w:p>
              </w:tc>
              <w:tc>
                <w:tcPr>
                  <w:tcW w:w="728" w:type="dxa"/>
                  <w:tcBorders>
                    <w:tl2br w:val="nil"/>
                    <w:tr2bl w:val="nil"/>
                  </w:tcBorders>
                  <w:shd w:val="clear" w:color="auto" w:fill="auto"/>
                  <w:vAlign w:val="center"/>
                </w:tcPr>
                <w:p w14:paraId="7DA2527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经度</w:t>
                  </w:r>
                </w:p>
              </w:tc>
              <w:tc>
                <w:tcPr>
                  <w:tcW w:w="917" w:type="dxa"/>
                  <w:tcBorders>
                    <w:tl2br w:val="nil"/>
                    <w:tr2bl w:val="nil"/>
                  </w:tcBorders>
                  <w:shd w:val="clear" w:color="auto" w:fill="auto"/>
                  <w:vAlign w:val="center"/>
                </w:tcPr>
                <w:p w14:paraId="171046D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纬度</w:t>
                  </w:r>
                </w:p>
              </w:tc>
              <w:tc>
                <w:tcPr>
                  <w:tcW w:w="1853" w:type="dxa"/>
                  <w:tcBorders>
                    <w:tl2br w:val="nil"/>
                    <w:tr2bl w:val="nil"/>
                  </w:tcBorders>
                  <w:shd w:val="clear" w:color="auto" w:fill="auto"/>
                  <w:vAlign w:val="center"/>
                </w:tcPr>
                <w:p w14:paraId="14AC798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标准名称</w:t>
                  </w:r>
                </w:p>
              </w:tc>
              <w:tc>
                <w:tcPr>
                  <w:tcW w:w="1063" w:type="dxa"/>
                  <w:tcBorders>
                    <w:tl2br w:val="nil"/>
                    <w:tr2bl w:val="nil"/>
                  </w:tcBorders>
                  <w:shd w:val="clear" w:color="auto" w:fill="auto"/>
                  <w:vAlign w:val="center"/>
                </w:tcPr>
                <w:p w14:paraId="1A0991E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最高允许排放浓度（mg/m</w:t>
                  </w:r>
                  <w:r>
                    <w:rPr>
                      <w:rFonts w:hint="default" w:ascii="Times New Roman" w:hAnsi="Times New Roman" w:eastAsia="宋体" w:cs="Times New Roman"/>
                      <w:b/>
                      <w:bCs/>
                      <w:i w:val="0"/>
                      <w:iCs w:val="0"/>
                      <w:color w:val="000000"/>
                      <w:kern w:val="0"/>
                      <w:sz w:val="18"/>
                      <w:szCs w:val="18"/>
                      <w:u w:val="none"/>
                      <w:vertAlign w:val="superscript"/>
                      <w:lang w:val="en-US" w:eastAsia="zh-CN" w:bidi="ar"/>
                    </w:rPr>
                    <w:t>3</w:t>
                  </w:r>
                  <w:r>
                    <w:rPr>
                      <w:rFonts w:hint="default" w:ascii="Times New Roman" w:hAnsi="Times New Roman" w:eastAsia="宋体" w:cs="Times New Roman"/>
                      <w:b/>
                      <w:bCs/>
                      <w:i w:val="0"/>
                      <w:iCs w:val="0"/>
                      <w:color w:val="000000"/>
                      <w:kern w:val="0"/>
                      <w:sz w:val="18"/>
                      <w:szCs w:val="18"/>
                      <w:u w:val="none"/>
                      <w:lang w:val="en-US" w:eastAsia="zh-CN" w:bidi="ar"/>
                    </w:rPr>
                    <w:t>）</w:t>
                  </w:r>
                </w:p>
              </w:tc>
              <w:tc>
                <w:tcPr>
                  <w:tcW w:w="1098" w:type="dxa"/>
                  <w:tcBorders>
                    <w:tl2br w:val="nil"/>
                    <w:tr2bl w:val="nil"/>
                  </w:tcBorders>
                  <w:shd w:val="clear" w:color="auto" w:fill="auto"/>
                  <w:vAlign w:val="center"/>
                </w:tcPr>
                <w:p w14:paraId="6276F56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最高允许排放速率（kg/h）</w:t>
                  </w:r>
                </w:p>
              </w:tc>
              <w:tc>
                <w:tcPr>
                  <w:tcW w:w="909" w:type="dxa"/>
                  <w:tcBorders>
                    <w:tl2br w:val="nil"/>
                    <w:tr2bl w:val="nil"/>
                  </w:tcBorders>
                  <w:shd w:val="clear" w:color="auto" w:fill="auto"/>
                  <w:vAlign w:val="center"/>
                </w:tcPr>
                <w:p w14:paraId="7D77A48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高度（m）</w:t>
                  </w:r>
                </w:p>
              </w:tc>
              <w:tc>
                <w:tcPr>
                  <w:tcW w:w="737" w:type="dxa"/>
                  <w:tcBorders>
                    <w:tl2br w:val="nil"/>
                    <w:tr2bl w:val="nil"/>
                  </w:tcBorders>
                  <w:shd w:val="clear" w:color="auto" w:fill="auto"/>
                  <w:vAlign w:val="center"/>
                </w:tcPr>
                <w:p w14:paraId="66B8DC4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内径（m）</w:t>
                  </w:r>
                </w:p>
              </w:tc>
              <w:tc>
                <w:tcPr>
                  <w:tcW w:w="1000" w:type="dxa"/>
                  <w:tcBorders>
                    <w:tl2br w:val="nil"/>
                    <w:tr2bl w:val="nil"/>
                  </w:tcBorders>
                  <w:shd w:val="clear" w:color="auto" w:fill="auto"/>
                  <w:vAlign w:val="center"/>
                </w:tcPr>
                <w:p w14:paraId="0C0B13E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color w:val="000000"/>
                      <w:kern w:val="0"/>
                      <w:sz w:val="18"/>
                      <w:szCs w:val="18"/>
                      <w:u w:val="none"/>
                      <w:lang w:val="en-US" w:eastAsia="zh-CN" w:bidi="ar"/>
                    </w:rPr>
                    <w:t>温度（℃）</w:t>
                  </w:r>
                </w:p>
              </w:tc>
              <w:tc>
                <w:tcPr>
                  <w:tcW w:w="909" w:type="dxa"/>
                  <w:vMerge w:val="continue"/>
                  <w:tcBorders>
                    <w:tl2br w:val="nil"/>
                    <w:tr2bl w:val="nil"/>
                  </w:tcBorders>
                  <w:shd w:val="clear" w:color="auto" w:fill="auto"/>
                  <w:vAlign w:val="center"/>
                </w:tcPr>
                <w:p w14:paraId="734FAD07">
                  <w:pPr>
                    <w:jc w:val="center"/>
                    <w:rPr>
                      <w:rFonts w:hint="default" w:ascii="Times New Roman" w:hAnsi="Times New Roman" w:eastAsia="宋体" w:cs="Times New Roman"/>
                      <w:b/>
                      <w:bCs/>
                      <w:i w:val="0"/>
                      <w:iCs w:val="0"/>
                      <w:color w:val="000000"/>
                      <w:sz w:val="18"/>
                      <w:szCs w:val="18"/>
                      <w:u w:val="none"/>
                    </w:rPr>
                  </w:pPr>
                </w:p>
              </w:tc>
              <w:tc>
                <w:tcPr>
                  <w:tcW w:w="686" w:type="dxa"/>
                  <w:vMerge w:val="continue"/>
                  <w:tcBorders>
                    <w:tl2br w:val="nil"/>
                    <w:tr2bl w:val="nil"/>
                  </w:tcBorders>
                  <w:shd w:val="clear" w:color="auto" w:fill="auto"/>
                  <w:vAlign w:val="center"/>
                </w:tcPr>
                <w:p w14:paraId="7E264C9E">
                  <w:pPr>
                    <w:jc w:val="center"/>
                    <w:rPr>
                      <w:rFonts w:hint="default" w:ascii="Times New Roman" w:hAnsi="Times New Roman" w:eastAsia="宋体" w:cs="Times New Roman"/>
                      <w:b/>
                      <w:bCs/>
                      <w:i w:val="0"/>
                      <w:iCs w:val="0"/>
                      <w:color w:val="000000"/>
                      <w:sz w:val="18"/>
                      <w:szCs w:val="18"/>
                      <w:u w:val="none"/>
                    </w:rPr>
                  </w:pPr>
                </w:p>
              </w:tc>
            </w:tr>
            <w:tr w14:paraId="58FB0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jc w:val="center"/>
              </w:trPr>
              <w:tc>
                <w:tcPr>
                  <w:tcW w:w="685" w:type="dxa"/>
                  <w:vMerge w:val="restart"/>
                  <w:tcBorders>
                    <w:tl2br w:val="nil"/>
                    <w:tr2bl w:val="nil"/>
                  </w:tcBorders>
                  <w:shd w:val="clear" w:color="auto" w:fill="auto"/>
                  <w:vAlign w:val="center"/>
                </w:tcPr>
                <w:p w14:paraId="47BF8E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DA001</w:t>
                  </w:r>
                </w:p>
              </w:tc>
              <w:tc>
                <w:tcPr>
                  <w:tcW w:w="1588" w:type="dxa"/>
                  <w:vMerge w:val="restart"/>
                  <w:tcBorders>
                    <w:tl2br w:val="nil"/>
                    <w:tr2bl w:val="nil"/>
                  </w:tcBorders>
                  <w:shd w:val="clear" w:color="auto" w:fill="auto"/>
                  <w:vAlign w:val="center"/>
                </w:tcPr>
                <w:p w14:paraId="19366DD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热解炉尾气、燃烧室不凝气燃烧废气、清洗炉燃烧烟气、烘干炉燃烧烟气、油罐呼吸气</w:t>
                  </w:r>
                </w:p>
              </w:tc>
              <w:tc>
                <w:tcPr>
                  <w:tcW w:w="1684" w:type="dxa"/>
                  <w:tcBorders>
                    <w:tl2br w:val="nil"/>
                    <w:tr2bl w:val="nil"/>
                  </w:tcBorders>
                  <w:shd w:val="clear" w:color="auto" w:fill="auto"/>
                  <w:vAlign w:val="center"/>
                </w:tcPr>
                <w:p w14:paraId="06ACF4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二氧化硫</w:t>
                  </w:r>
                </w:p>
              </w:tc>
              <w:tc>
                <w:tcPr>
                  <w:tcW w:w="728" w:type="dxa"/>
                  <w:vMerge w:val="restart"/>
                  <w:tcBorders>
                    <w:tl2br w:val="nil"/>
                    <w:tr2bl w:val="nil"/>
                  </w:tcBorders>
                  <w:shd w:val="clear" w:color="auto" w:fill="auto"/>
                  <w:vAlign w:val="center"/>
                </w:tcPr>
                <w:p w14:paraId="0133047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117.639391°</w:t>
                  </w:r>
                </w:p>
              </w:tc>
              <w:tc>
                <w:tcPr>
                  <w:tcW w:w="917" w:type="dxa"/>
                  <w:vMerge w:val="restart"/>
                  <w:tcBorders>
                    <w:tl2br w:val="nil"/>
                    <w:tr2bl w:val="nil"/>
                  </w:tcBorders>
                  <w:shd w:val="clear" w:color="auto" w:fill="auto"/>
                  <w:vAlign w:val="center"/>
                </w:tcPr>
                <w:p w14:paraId="7E10B0F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30.740755°</w:t>
                  </w:r>
                </w:p>
              </w:tc>
              <w:tc>
                <w:tcPr>
                  <w:tcW w:w="1853" w:type="dxa"/>
                  <w:vMerge w:val="restart"/>
                  <w:tcBorders>
                    <w:tl2br w:val="nil"/>
                    <w:tr2bl w:val="nil"/>
                  </w:tcBorders>
                  <w:shd w:val="clear" w:color="auto" w:fill="auto"/>
                  <w:vAlign w:val="center"/>
                </w:tcPr>
                <w:p w14:paraId="2257ED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《危险废物焚烧污染控制标准》（GB18484-2020）、《大气污染物综合排放标准》（GB16297-1996）</w:t>
                  </w:r>
                </w:p>
              </w:tc>
              <w:tc>
                <w:tcPr>
                  <w:tcW w:w="1063" w:type="dxa"/>
                  <w:tcBorders>
                    <w:tl2br w:val="nil"/>
                    <w:tr2bl w:val="nil"/>
                  </w:tcBorders>
                  <w:shd w:val="clear" w:color="auto" w:fill="auto"/>
                  <w:vAlign w:val="center"/>
                </w:tcPr>
                <w:p w14:paraId="4A15E9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1098" w:type="dxa"/>
                  <w:tcBorders>
                    <w:tl2br w:val="nil"/>
                    <w:tr2bl w:val="nil"/>
                  </w:tcBorders>
                  <w:shd w:val="clear" w:color="auto" w:fill="auto"/>
                  <w:vAlign w:val="center"/>
                </w:tcPr>
                <w:p w14:paraId="2A3DAC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09" w:type="dxa"/>
                  <w:vMerge w:val="restart"/>
                  <w:tcBorders>
                    <w:tl2br w:val="nil"/>
                    <w:tr2bl w:val="nil"/>
                  </w:tcBorders>
                  <w:shd w:val="clear" w:color="auto" w:fill="auto"/>
                  <w:vAlign w:val="center"/>
                </w:tcPr>
                <w:p w14:paraId="3F3D14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737" w:type="dxa"/>
                  <w:vMerge w:val="restart"/>
                  <w:tcBorders>
                    <w:tl2br w:val="nil"/>
                    <w:tr2bl w:val="nil"/>
                  </w:tcBorders>
                  <w:shd w:val="clear" w:color="auto" w:fill="auto"/>
                  <w:vAlign w:val="center"/>
                </w:tcPr>
                <w:p w14:paraId="640182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w:t>
                  </w:r>
                </w:p>
              </w:tc>
              <w:tc>
                <w:tcPr>
                  <w:tcW w:w="1000" w:type="dxa"/>
                  <w:vMerge w:val="restart"/>
                  <w:tcBorders>
                    <w:tl2br w:val="nil"/>
                    <w:tr2bl w:val="nil"/>
                  </w:tcBorders>
                  <w:shd w:val="clear" w:color="auto" w:fill="auto"/>
                  <w:vAlign w:val="center"/>
                </w:tcPr>
                <w:p w14:paraId="4D7695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w:t>
                  </w:r>
                </w:p>
              </w:tc>
              <w:tc>
                <w:tcPr>
                  <w:tcW w:w="909" w:type="dxa"/>
                  <w:vMerge w:val="restart"/>
                  <w:tcBorders>
                    <w:tl2br w:val="nil"/>
                    <w:tr2bl w:val="nil"/>
                  </w:tcBorders>
                  <w:shd w:val="clear" w:color="auto" w:fill="auto"/>
                  <w:vAlign w:val="center"/>
                </w:tcPr>
                <w:p w14:paraId="23CF31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达标</w:t>
                  </w:r>
                </w:p>
              </w:tc>
              <w:tc>
                <w:tcPr>
                  <w:tcW w:w="686" w:type="dxa"/>
                  <w:vMerge w:val="restart"/>
                  <w:tcBorders>
                    <w:tl2br w:val="nil"/>
                    <w:tr2bl w:val="nil"/>
                  </w:tcBorders>
                  <w:shd w:val="clear" w:color="auto" w:fill="auto"/>
                  <w:vAlign w:val="center"/>
                </w:tcPr>
                <w:p w14:paraId="0C22C4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主要排放口</w:t>
                  </w:r>
                </w:p>
              </w:tc>
            </w:tr>
            <w:tr w14:paraId="62E11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0" w:hRule="atLeast"/>
                <w:jc w:val="center"/>
              </w:trPr>
              <w:tc>
                <w:tcPr>
                  <w:tcW w:w="685" w:type="dxa"/>
                  <w:vMerge w:val="continue"/>
                  <w:tcBorders>
                    <w:tl2br w:val="nil"/>
                    <w:tr2bl w:val="nil"/>
                  </w:tcBorders>
                  <w:shd w:val="clear" w:color="auto" w:fill="auto"/>
                  <w:vAlign w:val="center"/>
                </w:tcPr>
                <w:p w14:paraId="7BF7BD6B">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0AD08F4F">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077BC7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氮氧化物</w:t>
                  </w:r>
                </w:p>
              </w:tc>
              <w:tc>
                <w:tcPr>
                  <w:tcW w:w="728" w:type="dxa"/>
                  <w:vMerge w:val="continue"/>
                  <w:tcBorders>
                    <w:tl2br w:val="nil"/>
                    <w:tr2bl w:val="nil"/>
                  </w:tcBorders>
                  <w:shd w:val="clear" w:color="auto" w:fill="auto"/>
                  <w:vAlign w:val="center"/>
                </w:tcPr>
                <w:p w14:paraId="46E47BCA">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641D439D">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697C3159">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29F05C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w:t>
                  </w:r>
                </w:p>
              </w:tc>
              <w:tc>
                <w:tcPr>
                  <w:tcW w:w="1098" w:type="dxa"/>
                  <w:tcBorders>
                    <w:tl2br w:val="nil"/>
                    <w:tr2bl w:val="nil"/>
                  </w:tcBorders>
                  <w:shd w:val="clear" w:color="auto" w:fill="auto"/>
                  <w:vAlign w:val="center"/>
                </w:tcPr>
                <w:p w14:paraId="7896D1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09" w:type="dxa"/>
                  <w:vMerge w:val="continue"/>
                  <w:tcBorders>
                    <w:tl2br w:val="nil"/>
                    <w:tr2bl w:val="nil"/>
                  </w:tcBorders>
                  <w:shd w:val="clear" w:color="auto" w:fill="auto"/>
                  <w:vAlign w:val="center"/>
                </w:tcPr>
                <w:p w14:paraId="55B146A3">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4B9D87AC">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3E1FBAAC">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6993951B">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047283B9">
                  <w:pPr>
                    <w:jc w:val="center"/>
                    <w:rPr>
                      <w:rFonts w:hint="default" w:ascii="Times New Roman" w:hAnsi="Times New Roman" w:eastAsia="宋体" w:cs="Times New Roman"/>
                      <w:i w:val="0"/>
                      <w:iCs w:val="0"/>
                      <w:color w:val="000000"/>
                      <w:sz w:val="18"/>
                      <w:szCs w:val="18"/>
                      <w:u w:val="none"/>
                    </w:rPr>
                  </w:pPr>
                </w:p>
              </w:tc>
            </w:tr>
            <w:tr w14:paraId="656E2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91" w:hRule="atLeast"/>
                <w:jc w:val="center"/>
              </w:trPr>
              <w:tc>
                <w:tcPr>
                  <w:tcW w:w="685" w:type="dxa"/>
                  <w:vMerge w:val="continue"/>
                  <w:tcBorders>
                    <w:tl2br w:val="nil"/>
                    <w:tr2bl w:val="nil"/>
                  </w:tcBorders>
                  <w:shd w:val="clear" w:color="auto" w:fill="auto"/>
                  <w:vAlign w:val="center"/>
                </w:tcPr>
                <w:p w14:paraId="37F29ADD">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7EB7EBB8">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225C8E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w:t>
                  </w:r>
                  <w:r>
                    <w:rPr>
                      <w:rFonts w:hint="eastAsia" w:cs="Times New Roman"/>
                      <w:i w:val="0"/>
                      <w:iCs w:val="0"/>
                      <w:color w:val="000000"/>
                      <w:kern w:val="0"/>
                      <w:sz w:val="18"/>
                      <w:szCs w:val="18"/>
                      <w:u w:val="none"/>
                      <w:lang w:val="en-US" w:eastAsia="zh-CN" w:bidi="ar"/>
                    </w:rPr>
                    <w:t>含炭黑尘、铜、锡等</w:t>
                  </w:r>
                  <w:r>
                    <w:rPr>
                      <w:rFonts w:hint="default" w:ascii="Times New Roman" w:hAnsi="Times New Roman" w:eastAsia="宋体" w:cs="Times New Roman"/>
                      <w:i w:val="0"/>
                      <w:iCs w:val="0"/>
                      <w:color w:val="000000"/>
                      <w:kern w:val="0"/>
                      <w:sz w:val="18"/>
                      <w:szCs w:val="18"/>
                      <w:u w:val="none"/>
                      <w:lang w:val="en-US" w:eastAsia="zh-CN" w:bidi="ar"/>
                    </w:rPr>
                    <w:t>）</w:t>
                  </w:r>
                </w:p>
              </w:tc>
              <w:tc>
                <w:tcPr>
                  <w:tcW w:w="728" w:type="dxa"/>
                  <w:vMerge w:val="continue"/>
                  <w:tcBorders>
                    <w:tl2br w:val="nil"/>
                    <w:tr2bl w:val="nil"/>
                  </w:tcBorders>
                  <w:shd w:val="clear" w:color="auto" w:fill="auto"/>
                  <w:vAlign w:val="center"/>
                </w:tcPr>
                <w:p w14:paraId="7BE69ACF">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6F8054E1">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71CEFAE6">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38C036C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098" w:type="dxa"/>
                  <w:tcBorders>
                    <w:tl2br w:val="nil"/>
                    <w:tr2bl w:val="nil"/>
                  </w:tcBorders>
                  <w:shd w:val="clear" w:color="auto" w:fill="auto"/>
                  <w:vAlign w:val="center"/>
                </w:tcPr>
                <w:p w14:paraId="51C700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0.255</w:t>
                  </w:r>
                </w:p>
              </w:tc>
              <w:tc>
                <w:tcPr>
                  <w:tcW w:w="909" w:type="dxa"/>
                  <w:vMerge w:val="continue"/>
                  <w:tcBorders>
                    <w:tl2br w:val="nil"/>
                    <w:tr2bl w:val="nil"/>
                  </w:tcBorders>
                  <w:shd w:val="clear" w:color="auto" w:fill="auto"/>
                  <w:vAlign w:val="center"/>
                </w:tcPr>
                <w:p w14:paraId="717B7438">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73AEA0B5">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655E02F8">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74648530">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57EFF98B">
                  <w:pPr>
                    <w:jc w:val="center"/>
                    <w:rPr>
                      <w:rFonts w:hint="default" w:ascii="Times New Roman" w:hAnsi="Times New Roman" w:eastAsia="宋体" w:cs="Times New Roman"/>
                      <w:i w:val="0"/>
                      <w:iCs w:val="0"/>
                      <w:color w:val="000000"/>
                      <w:sz w:val="18"/>
                      <w:szCs w:val="18"/>
                      <w:u w:val="none"/>
                    </w:rPr>
                  </w:pPr>
                </w:p>
              </w:tc>
            </w:tr>
            <w:tr w14:paraId="5FBDA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0" w:hRule="atLeast"/>
                <w:jc w:val="center"/>
              </w:trPr>
              <w:tc>
                <w:tcPr>
                  <w:tcW w:w="685" w:type="dxa"/>
                  <w:vMerge w:val="continue"/>
                  <w:tcBorders>
                    <w:tl2br w:val="nil"/>
                    <w:tr2bl w:val="nil"/>
                  </w:tcBorders>
                  <w:shd w:val="clear" w:color="auto" w:fill="auto"/>
                  <w:vAlign w:val="center"/>
                </w:tcPr>
                <w:p w14:paraId="14EF2A70">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25DF739B">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2AC3C8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锡及其化合物</w:t>
                  </w:r>
                </w:p>
              </w:tc>
              <w:tc>
                <w:tcPr>
                  <w:tcW w:w="728" w:type="dxa"/>
                  <w:vMerge w:val="continue"/>
                  <w:tcBorders>
                    <w:tl2br w:val="nil"/>
                    <w:tr2bl w:val="nil"/>
                  </w:tcBorders>
                  <w:shd w:val="clear" w:color="auto" w:fill="auto"/>
                  <w:vAlign w:val="center"/>
                </w:tcPr>
                <w:p w14:paraId="6DF6640E">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33C99CC5">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6A1F3C93">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61598B5B">
                  <w:pPr>
                    <w:jc w:val="center"/>
                    <w:rPr>
                      <w:rFonts w:hint="default" w:ascii="Times New Roman" w:hAnsi="Times New Roman" w:eastAsia="宋体" w:cs="Times New Roman"/>
                      <w:i w:val="0"/>
                      <w:iCs w:val="0"/>
                      <w:color w:val="000000"/>
                      <w:sz w:val="18"/>
                      <w:szCs w:val="18"/>
                      <w:u w:val="none"/>
                      <w:lang w:val="en-US" w:eastAsia="zh-CN"/>
                    </w:rPr>
                  </w:pPr>
                  <w:r>
                    <w:rPr>
                      <w:rFonts w:hint="eastAsia" w:cs="Times New Roman"/>
                      <w:i w:val="0"/>
                      <w:iCs w:val="0"/>
                      <w:color w:val="000000"/>
                      <w:sz w:val="18"/>
                      <w:szCs w:val="18"/>
                      <w:u w:val="none"/>
                      <w:lang w:val="en-US" w:eastAsia="zh-CN"/>
                    </w:rPr>
                    <w:t>2.0</w:t>
                  </w:r>
                </w:p>
              </w:tc>
              <w:tc>
                <w:tcPr>
                  <w:tcW w:w="1098" w:type="dxa"/>
                  <w:tcBorders>
                    <w:tl2br w:val="nil"/>
                    <w:tr2bl w:val="nil"/>
                  </w:tcBorders>
                  <w:shd w:val="clear" w:color="auto" w:fill="auto"/>
                  <w:vAlign w:val="center"/>
                </w:tcPr>
                <w:p w14:paraId="6A1556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09" w:type="dxa"/>
                  <w:vMerge w:val="continue"/>
                  <w:tcBorders>
                    <w:tl2br w:val="nil"/>
                    <w:tr2bl w:val="nil"/>
                  </w:tcBorders>
                  <w:shd w:val="clear" w:color="auto" w:fill="auto"/>
                  <w:vAlign w:val="center"/>
                </w:tcPr>
                <w:p w14:paraId="594EBA23">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023D41E2">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75E51CA0">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68480C93">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2372FDA2">
                  <w:pPr>
                    <w:jc w:val="center"/>
                    <w:rPr>
                      <w:rFonts w:hint="default" w:ascii="Times New Roman" w:hAnsi="Times New Roman" w:eastAsia="宋体" w:cs="Times New Roman"/>
                      <w:i w:val="0"/>
                      <w:iCs w:val="0"/>
                      <w:color w:val="000000"/>
                      <w:sz w:val="18"/>
                      <w:szCs w:val="18"/>
                      <w:u w:val="none"/>
                    </w:rPr>
                  </w:pPr>
                </w:p>
              </w:tc>
            </w:tr>
            <w:tr w14:paraId="10B7A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0" w:hRule="atLeast"/>
                <w:jc w:val="center"/>
              </w:trPr>
              <w:tc>
                <w:tcPr>
                  <w:tcW w:w="685" w:type="dxa"/>
                  <w:vMerge w:val="continue"/>
                  <w:tcBorders>
                    <w:tl2br w:val="nil"/>
                    <w:tr2bl w:val="nil"/>
                  </w:tcBorders>
                  <w:shd w:val="clear" w:color="auto" w:fill="auto"/>
                  <w:vAlign w:val="center"/>
                </w:tcPr>
                <w:p w14:paraId="4319E311">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393FC57D">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0000E5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铜</w:t>
                  </w:r>
                  <w:r>
                    <w:rPr>
                      <w:rFonts w:hint="default" w:ascii="Times New Roman" w:hAnsi="Times New Roman" w:eastAsia="宋体" w:cs="Times New Roman"/>
                      <w:i w:val="0"/>
                      <w:iCs w:val="0"/>
                      <w:color w:val="000000"/>
                      <w:kern w:val="0"/>
                      <w:sz w:val="18"/>
                      <w:szCs w:val="18"/>
                      <w:u w:val="none"/>
                      <w:lang w:val="en-US" w:eastAsia="zh-CN" w:bidi="ar"/>
                    </w:rPr>
                    <w:t>及其化合物</w:t>
                  </w:r>
                </w:p>
              </w:tc>
              <w:tc>
                <w:tcPr>
                  <w:tcW w:w="728" w:type="dxa"/>
                  <w:vMerge w:val="continue"/>
                  <w:tcBorders>
                    <w:tl2br w:val="nil"/>
                    <w:tr2bl w:val="nil"/>
                  </w:tcBorders>
                  <w:shd w:val="clear" w:color="auto" w:fill="auto"/>
                  <w:vAlign w:val="center"/>
                </w:tcPr>
                <w:p w14:paraId="10E5FDB9">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4EE05792">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612D5806">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7BF45977">
                  <w:pPr>
                    <w:jc w:val="center"/>
                    <w:rPr>
                      <w:rFonts w:hint="default" w:cs="Times New Roman"/>
                      <w:i w:val="0"/>
                      <w:iCs w:val="0"/>
                      <w:color w:val="000000"/>
                      <w:sz w:val="18"/>
                      <w:szCs w:val="18"/>
                      <w:u w:val="none"/>
                      <w:lang w:val="en-US" w:eastAsia="zh-CN"/>
                    </w:rPr>
                  </w:pPr>
                  <w:r>
                    <w:rPr>
                      <w:rFonts w:hint="eastAsia" w:cs="Times New Roman"/>
                      <w:i w:val="0"/>
                      <w:iCs w:val="0"/>
                      <w:color w:val="000000"/>
                      <w:sz w:val="18"/>
                      <w:szCs w:val="18"/>
                      <w:u w:val="none"/>
                      <w:lang w:val="en-US" w:eastAsia="zh-CN"/>
                    </w:rPr>
                    <w:t>2</w:t>
                  </w:r>
                </w:p>
              </w:tc>
              <w:tc>
                <w:tcPr>
                  <w:tcW w:w="1098" w:type="dxa"/>
                  <w:tcBorders>
                    <w:tl2br w:val="nil"/>
                    <w:tr2bl w:val="nil"/>
                  </w:tcBorders>
                  <w:shd w:val="clear" w:color="auto" w:fill="auto"/>
                  <w:vAlign w:val="center"/>
                </w:tcPr>
                <w:p w14:paraId="46212AA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p>
              </w:tc>
              <w:tc>
                <w:tcPr>
                  <w:tcW w:w="909" w:type="dxa"/>
                  <w:vMerge w:val="continue"/>
                  <w:tcBorders>
                    <w:tl2br w:val="nil"/>
                    <w:tr2bl w:val="nil"/>
                  </w:tcBorders>
                  <w:shd w:val="clear" w:color="auto" w:fill="auto"/>
                  <w:vAlign w:val="center"/>
                </w:tcPr>
                <w:p w14:paraId="6B351B84">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14F4874E">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520BE64A">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34E131F9">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4EF0C993">
                  <w:pPr>
                    <w:jc w:val="center"/>
                    <w:rPr>
                      <w:rFonts w:hint="default" w:ascii="Times New Roman" w:hAnsi="Times New Roman" w:eastAsia="宋体" w:cs="Times New Roman"/>
                      <w:i w:val="0"/>
                      <w:iCs w:val="0"/>
                      <w:color w:val="000000"/>
                      <w:sz w:val="18"/>
                      <w:szCs w:val="18"/>
                      <w:u w:val="none"/>
                    </w:rPr>
                  </w:pPr>
                </w:p>
              </w:tc>
            </w:tr>
            <w:tr w14:paraId="6058C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0" w:hRule="atLeast"/>
                <w:jc w:val="center"/>
              </w:trPr>
              <w:tc>
                <w:tcPr>
                  <w:tcW w:w="685" w:type="dxa"/>
                  <w:vMerge w:val="continue"/>
                  <w:tcBorders>
                    <w:tl2br w:val="nil"/>
                    <w:tr2bl w:val="nil"/>
                  </w:tcBorders>
                  <w:shd w:val="clear" w:color="auto" w:fill="auto"/>
                  <w:vAlign w:val="center"/>
                </w:tcPr>
                <w:p w14:paraId="381E23EC">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585FF977">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05A245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氟化物</w:t>
                  </w:r>
                </w:p>
              </w:tc>
              <w:tc>
                <w:tcPr>
                  <w:tcW w:w="728" w:type="dxa"/>
                  <w:vMerge w:val="continue"/>
                  <w:tcBorders>
                    <w:tl2br w:val="nil"/>
                    <w:tr2bl w:val="nil"/>
                  </w:tcBorders>
                  <w:shd w:val="clear" w:color="auto" w:fill="auto"/>
                  <w:vAlign w:val="center"/>
                </w:tcPr>
                <w:p w14:paraId="4CD27B10">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53F7DA4B">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54C44CA9">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1570DB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4</w:t>
                  </w:r>
                  <w:r>
                    <w:rPr>
                      <w:rFonts w:hint="eastAsia" w:cs="Times New Roman"/>
                      <w:i w:val="0"/>
                      <w:iCs w:val="0"/>
                      <w:color w:val="000000"/>
                      <w:kern w:val="0"/>
                      <w:sz w:val="18"/>
                      <w:szCs w:val="18"/>
                      <w:u w:val="none"/>
                      <w:lang w:val="en-US" w:eastAsia="zh-CN" w:bidi="ar"/>
                    </w:rPr>
                    <w:t>.0</w:t>
                  </w:r>
                </w:p>
              </w:tc>
              <w:tc>
                <w:tcPr>
                  <w:tcW w:w="1098" w:type="dxa"/>
                  <w:tcBorders>
                    <w:tl2br w:val="nil"/>
                    <w:tr2bl w:val="nil"/>
                  </w:tcBorders>
                  <w:shd w:val="clear" w:color="auto" w:fill="auto"/>
                  <w:vAlign w:val="center"/>
                </w:tcPr>
                <w:p w14:paraId="4B929C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09" w:type="dxa"/>
                  <w:vMerge w:val="continue"/>
                  <w:tcBorders>
                    <w:tl2br w:val="nil"/>
                    <w:tr2bl w:val="nil"/>
                  </w:tcBorders>
                  <w:shd w:val="clear" w:color="auto" w:fill="auto"/>
                  <w:vAlign w:val="center"/>
                </w:tcPr>
                <w:p w14:paraId="6D630681">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045F9366">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60D9CB21">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0107AB10">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1D3B87DA">
                  <w:pPr>
                    <w:jc w:val="center"/>
                    <w:rPr>
                      <w:rFonts w:hint="default" w:ascii="Times New Roman" w:hAnsi="Times New Roman" w:eastAsia="宋体" w:cs="Times New Roman"/>
                      <w:i w:val="0"/>
                      <w:iCs w:val="0"/>
                      <w:color w:val="000000"/>
                      <w:sz w:val="18"/>
                      <w:szCs w:val="18"/>
                      <w:u w:val="none"/>
                    </w:rPr>
                  </w:pPr>
                </w:p>
              </w:tc>
            </w:tr>
            <w:tr w14:paraId="55B1F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0" w:hRule="atLeast"/>
                <w:jc w:val="center"/>
              </w:trPr>
              <w:tc>
                <w:tcPr>
                  <w:tcW w:w="685" w:type="dxa"/>
                  <w:vMerge w:val="continue"/>
                  <w:tcBorders>
                    <w:tl2br w:val="nil"/>
                    <w:tr2bl w:val="nil"/>
                  </w:tcBorders>
                  <w:shd w:val="clear" w:color="auto" w:fill="auto"/>
                  <w:vAlign w:val="center"/>
                </w:tcPr>
                <w:p w14:paraId="03907968">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560FBA34">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7CB85D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非甲烷总烃</w:t>
                  </w:r>
                </w:p>
              </w:tc>
              <w:tc>
                <w:tcPr>
                  <w:tcW w:w="728" w:type="dxa"/>
                  <w:vMerge w:val="continue"/>
                  <w:tcBorders>
                    <w:tl2br w:val="nil"/>
                    <w:tr2bl w:val="nil"/>
                  </w:tcBorders>
                  <w:shd w:val="clear" w:color="auto" w:fill="auto"/>
                  <w:vAlign w:val="center"/>
                </w:tcPr>
                <w:p w14:paraId="193D698F">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78DEA523">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6826D5EB">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1C3E27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w:t>
                  </w:r>
                </w:p>
              </w:tc>
              <w:tc>
                <w:tcPr>
                  <w:tcW w:w="1098" w:type="dxa"/>
                  <w:tcBorders>
                    <w:tl2br w:val="nil"/>
                    <w:tr2bl w:val="nil"/>
                  </w:tcBorders>
                  <w:shd w:val="clear" w:color="auto" w:fill="auto"/>
                  <w:vAlign w:val="center"/>
                </w:tcPr>
                <w:p w14:paraId="3431C7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5</w:t>
                  </w:r>
                </w:p>
              </w:tc>
              <w:tc>
                <w:tcPr>
                  <w:tcW w:w="909" w:type="dxa"/>
                  <w:vMerge w:val="continue"/>
                  <w:tcBorders>
                    <w:tl2br w:val="nil"/>
                    <w:tr2bl w:val="nil"/>
                  </w:tcBorders>
                  <w:shd w:val="clear" w:color="auto" w:fill="auto"/>
                  <w:vAlign w:val="center"/>
                </w:tcPr>
                <w:p w14:paraId="5589F5E0">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3A5D3D8F">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29706EC1">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13EB151F">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6328BF84">
                  <w:pPr>
                    <w:jc w:val="center"/>
                    <w:rPr>
                      <w:rFonts w:hint="default" w:ascii="Times New Roman" w:hAnsi="Times New Roman" w:eastAsia="宋体" w:cs="Times New Roman"/>
                      <w:i w:val="0"/>
                      <w:iCs w:val="0"/>
                      <w:color w:val="000000"/>
                      <w:sz w:val="18"/>
                      <w:szCs w:val="18"/>
                      <w:u w:val="none"/>
                    </w:rPr>
                  </w:pPr>
                </w:p>
              </w:tc>
            </w:tr>
            <w:tr w14:paraId="7D2BD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73" w:hRule="atLeast"/>
                <w:jc w:val="center"/>
              </w:trPr>
              <w:tc>
                <w:tcPr>
                  <w:tcW w:w="685" w:type="dxa"/>
                  <w:tcBorders>
                    <w:tl2br w:val="nil"/>
                    <w:tr2bl w:val="nil"/>
                  </w:tcBorders>
                  <w:shd w:val="clear" w:color="auto" w:fill="auto"/>
                  <w:vAlign w:val="center"/>
                </w:tcPr>
                <w:p w14:paraId="32A86B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DA002</w:t>
                  </w:r>
                </w:p>
              </w:tc>
              <w:tc>
                <w:tcPr>
                  <w:tcW w:w="1588" w:type="dxa"/>
                  <w:tcBorders>
                    <w:tl2br w:val="nil"/>
                    <w:tr2bl w:val="nil"/>
                  </w:tcBorders>
                  <w:shd w:val="clear" w:color="auto" w:fill="auto"/>
                  <w:vAlign w:val="center"/>
                </w:tcPr>
                <w:p w14:paraId="4D03ED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进仓粉尘、筛分粉尘、旋风分离粉尘、风选粉尘、包装粉尘</w:t>
                  </w:r>
                </w:p>
              </w:tc>
              <w:tc>
                <w:tcPr>
                  <w:tcW w:w="1684" w:type="dxa"/>
                  <w:tcBorders>
                    <w:tl2br w:val="nil"/>
                    <w:tr2bl w:val="nil"/>
                  </w:tcBorders>
                  <w:shd w:val="clear" w:color="auto" w:fill="auto"/>
                  <w:vAlign w:val="center"/>
                </w:tcPr>
                <w:p w14:paraId="39116E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颗粒物（含炭黑尘）</w:t>
                  </w:r>
                </w:p>
              </w:tc>
              <w:tc>
                <w:tcPr>
                  <w:tcW w:w="728" w:type="dxa"/>
                  <w:tcBorders>
                    <w:tl2br w:val="nil"/>
                    <w:tr2bl w:val="nil"/>
                  </w:tcBorders>
                  <w:shd w:val="clear" w:color="auto" w:fill="auto"/>
                  <w:vAlign w:val="center"/>
                </w:tcPr>
                <w:p w14:paraId="7217B2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117.639681°</w:t>
                  </w:r>
                </w:p>
              </w:tc>
              <w:tc>
                <w:tcPr>
                  <w:tcW w:w="917" w:type="dxa"/>
                  <w:tcBorders>
                    <w:tl2br w:val="nil"/>
                    <w:tr2bl w:val="nil"/>
                  </w:tcBorders>
                  <w:shd w:val="clear" w:color="auto" w:fill="auto"/>
                  <w:vAlign w:val="center"/>
                </w:tcPr>
                <w:p w14:paraId="685B56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30.740781°</w:t>
                  </w:r>
                </w:p>
              </w:tc>
              <w:tc>
                <w:tcPr>
                  <w:tcW w:w="1853" w:type="dxa"/>
                  <w:tcBorders>
                    <w:tl2br w:val="nil"/>
                    <w:tr2bl w:val="nil"/>
                  </w:tcBorders>
                  <w:shd w:val="clear" w:color="auto" w:fill="auto"/>
                  <w:vAlign w:val="center"/>
                </w:tcPr>
                <w:p w14:paraId="3258CC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《大气污染物综合排放标准》（GB16297-1996）</w:t>
                  </w:r>
                </w:p>
              </w:tc>
              <w:tc>
                <w:tcPr>
                  <w:tcW w:w="1063" w:type="dxa"/>
                  <w:tcBorders>
                    <w:tl2br w:val="nil"/>
                    <w:tr2bl w:val="nil"/>
                  </w:tcBorders>
                  <w:shd w:val="clear" w:color="auto" w:fill="auto"/>
                  <w:vAlign w:val="center"/>
                </w:tcPr>
                <w:p w14:paraId="6030DF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098" w:type="dxa"/>
                  <w:tcBorders>
                    <w:tl2br w:val="nil"/>
                    <w:tr2bl w:val="nil"/>
                  </w:tcBorders>
                  <w:shd w:val="clear" w:color="auto" w:fill="auto"/>
                  <w:vAlign w:val="center"/>
                </w:tcPr>
                <w:p w14:paraId="4D3E54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0.255</w:t>
                  </w:r>
                </w:p>
              </w:tc>
              <w:tc>
                <w:tcPr>
                  <w:tcW w:w="909" w:type="dxa"/>
                  <w:tcBorders>
                    <w:tl2br w:val="nil"/>
                    <w:tr2bl w:val="nil"/>
                  </w:tcBorders>
                  <w:shd w:val="clear" w:color="auto" w:fill="auto"/>
                  <w:vAlign w:val="center"/>
                </w:tcPr>
                <w:p w14:paraId="1ED360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737" w:type="dxa"/>
                  <w:tcBorders>
                    <w:tl2br w:val="nil"/>
                    <w:tr2bl w:val="nil"/>
                  </w:tcBorders>
                  <w:shd w:val="clear" w:color="auto" w:fill="auto"/>
                  <w:vAlign w:val="center"/>
                </w:tcPr>
                <w:p w14:paraId="06B31F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0.5</w:t>
                  </w:r>
                  <w:r>
                    <w:rPr>
                      <w:rFonts w:hint="eastAsia" w:ascii="Times New Roman" w:hAnsi="Times New Roman" w:eastAsia="宋体" w:cs="Times New Roman"/>
                      <w:i w:val="0"/>
                      <w:iCs w:val="0"/>
                      <w:color w:val="000000"/>
                      <w:kern w:val="0"/>
                      <w:sz w:val="18"/>
                      <w:szCs w:val="18"/>
                      <w:u w:val="none"/>
                      <w:lang w:val="en-US" w:eastAsia="zh-CN" w:bidi="ar"/>
                    </w:rPr>
                    <w:t>2</w:t>
                  </w:r>
                </w:p>
              </w:tc>
              <w:tc>
                <w:tcPr>
                  <w:tcW w:w="1000" w:type="dxa"/>
                  <w:tcBorders>
                    <w:tl2br w:val="nil"/>
                    <w:tr2bl w:val="nil"/>
                  </w:tcBorders>
                  <w:shd w:val="clear" w:color="auto" w:fill="auto"/>
                  <w:vAlign w:val="center"/>
                </w:tcPr>
                <w:p w14:paraId="499A51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w:t>
                  </w:r>
                </w:p>
              </w:tc>
              <w:tc>
                <w:tcPr>
                  <w:tcW w:w="909" w:type="dxa"/>
                  <w:tcBorders>
                    <w:tl2br w:val="nil"/>
                    <w:tr2bl w:val="nil"/>
                  </w:tcBorders>
                  <w:shd w:val="clear" w:color="auto" w:fill="auto"/>
                  <w:vAlign w:val="center"/>
                </w:tcPr>
                <w:p w14:paraId="6DA847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达标</w:t>
                  </w:r>
                </w:p>
              </w:tc>
              <w:tc>
                <w:tcPr>
                  <w:tcW w:w="686" w:type="dxa"/>
                  <w:tcBorders>
                    <w:tl2br w:val="nil"/>
                    <w:tr2bl w:val="nil"/>
                  </w:tcBorders>
                  <w:shd w:val="clear" w:color="auto" w:fill="auto"/>
                  <w:vAlign w:val="center"/>
                </w:tcPr>
                <w:p w14:paraId="1CF721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一般排放口</w:t>
                  </w:r>
                </w:p>
              </w:tc>
            </w:tr>
            <w:tr w14:paraId="702A3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jc w:val="center"/>
              </w:trPr>
              <w:tc>
                <w:tcPr>
                  <w:tcW w:w="685" w:type="dxa"/>
                  <w:vMerge w:val="restart"/>
                  <w:tcBorders>
                    <w:tl2br w:val="nil"/>
                    <w:tr2bl w:val="nil"/>
                  </w:tcBorders>
                  <w:shd w:val="clear" w:color="auto" w:fill="auto"/>
                  <w:vAlign w:val="center"/>
                </w:tcPr>
                <w:p w14:paraId="0E6C8E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DA003</w:t>
                  </w:r>
                </w:p>
              </w:tc>
              <w:tc>
                <w:tcPr>
                  <w:tcW w:w="1588" w:type="dxa"/>
                  <w:vMerge w:val="restart"/>
                  <w:tcBorders>
                    <w:tl2br w:val="nil"/>
                    <w:tr2bl w:val="nil"/>
                  </w:tcBorders>
                  <w:shd w:val="clear" w:color="auto" w:fill="auto"/>
                  <w:vAlign w:val="center"/>
                </w:tcPr>
                <w:p w14:paraId="1586B7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热解炉尾气、燃烧室不凝气燃烧废气、清洗炉燃烧烟气、烘干炉燃烧烟气、油罐呼吸气</w:t>
                  </w:r>
                </w:p>
              </w:tc>
              <w:tc>
                <w:tcPr>
                  <w:tcW w:w="1684" w:type="dxa"/>
                  <w:tcBorders>
                    <w:tl2br w:val="nil"/>
                    <w:tr2bl w:val="nil"/>
                  </w:tcBorders>
                  <w:shd w:val="clear" w:color="auto" w:fill="auto"/>
                  <w:vAlign w:val="center"/>
                </w:tcPr>
                <w:p w14:paraId="21963E7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二氧化硫</w:t>
                  </w:r>
                </w:p>
              </w:tc>
              <w:tc>
                <w:tcPr>
                  <w:tcW w:w="728" w:type="dxa"/>
                  <w:vMerge w:val="restart"/>
                  <w:tcBorders>
                    <w:tl2br w:val="nil"/>
                    <w:tr2bl w:val="nil"/>
                  </w:tcBorders>
                  <w:shd w:val="clear" w:color="auto" w:fill="auto"/>
                  <w:vAlign w:val="center"/>
                </w:tcPr>
                <w:p w14:paraId="63ABB34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117.639579°</w:t>
                  </w:r>
                </w:p>
              </w:tc>
              <w:tc>
                <w:tcPr>
                  <w:tcW w:w="917" w:type="dxa"/>
                  <w:vMerge w:val="restart"/>
                  <w:tcBorders>
                    <w:tl2br w:val="nil"/>
                    <w:tr2bl w:val="nil"/>
                  </w:tcBorders>
                  <w:shd w:val="clear" w:color="auto" w:fill="auto"/>
                  <w:vAlign w:val="center"/>
                </w:tcPr>
                <w:p w14:paraId="152AFD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1130.740224°</w:t>
                  </w:r>
                </w:p>
              </w:tc>
              <w:tc>
                <w:tcPr>
                  <w:tcW w:w="1853" w:type="dxa"/>
                  <w:vMerge w:val="restart"/>
                  <w:tcBorders>
                    <w:tl2br w:val="nil"/>
                    <w:tr2bl w:val="nil"/>
                  </w:tcBorders>
                  <w:shd w:val="clear" w:color="auto" w:fill="auto"/>
                  <w:vAlign w:val="center"/>
                </w:tcPr>
                <w:p w14:paraId="7A173A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《危险废物焚烧污染控制标准》（GB18484-2020）、《大气污染物综合排放标准》（GB16297-1996）</w:t>
                  </w:r>
                </w:p>
              </w:tc>
              <w:tc>
                <w:tcPr>
                  <w:tcW w:w="1063" w:type="dxa"/>
                  <w:tcBorders>
                    <w:tl2br w:val="nil"/>
                    <w:tr2bl w:val="nil"/>
                  </w:tcBorders>
                  <w:shd w:val="clear" w:color="auto" w:fill="auto"/>
                  <w:vAlign w:val="center"/>
                </w:tcPr>
                <w:p w14:paraId="10CD61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1098" w:type="dxa"/>
                  <w:tcBorders>
                    <w:tl2br w:val="nil"/>
                    <w:tr2bl w:val="nil"/>
                  </w:tcBorders>
                  <w:shd w:val="clear" w:color="auto" w:fill="auto"/>
                  <w:vAlign w:val="center"/>
                </w:tcPr>
                <w:p w14:paraId="385196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09" w:type="dxa"/>
                  <w:vMerge w:val="restart"/>
                  <w:tcBorders>
                    <w:tl2br w:val="nil"/>
                    <w:tr2bl w:val="nil"/>
                  </w:tcBorders>
                  <w:shd w:val="clear" w:color="auto" w:fill="auto"/>
                  <w:vAlign w:val="center"/>
                </w:tcPr>
                <w:p w14:paraId="789AA4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737" w:type="dxa"/>
                  <w:vMerge w:val="restart"/>
                  <w:tcBorders>
                    <w:tl2br w:val="nil"/>
                    <w:tr2bl w:val="nil"/>
                  </w:tcBorders>
                  <w:shd w:val="clear" w:color="auto" w:fill="auto"/>
                  <w:vAlign w:val="center"/>
                </w:tcPr>
                <w:p w14:paraId="5F308F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w:t>
                  </w:r>
                </w:p>
              </w:tc>
              <w:tc>
                <w:tcPr>
                  <w:tcW w:w="1000" w:type="dxa"/>
                  <w:vMerge w:val="restart"/>
                  <w:tcBorders>
                    <w:tl2br w:val="nil"/>
                    <w:tr2bl w:val="nil"/>
                  </w:tcBorders>
                  <w:shd w:val="clear" w:color="auto" w:fill="auto"/>
                  <w:vAlign w:val="center"/>
                </w:tcPr>
                <w:p w14:paraId="786A6E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w:t>
                  </w:r>
                </w:p>
              </w:tc>
              <w:tc>
                <w:tcPr>
                  <w:tcW w:w="909" w:type="dxa"/>
                  <w:vMerge w:val="restart"/>
                  <w:tcBorders>
                    <w:tl2br w:val="nil"/>
                    <w:tr2bl w:val="nil"/>
                  </w:tcBorders>
                  <w:shd w:val="clear" w:color="auto" w:fill="auto"/>
                  <w:vAlign w:val="center"/>
                </w:tcPr>
                <w:p w14:paraId="04B73E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达标</w:t>
                  </w:r>
                </w:p>
              </w:tc>
              <w:tc>
                <w:tcPr>
                  <w:tcW w:w="686" w:type="dxa"/>
                  <w:vMerge w:val="restart"/>
                  <w:tcBorders>
                    <w:tl2br w:val="nil"/>
                    <w:tr2bl w:val="nil"/>
                  </w:tcBorders>
                  <w:shd w:val="clear" w:color="auto" w:fill="auto"/>
                  <w:vAlign w:val="center"/>
                </w:tcPr>
                <w:p w14:paraId="5E8169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主要排放口</w:t>
                  </w:r>
                </w:p>
              </w:tc>
            </w:tr>
            <w:tr w14:paraId="61CC5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jc w:val="center"/>
              </w:trPr>
              <w:tc>
                <w:tcPr>
                  <w:tcW w:w="685" w:type="dxa"/>
                  <w:vMerge w:val="continue"/>
                  <w:tcBorders>
                    <w:tl2br w:val="nil"/>
                    <w:tr2bl w:val="nil"/>
                  </w:tcBorders>
                  <w:shd w:val="clear" w:color="auto" w:fill="auto"/>
                  <w:vAlign w:val="center"/>
                </w:tcPr>
                <w:p w14:paraId="4B49E751">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1E258EC3">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5C5A9F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氮氧化物</w:t>
                  </w:r>
                </w:p>
              </w:tc>
              <w:tc>
                <w:tcPr>
                  <w:tcW w:w="728" w:type="dxa"/>
                  <w:vMerge w:val="continue"/>
                  <w:tcBorders>
                    <w:tl2br w:val="nil"/>
                    <w:tr2bl w:val="nil"/>
                  </w:tcBorders>
                  <w:shd w:val="clear" w:color="auto" w:fill="auto"/>
                  <w:vAlign w:val="center"/>
                </w:tcPr>
                <w:p w14:paraId="3D5B74DE">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52FC8F00">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1BD1E393">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4BC574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w:t>
                  </w:r>
                </w:p>
              </w:tc>
              <w:tc>
                <w:tcPr>
                  <w:tcW w:w="1098" w:type="dxa"/>
                  <w:tcBorders>
                    <w:tl2br w:val="nil"/>
                    <w:tr2bl w:val="nil"/>
                  </w:tcBorders>
                  <w:shd w:val="clear" w:color="auto" w:fill="auto"/>
                  <w:vAlign w:val="center"/>
                </w:tcPr>
                <w:p w14:paraId="727369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09" w:type="dxa"/>
                  <w:vMerge w:val="continue"/>
                  <w:tcBorders>
                    <w:tl2br w:val="nil"/>
                    <w:tr2bl w:val="nil"/>
                  </w:tcBorders>
                  <w:shd w:val="clear" w:color="auto" w:fill="auto"/>
                  <w:vAlign w:val="center"/>
                </w:tcPr>
                <w:p w14:paraId="2939FE6B">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20D2D317">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3A5190C4">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27922132">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72DB3B6B">
                  <w:pPr>
                    <w:jc w:val="center"/>
                    <w:rPr>
                      <w:rFonts w:hint="default" w:ascii="Times New Roman" w:hAnsi="Times New Roman" w:eastAsia="宋体" w:cs="Times New Roman"/>
                      <w:i w:val="0"/>
                      <w:iCs w:val="0"/>
                      <w:color w:val="000000"/>
                      <w:sz w:val="18"/>
                      <w:szCs w:val="18"/>
                      <w:u w:val="none"/>
                    </w:rPr>
                  </w:pPr>
                </w:p>
              </w:tc>
            </w:tr>
            <w:tr w14:paraId="3EC3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685" w:type="dxa"/>
                  <w:vMerge w:val="continue"/>
                  <w:tcBorders>
                    <w:tl2br w:val="nil"/>
                    <w:tr2bl w:val="nil"/>
                  </w:tcBorders>
                  <w:shd w:val="clear" w:color="auto" w:fill="auto"/>
                  <w:vAlign w:val="center"/>
                </w:tcPr>
                <w:p w14:paraId="1FE4BBAD">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7BC45F75">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0B06110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w:t>
                  </w:r>
                  <w:r>
                    <w:rPr>
                      <w:rFonts w:hint="eastAsia" w:cs="Times New Roman"/>
                      <w:i w:val="0"/>
                      <w:iCs w:val="0"/>
                      <w:color w:val="000000"/>
                      <w:kern w:val="0"/>
                      <w:sz w:val="18"/>
                      <w:szCs w:val="18"/>
                      <w:u w:val="none"/>
                      <w:lang w:val="en-US" w:eastAsia="zh-CN" w:bidi="ar"/>
                    </w:rPr>
                    <w:t>含炭黑尘、铜、锡等</w:t>
                  </w:r>
                  <w:r>
                    <w:rPr>
                      <w:rFonts w:hint="default" w:ascii="Times New Roman" w:hAnsi="Times New Roman" w:eastAsia="宋体" w:cs="Times New Roman"/>
                      <w:i w:val="0"/>
                      <w:iCs w:val="0"/>
                      <w:color w:val="000000"/>
                      <w:kern w:val="0"/>
                      <w:sz w:val="18"/>
                      <w:szCs w:val="18"/>
                      <w:u w:val="none"/>
                      <w:lang w:val="en-US" w:eastAsia="zh-CN" w:bidi="ar"/>
                    </w:rPr>
                    <w:t>）</w:t>
                  </w:r>
                </w:p>
              </w:tc>
              <w:tc>
                <w:tcPr>
                  <w:tcW w:w="728" w:type="dxa"/>
                  <w:vMerge w:val="continue"/>
                  <w:tcBorders>
                    <w:tl2br w:val="nil"/>
                    <w:tr2bl w:val="nil"/>
                  </w:tcBorders>
                  <w:shd w:val="clear" w:color="auto" w:fill="auto"/>
                  <w:vAlign w:val="center"/>
                </w:tcPr>
                <w:p w14:paraId="5C51D3DE">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7D610E1C">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3D6A1754">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2014AF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098" w:type="dxa"/>
                  <w:tcBorders>
                    <w:tl2br w:val="nil"/>
                    <w:tr2bl w:val="nil"/>
                  </w:tcBorders>
                  <w:shd w:val="clear" w:color="auto" w:fill="auto"/>
                  <w:vAlign w:val="center"/>
                </w:tcPr>
                <w:p w14:paraId="6550A4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0.255</w:t>
                  </w:r>
                </w:p>
              </w:tc>
              <w:tc>
                <w:tcPr>
                  <w:tcW w:w="909" w:type="dxa"/>
                  <w:vMerge w:val="continue"/>
                  <w:tcBorders>
                    <w:tl2br w:val="nil"/>
                    <w:tr2bl w:val="nil"/>
                  </w:tcBorders>
                  <w:shd w:val="clear" w:color="auto" w:fill="auto"/>
                  <w:vAlign w:val="center"/>
                </w:tcPr>
                <w:p w14:paraId="47C0F345">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1AFE878E">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0ADD4E64">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3ACE170D">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18E4FC78">
                  <w:pPr>
                    <w:jc w:val="center"/>
                    <w:rPr>
                      <w:rFonts w:hint="default" w:ascii="Times New Roman" w:hAnsi="Times New Roman" w:eastAsia="宋体" w:cs="Times New Roman"/>
                      <w:i w:val="0"/>
                      <w:iCs w:val="0"/>
                      <w:color w:val="000000"/>
                      <w:sz w:val="18"/>
                      <w:szCs w:val="18"/>
                      <w:u w:val="none"/>
                    </w:rPr>
                  </w:pPr>
                </w:p>
              </w:tc>
            </w:tr>
            <w:tr w14:paraId="32442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jc w:val="center"/>
              </w:trPr>
              <w:tc>
                <w:tcPr>
                  <w:tcW w:w="685" w:type="dxa"/>
                  <w:vMerge w:val="continue"/>
                  <w:tcBorders>
                    <w:tl2br w:val="nil"/>
                    <w:tr2bl w:val="nil"/>
                  </w:tcBorders>
                  <w:shd w:val="clear" w:color="auto" w:fill="auto"/>
                  <w:vAlign w:val="center"/>
                </w:tcPr>
                <w:p w14:paraId="0DEDA5F9">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39F8AE31">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54E79A3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锡及其化合物</w:t>
                  </w:r>
                </w:p>
              </w:tc>
              <w:tc>
                <w:tcPr>
                  <w:tcW w:w="728" w:type="dxa"/>
                  <w:vMerge w:val="continue"/>
                  <w:tcBorders>
                    <w:tl2br w:val="nil"/>
                    <w:tr2bl w:val="nil"/>
                  </w:tcBorders>
                  <w:shd w:val="clear" w:color="auto" w:fill="auto"/>
                  <w:vAlign w:val="center"/>
                </w:tcPr>
                <w:p w14:paraId="3D0445CD">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18B533B8">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6FA3198E">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197B9DA6">
                  <w:pPr>
                    <w:jc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sz w:val="18"/>
                      <w:szCs w:val="18"/>
                      <w:u w:val="none"/>
                      <w:lang w:val="en-US" w:eastAsia="zh-CN"/>
                    </w:rPr>
                    <w:t>2.0</w:t>
                  </w:r>
                </w:p>
              </w:tc>
              <w:tc>
                <w:tcPr>
                  <w:tcW w:w="1098" w:type="dxa"/>
                  <w:tcBorders>
                    <w:tl2br w:val="nil"/>
                    <w:tr2bl w:val="nil"/>
                  </w:tcBorders>
                  <w:shd w:val="clear" w:color="auto" w:fill="auto"/>
                  <w:vAlign w:val="center"/>
                </w:tcPr>
                <w:p w14:paraId="2188F6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09" w:type="dxa"/>
                  <w:vMerge w:val="continue"/>
                  <w:tcBorders>
                    <w:tl2br w:val="nil"/>
                    <w:tr2bl w:val="nil"/>
                  </w:tcBorders>
                  <w:shd w:val="clear" w:color="auto" w:fill="auto"/>
                  <w:vAlign w:val="center"/>
                </w:tcPr>
                <w:p w14:paraId="6147040F">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2642BAEA">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1A8468DA">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3FEA2CA6">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5514B490">
                  <w:pPr>
                    <w:jc w:val="center"/>
                    <w:rPr>
                      <w:rFonts w:hint="default" w:ascii="Times New Roman" w:hAnsi="Times New Roman" w:eastAsia="宋体" w:cs="Times New Roman"/>
                      <w:i w:val="0"/>
                      <w:iCs w:val="0"/>
                      <w:color w:val="000000"/>
                      <w:sz w:val="18"/>
                      <w:szCs w:val="18"/>
                      <w:u w:val="none"/>
                    </w:rPr>
                  </w:pPr>
                </w:p>
              </w:tc>
            </w:tr>
            <w:tr w14:paraId="01FE1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0" w:hRule="atLeast"/>
                <w:jc w:val="center"/>
              </w:trPr>
              <w:tc>
                <w:tcPr>
                  <w:tcW w:w="685" w:type="dxa"/>
                  <w:vMerge w:val="continue"/>
                  <w:tcBorders>
                    <w:tl2br w:val="nil"/>
                    <w:tr2bl w:val="nil"/>
                  </w:tcBorders>
                  <w:shd w:val="clear" w:color="auto" w:fill="auto"/>
                  <w:vAlign w:val="center"/>
                </w:tcPr>
                <w:p w14:paraId="6C2D4F31">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0E7EF38A">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1A31180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铜</w:t>
                  </w:r>
                  <w:r>
                    <w:rPr>
                      <w:rFonts w:hint="default" w:ascii="Times New Roman" w:hAnsi="Times New Roman" w:eastAsia="宋体" w:cs="Times New Roman"/>
                      <w:i w:val="0"/>
                      <w:iCs w:val="0"/>
                      <w:color w:val="000000"/>
                      <w:kern w:val="0"/>
                      <w:sz w:val="18"/>
                      <w:szCs w:val="18"/>
                      <w:u w:val="none"/>
                      <w:lang w:val="en-US" w:eastAsia="zh-CN" w:bidi="ar"/>
                    </w:rPr>
                    <w:t>及其化合物</w:t>
                  </w:r>
                </w:p>
              </w:tc>
              <w:tc>
                <w:tcPr>
                  <w:tcW w:w="728" w:type="dxa"/>
                  <w:vMerge w:val="continue"/>
                  <w:tcBorders>
                    <w:tl2br w:val="nil"/>
                    <w:tr2bl w:val="nil"/>
                  </w:tcBorders>
                  <w:shd w:val="clear" w:color="auto" w:fill="auto"/>
                  <w:vAlign w:val="center"/>
                </w:tcPr>
                <w:p w14:paraId="29AF003F">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67F84BC4">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0638EC36">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7B15599E">
                  <w:pPr>
                    <w:jc w:val="center"/>
                    <w:rPr>
                      <w:rFonts w:hint="eastAsia"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sz w:val="18"/>
                      <w:szCs w:val="18"/>
                      <w:u w:val="none"/>
                      <w:lang w:val="en-US" w:eastAsia="zh-CN"/>
                    </w:rPr>
                    <w:t>2.0</w:t>
                  </w:r>
                </w:p>
              </w:tc>
              <w:tc>
                <w:tcPr>
                  <w:tcW w:w="1098" w:type="dxa"/>
                  <w:tcBorders>
                    <w:tl2br w:val="nil"/>
                    <w:tr2bl w:val="nil"/>
                  </w:tcBorders>
                  <w:shd w:val="clear" w:color="auto" w:fill="auto"/>
                  <w:vAlign w:val="center"/>
                </w:tcPr>
                <w:p w14:paraId="022AC43B">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09" w:type="dxa"/>
                  <w:vMerge w:val="continue"/>
                  <w:tcBorders>
                    <w:tl2br w:val="nil"/>
                    <w:tr2bl w:val="nil"/>
                  </w:tcBorders>
                  <w:shd w:val="clear" w:color="auto" w:fill="auto"/>
                  <w:vAlign w:val="center"/>
                </w:tcPr>
                <w:p w14:paraId="6FC395DA">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30B82744">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651BA193">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40F3BC41">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25E41E00">
                  <w:pPr>
                    <w:jc w:val="center"/>
                    <w:rPr>
                      <w:rFonts w:hint="default" w:ascii="Times New Roman" w:hAnsi="Times New Roman" w:eastAsia="宋体" w:cs="Times New Roman"/>
                      <w:i w:val="0"/>
                      <w:iCs w:val="0"/>
                      <w:color w:val="000000"/>
                      <w:sz w:val="18"/>
                      <w:szCs w:val="18"/>
                      <w:u w:val="none"/>
                    </w:rPr>
                  </w:pPr>
                </w:p>
              </w:tc>
            </w:tr>
            <w:tr w14:paraId="55CD7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0" w:hRule="atLeast"/>
                <w:jc w:val="center"/>
              </w:trPr>
              <w:tc>
                <w:tcPr>
                  <w:tcW w:w="685" w:type="dxa"/>
                  <w:vMerge w:val="continue"/>
                  <w:tcBorders>
                    <w:tl2br w:val="nil"/>
                    <w:tr2bl w:val="nil"/>
                  </w:tcBorders>
                  <w:shd w:val="clear" w:color="auto" w:fill="auto"/>
                  <w:vAlign w:val="center"/>
                </w:tcPr>
                <w:p w14:paraId="0FA961DF">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486742FF">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5EC2BB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氟化物</w:t>
                  </w:r>
                </w:p>
              </w:tc>
              <w:tc>
                <w:tcPr>
                  <w:tcW w:w="728" w:type="dxa"/>
                  <w:vMerge w:val="continue"/>
                  <w:tcBorders>
                    <w:tl2br w:val="nil"/>
                    <w:tr2bl w:val="nil"/>
                  </w:tcBorders>
                  <w:shd w:val="clear" w:color="auto" w:fill="auto"/>
                  <w:vAlign w:val="center"/>
                </w:tcPr>
                <w:p w14:paraId="3BFC7C59">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5E1C9306">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0AD7C79D">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7F9730F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eastAsia" w:cs="Times New Roman"/>
                      <w:i w:val="0"/>
                      <w:iCs w:val="0"/>
                      <w:color w:val="000000"/>
                      <w:kern w:val="0"/>
                      <w:sz w:val="18"/>
                      <w:szCs w:val="18"/>
                      <w:u w:val="none"/>
                      <w:lang w:val="en-US" w:eastAsia="zh-CN" w:bidi="ar"/>
                    </w:rPr>
                    <w:t>.0</w:t>
                  </w:r>
                </w:p>
              </w:tc>
              <w:tc>
                <w:tcPr>
                  <w:tcW w:w="1098" w:type="dxa"/>
                  <w:tcBorders>
                    <w:tl2br w:val="nil"/>
                    <w:tr2bl w:val="nil"/>
                  </w:tcBorders>
                  <w:shd w:val="clear" w:color="auto" w:fill="auto"/>
                  <w:vAlign w:val="center"/>
                </w:tcPr>
                <w:p w14:paraId="69455E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09" w:type="dxa"/>
                  <w:vMerge w:val="continue"/>
                  <w:tcBorders>
                    <w:tl2br w:val="nil"/>
                    <w:tr2bl w:val="nil"/>
                  </w:tcBorders>
                  <w:shd w:val="clear" w:color="auto" w:fill="auto"/>
                  <w:vAlign w:val="center"/>
                </w:tcPr>
                <w:p w14:paraId="12A7A09D">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24FFEB60">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65EE7E84">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35CD86E7">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37E29793">
                  <w:pPr>
                    <w:jc w:val="center"/>
                    <w:rPr>
                      <w:rFonts w:hint="default" w:ascii="Times New Roman" w:hAnsi="Times New Roman" w:eastAsia="宋体" w:cs="Times New Roman"/>
                      <w:i w:val="0"/>
                      <w:iCs w:val="0"/>
                      <w:color w:val="000000"/>
                      <w:sz w:val="18"/>
                      <w:szCs w:val="18"/>
                      <w:u w:val="none"/>
                    </w:rPr>
                  </w:pPr>
                </w:p>
              </w:tc>
            </w:tr>
            <w:tr w14:paraId="15E0B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0" w:hRule="atLeast"/>
                <w:jc w:val="center"/>
              </w:trPr>
              <w:tc>
                <w:tcPr>
                  <w:tcW w:w="685" w:type="dxa"/>
                  <w:vMerge w:val="continue"/>
                  <w:tcBorders>
                    <w:tl2br w:val="nil"/>
                    <w:tr2bl w:val="nil"/>
                  </w:tcBorders>
                  <w:shd w:val="clear" w:color="auto" w:fill="auto"/>
                  <w:vAlign w:val="center"/>
                </w:tcPr>
                <w:p w14:paraId="75F9F789">
                  <w:pPr>
                    <w:jc w:val="center"/>
                    <w:rPr>
                      <w:rFonts w:hint="default" w:ascii="Times New Roman" w:hAnsi="Times New Roman" w:eastAsia="宋体" w:cs="Times New Roman"/>
                      <w:i w:val="0"/>
                      <w:iCs w:val="0"/>
                      <w:color w:val="000000"/>
                      <w:sz w:val="18"/>
                      <w:szCs w:val="18"/>
                      <w:u w:val="none"/>
                    </w:rPr>
                  </w:pPr>
                </w:p>
              </w:tc>
              <w:tc>
                <w:tcPr>
                  <w:tcW w:w="1588" w:type="dxa"/>
                  <w:vMerge w:val="continue"/>
                  <w:tcBorders>
                    <w:tl2br w:val="nil"/>
                    <w:tr2bl w:val="nil"/>
                  </w:tcBorders>
                  <w:shd w:val="clear" w:color="auto" w:fill="auto"/>
                  <w:vAlign w:val="center"/>
                </w:tcPr>
                <w:p w14:paraId="5809BEE3">
                  <w:pPr>
                    <w:jc w:val="center"/>
                    <w:rPr>
                      <w:rFonts w:hint="default" w:ascii="Times New Roman" w:hAnsi="Times New Roman" w:eastAsia="宋体" w:cs="Times New Roman"/>
                      <w:i w:val="0"/>
                      <w:iCs w:val="0"/>
                      <w:color w:val="000000"/>
                      <w:sz w:val="18"/>
                      <w:szCs w:val="18"/>
                      <w:u w:val="none"/>
                    </w:rPr>
                  </w:pPr>
                </w:p>
              </w:tc>
              <w:tc>
                <w:tcPr>
                  <w:tcW w:w="1684" w:type="dxa"/>
                  <w:tcBorders>
                    <w:tl2br w:val="nil"/>
                    <w:tr2bl w:val="nil"/>
                  </w:tcBorders>
                  <w:shd w:val="clear" w:color="auto" w:fill="auto"/>
                  <w:vAlign w:val="center"/>
                </w:tcPr>
                <w:p w14:paraId="519C6A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非甲烷总烃</w:t>
                  </w:r>
                </w:p>
              </w:tc>
              <w:tc>
                <w:tcPr>
                  <w:tcW w:w="728" w:type="dxa"/>
                  <w:vMerge w:val="continue"/>
                  <w:tcBorders>
                    <w:tl2br w:val="nil"/>
                    <w:tr2bl w:val="nil"/>
                  </w:tcBorders>
                  <w:shd w:val="clear" w:color="auto" w:fill="auto"/>
                  <w:vAlign w:val="center"/>
                </w:tcPr>
                <w:p w14:paraId="04C4E65A">
                  <w:pPr>
                    <w:jc w:val="center"/>
                    <w:rPr>
                      <w:rFonts w:hint="default" w:ascii="Times New Roman" w:hAnsi="Times New Roman" w:eastAsia="宋体" w:cs="Times New Roman"/>
                      <w:i w:val="0"/>
                      <w:iCs w:val="0"/>
                      <w:color w:val="000000"/>
                      <w:sz w:val="18"/>
                      <w:szCs w:val="18"/>
                      <w:u w:val="none"/>
                    </w:rPr>
                  </w:pPr>
                </w:p>
              </w:tc>
              <w:tc>
                <w:tcPr>
                  <w:tcW w:w="917" w:type="dxa"/>
                  <w:vMerge w:val="continue"/>
                  <w:tcBorders>
                    <w:tl2br w:val="nil"/>
                    <w:tr2bl w:val="nil"/>
                  </w:tcBorders>
                  <w:shd w:val="clear" w:color="auto" w:fill="auto"/>
                  <w:vAlign w:val="center"/>
                </w:tcPr>
                <w:p w14:paraId="0DA3D19F">
                  <w:pPr>
                    <w:jc w:val="center"/>
                    <w:rPr>
                      <w:rFonts w:hint="default" w:ascii="Times New Roman" w:hAnsi="Times New Roman" w:eastAsia="宋体" w:cs="Times New Roman"/>
                      <w:i w:val="0"/>
                      <w:iCs w:val="0"/>
                      <w:color w:val="000000"/>
                      <w:sz w:val="18"/>
                      <w:szCs w:val="18"/>
                      <w:u w:val="none"/>
                    </w:rPr>
                  </w:pPr>
                </w:p>
              </w:tc>
              <w:tc>
                <w:tcPr>
                  <w:tcW w:w="1853" w:type="dxa"/>
                  <w:vMerge w:val="continue"/>
                  <w:tcBorders>
                    <w:tl2br w:val="nil"/>
                    <w:tr2bl w:val="nil"/>
                  </w:tcBorders>
                  <w:shd w:val="clear" w:color="auto" w:fill="auto"/>
                  <w:vAlign w:val="center"/>
                </w:tcPr>
                <w:p w14:paraId="0C5A01F9">
                  <w:pPr>
                    <w:jc w:val="center"/>
                    <w:rPr>
                      <w:rFonts w:hint="default" w:ascii="Times New Roman" w:hAnsi="Times New Roman" w:eastAsia="宋体" w:cs="Times New Roman"/>
                      <w:i w:val="0"/>
                      <w:iCs w:val="0"/>
                      <w:color w:val="000000"/>
                      <w:sz w:val="18"/>
                      <w:szCs w:val="18"/>
                      <w:u w:val="none"/>
                    </w:rPr>
                  </w:pPr>
                </w:p>
              </w:tc>
              <w:tc>
                <w:tcPr>
                  <w:tcW w:w="1063" w:type="dxa"/>
                  <w:tcBorders>
                    <w:tl2br w:val="nil"/>
                    <w:tr2bl w:val="nil"/>
                  </w:tcBorders>
                  <w:shd w:val="clear" w:color="auto" w:fill="auto"/>
                  <w:vAlign w:val="center"/>
                </w:tcPr>
                <w:p w14:paraId="58F52A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w:t>
                  </w:r>
                </w:p>
              </w:tc>
              <w:tc>
                <w:tcPr>
                  <w:tcW w:w="1098" w:type="dxa"/>
                  <w:tcBorders>
                    <w:tl2br w:val="nil"/>
                    <w:tr2bl w:val="nil"/>
                  </w:tcBorders>
                  <w:shd w:val="clear" w:color="auto" w:fill="auto"/>
                  <w:vAlign w:val="center"/>
                </w:tcPr>
                <w:p w14:paraId="57D1F7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5</w:t>
                  </w:r>
                </w:p>
              </w:tc>
              <w:tc>
                <w:tcPr>
                  <w:tcW w:w="909" w:type="dxa"/>
                  <w:vMerge w:val="continue"/>
                  <w:tcBorders>
                    <w:tl2br w:val="nil"/>
                    <w:tr2bl w:val="nil"/>
                  </w:tcBorders>
                  <w:shd w:val="clear" w:color="auto" w:fill="auto"/>
                  <w:vAlign w:val="center"/>
                </w:tcPr>
                <w:p w14:paraId="11342D5E">
                  <w:pPr>
                    <w:jc w:val="center"/>
                    <w:rPr>
                      <w:rFonts w:hint="default" w:ascii="Times New Roman" w:hAnsi="Times New Roman" w:eastAsia="宋体" w:cs="Times New Roman"/>
                      <w:i w:val="0"/>
                      <w:iCs w:val="0"/>
                      <w:color w:val="000000"/>
                      <w:sz w:val="18"/>
                      <w:szCs w:val="18"/>
                      <w:u w:val="none"/>
                    </w:rPr>
                  </w:pPr>
                </w:p>
              </w:tc>
              <w:tc>
                <w:tcPr>
                  <w:tcW w:w="737" w:type="dxa"/>
                  <w:vMerge w:val="continue"/>
                  <w:tcBorders>
                    <w:tl2br w:val="nil"/>
                    <w:tr2bl w:val="nil"/>
                  </w:tcBorders>
                  <w:shd w:val="clear" w:color="auto" w:fill="auto"/>
                  <w:vAlign w:val="center"/>
                </w:tcPr>
                <w:p w14:paraId="18894059">
                  <w:pPr>
                    <w:jc w:val="center"/>
                    <w:rPr>
                      <w:rFonts w:hint="default" w:ascii="Times New Roman" w:hAnsi="Times New Roman" w:eastAsia="宋体" w:cs="Times New Roman"/>
                      <w:i w:val="0"/>
                      <w:iCs w:val="0"/>
                      <w:color w:val="000000"/>
                      <w:sz w:val="18"/>
                      <w:szCs w:val="18"/>
                      <w:u w:val="none"/>
                    </w:rPr>
                  </w:pPr>
                </w:p>
              </w:tc>
              <w:tc>
                <w:tcPr>
                  <w:tcW w:w="1000" w:type="dxa"/>
                  <w:vMerge w:val="continue"/>
                  <w:tcBorders>
                    <w:tl2br w:val="nil"/>
                    <w:tr2bl w:val="nil"/>
                  </w:tcBorders>
                  <w:shd w:val="clear" w:color="auto" w:fill="auto"/>
                  <w:vAlign w:val="center"/>
                </w:tcPr>
                <w:p w14:paraId="18AB7F42">
                  <w:pPr>
                    <w:jc w:val="center"/>
                    <w:rPr>
                      <w:rFonts w:hint="default" w:ascii="Times New Roman" w:hAnsi="Times New Roman" w:eastAsia="宋体" w:cs="Times New Roman"/>
                      <w:i w:val="0"/>
                      <w:iCs w:val="0"/>
                      <w:color w:val="000000"/>
                      <w:sz w:val="18"/>
                      <w:szCs w:val="18"/>
                      <w:u w:val="none"/>
                    </w:rPr>
                  </w:pPr>
                </w:p>
              </w:tc>
              <w:tc>
                <w:tcPr>
                  <w:tcW w:w="909" w:type="dxa"/>
                  <w:vMerge w:val="continue"/>
                  <w:tcBorders>
                    <w:tl2br w:val="nil"/>
                    <w:tr2bl w:val="nil"/>
                  </w:tcBorders>
                  <w:shd w:val="clear" w:color="auto" w:fill="auto"/>
                  <w:vAlign w:val="center"/>
                </w:tcPr>
                <w:p w14:paraId="313FFD25">
                  <w:pPr>
                    <w:jc w:val="center"/>
                    <w:rPr>
                      <w:rFonts w:hint="default" w:ascii="Times New Roman" w:hAnsi="Times New Roman" w:eastAsia="宋体" w:cs="Times New Roman"/>
                      <w:i w:val="0"/>
                      <w:iCs w:val="0"/>
                      <w:color w:val="000000"/>
                      <w:sz w:val="18"/>
                      <w:szCs w:val="18"/>
                      <w:u w:val="none"/>
                    </w:rPr>
                  </w:pPr>
                </w:p>
              </w:tc>
              <w:tc>
                <w:tcPr>
                  <w:tcW w:w="686" w:type="dxa"/>
                  <w:vMerge w:val="continue"/>
                  <w:tcBorders>
                    <w:tl2br w:val="nil"/>
                    <w:tr2bl w:val="nil"/>
                  </w:tcBorders>
                  <w:shd w:val="clear" w:color="auto" w:fill="auto"/>
                  <w:vAlign w:val="center"/>
                </w:tcPr>
                <w:p w14:paraId="6A5F243D">
                  <w:pPr>
                    <w:jc w:val="center"/>
                    <w:rPr>
                      <w:rFonts w:hint="default" w:ascii="Times New Roman" w:hAnsi="Times New Roman" w:eastAsia="宋体" w:cs="Times New Roman"/>
                      <w:i w:val="0"/>
                      <w:iCs w:val="0"/>
                      <w:color w:val="000000"/>
                      <w:sz w:val="18"/>
                      <w:szCs w:val="18"/>
                      <w:u w:val="none"/>
                    </w:rPr>
                  </w:pPr>
                </w:p>
              </w:tc>
            </w:tr>
            <w:tr w14:paraId="2BF4E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83" w:hRule="atLeast"/>
                <w:jc w:val="center"/>
              </w:trPr>
              <w:tc>
                <w:tcPr>
                  <w:tcW w:w="685" w:type="dxa"/>
                  <w:tcBorders>
                    <w:tl2br w:val="nil"/>
                    <w:tr2bl w:val="nil"/>
                  </w:tcBorders>
                  <w:shd w:val="clear" w:color="auto" w:fill="auto"/>
                  <w:vAlign w:val="center"/>
                </w:tcPr>
                <w:p w14:paraId="7A00C7B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DA004</w:t>
                  </w:r>
                </w:p>
              </w:tc>
              <w:tc>
                <w:tcPr>
                  <w:tcW w:w="1588" w:type="dxa"/>
                  <w:tcBorders>
                    <w:tl2br w:val="nil"/>
                    <w:tr2bl w:val="nil"/>
                  </w:tcBorders>
                  <w:shd w:val="clear" w:color="auto" w:fill="auto"/>
                  <w:vAlign w:val="center"/>
                </w:tcPr>
                <w:p w14:paraId="25081D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进仓粉尘、筛分粉尘、旋风分离粉尘、风选粉尘、包装粉尘</w:t>
                  </w:r>
                </w:p>
              </w:tc>
              <w:tc>
                <w:tcPr>
                  <w:tcW w:w="1684" w:type="dxa"/>
                  <w:tcBorders>
                    <w:tl2br w:val="nil"/>
                    <w:tr2bl w:val="nil"/>
                  </w:tcBorders>
                  <w:shd w:val="clear" w:color="auto" w:fill="auto"/>
                  <w:vAlign w:val="center"/>
                </w:tcPr>
                <w:p w14:paraId="1B6FDB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颗粒物（含炭黑尘）</w:t>
                  </w:r>
                </w:p>
              </w:tc>
              <w:tc>
                <w:tcPr>
                  <w:tcW w:w="728" w:type="dxa"/>
                  <w:tcBorders>
                    <w:tl2br w:val="nil"/>
                    <w:tr2bl w:val="nil"/>
                  </w:tcBorders>
                  <w:shd w:val="clear" w:color="auto" w:fill="auto"/>
                  <w:vAlign w:val="center"/>
                </w:tcPr>
                <w:p w14:paraId="712015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117.639831°</w:t>
                  </w:r>
                </w:p>
              </w:tc>
              <w:tc>
                <w:tcPr>
                  <w:tcW w:w="917" w:type="dxa"/>
                  <w:tcBorders>
                    <w:tl2br w:val="nil"/>
                    <w:tr2bl w:val="nil"/>
                  </w:tcBorders>
                  <w:shd w:val="clear" w:color="auto" w:fill="auto"/>
                  <w:vAlign w:val="center"/>
                </w:tcPr>
                <w:p w14:paraId="6318B6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30.740256°</w:t>
                  </w:r>
                </w:p>
              </w:tc>
              <w:tc>
                <w:tcPr>
                  <w:tcW w:w="1853" w:type="dxa"/>
                  <w:tcBorders>
                    <w:tl2br w:val="nil"/>
                    <w:tr2bl w:val="nil"/>
                  </w:tcBorders>
                  <w:shd w:val="clear" w:color="auto" w:fill="auto"/>
                  <w:vAlign w:val="center"/>
                </w:tcPr>
                <w:p w14:paraId="634314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《大气污染物综合排放标准》（GB16297-1996）</w:t>
                  </w:r>
                </w:p>
              </w:tc>
              <w:tc>
                <w:tcPr>
                  <w:tcW w:w="1063" w:type="dxa"/>
                  <w:tcBorders>
                    <w:tl2br w:val="nil"/>
                    <w:tr2bl w:val="nil"/>
                  </w:tcBorders>
                  <w:shd w:val="clear" w:color="auto" w:fill="auto"/>
                  <w:vAlign w:val="center"/>
                </w:tcPr>
                <w:p w14:paraId="1489B5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098" w:type="dxa"/>
                  <w:tcBorders>
                    <w:tl2br w:val="nil"/>
                    <w:tr2bl w:val="nil"/>
                  </w:tcBorders>
                  <w:shd w:val="clear" w:color="auto" w:fill="auto"/>
                  <w:vAlign w:val="center"/>
                </w:tcPr>
                <w:p w14:paraId="051D60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0.255</w:t>
                  </w:r>
                </w:p>
              </w:tc>
              <w:tc>
                <w:tcPr>
                  <w:tcW w:w="909" w:type="dxa"/>
                  <w:tcBorders>
                    <w:tl2br w:val="nil"/>
                    <w:tr2bl w:val="nil"/>
                  </w:tcBorders>
                  <w:shd w:val="clear" w:color="auto" w:fill="auto"/>
                  <w:vAlign w:val="center"/>
                </w:tcPr>
                <w:p w14:paraId="52C2362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737" w:type="dxa"/>
                  <w:tcBorders>
                    <w:tl2br w:val="nil"/>
                    <w:tr2bl w:val="nil"/>
                  </w:tcBorders>
                  <w:shd w:val="clear" w:color="auto" w:fill="auto"/>
                  <w:vAlign w:val="center"/>
                </w:tcPr>
                <w:p w14:paraId="3CF426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0.5</w:t>
                  </w:r>
                  <w:r>
                    <w:rPr>
                      <w:rFonts w:hint="eastAsia" w:ascii="Times New Roman" w:hAnsi="Times New Roman" w:eastAsia="宋体" w:cs="Times New Roman"/>
                      <w:i w:val="0"/>
                      <w:iCs w:val="0"/>
                      <w:color w:val="000000"/>
                      <w:kern w:val="0"/>
                      <w:sz w:val="18"/>
                      <w:szCs w:val="18"/>
                      <w:u w:val="none"/>
                      <w:lang w:val="en-US" w:eastAsia="zh-CN" w:bidi="ar"/>
                    </w:rPr>
                    <w:t>2</w:t>
                  </w:r>
                </w:p>
              </w:tc>
              <w:tc>
                <w:tcPr>
                  <w:tcW w:w="1000" w:type="dxa"/>
                  <w:tcBorders>
                    <w:tl2br w:val="nil"/>
                    <w:tr2bl w:val="nil"/>
                  </w:tcBorders>
                  <w:shd w:val="clear" w:color="auto" w:fill="auto"/>
                  <w:vAlign w:val="center"/>
                </w:tcPr>
                <w:p w14:paraId="417265C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w:t>
                  </w:r>
                </w:p>
              </w:tc>
              <w:tc>
                <w:tcPr>
                  <w:tcW w:w="909" w:type="dxa"/>
                  <w:tcBorders>
                    <w:tl2br w:val="nil"/>
                    <w:tr2bl w:val="nil"/>
                  </w:tcBorders>
                  <w:shd w:val="clear" w:color="auto" w:fill="auto"/>
                  <w:vAlign w:val="center"/>
                </w:tcPr>
                <w:p w14:paraId="6057AE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达标</w:t>
                  </w:r>
                </w:p>
              </w:tc>
              <w:tc>
                <w:tcPr>
                  <w:tcW w:w="686" w:type="dxa"/>
                  <w:tcBorders>
                    <w:tl2br w:val="nil"/>
                    <w:tr2bl w:val="nil"/>
                  </w:tcBorders>
                  <w:shd w:val="clear" w:color="auto" w:fill="auto"/>
                  <w:vAlign w:val="center"/>
                </w:tcPr>
                <w:p w14:paraId="0A7CCB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一般排放口</w:t>
                  </w:r>
                </w:p>
              </w:tc>
            </w:tr>
          </w:tbl>
          <w:p w14:paraId="745A0317">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default" w:ascii="Times New Roman" w:hAnsi="Times New Roman" w:eastAsia="宋体" w:cs="Times New Roman"/>
                <w:b/>
                <w:bCs/>
                <w:color w:val="auto"/>
                <w:spacing w:val="0"/>
                <w:szCs w:val="21"/>
                <w:lang w:val="en-US" w:eastAsia="zh-CN"/>
              </w:rPr>
            </w:pPr>
            <w:r>
              <w:rPr>
                <w:rFonts w:hint="default" w:ascii="Times New Roman" w:hAnsi="Times New Roman" w:eastAsia="宋体" w:cs="Times New Roman"/>
                <w:b/>
                <w:bCs/>
                <w:color w:val="auto"/>
                <w:spacing w:val="0"/>
                <w:szCs w:val="21"/>
                <w:lang w:eastAsia="zh-CN"/>
              </w:rPr>
              <w:t>表</w:t>
            </w:r>
            <w:r>
              <w:rPr>
                <w:rFonts w:hint="default" w:ascii="Times New Roman" w:hAnsi="Times New Roman" w:eastAsia="宋体" w:cs="Times New Roman"/>
                <w:b/>
                <w:bCs/>
                <w:color w:val="auto"/>
                <w:spacing w:val="0"/>
                <w:szCs w:val="21"/>
                <w:lang w:val="en-US" w:eastAsia="zh-CN"/>
              </w:rPr>
              <w:t>4-</w:t>
            </w:r>
            <w:r>
              <w:rPr>
                <w:rFonts w:hint="eastAsia" w:cs="Times New Roman"/>
                <w:b/>
                <w:bCs/>
                <w:color w:val="auto"/>
                <w:spacing w:val="0"/>
                <w:szCs w:val="21"/>
                <w:lang w:val="en-US" w:eastAsia="zh-CN"/>
              </w:rPr>
              <w:t>18</w:t>
            </w:r>
            <w:r>
              <w:rPr>
                <w:rFonts w:hint="default" w:ascii="Times New Roman" w:hAnsi="Times New Roman" w:eastAsia="宋体" w:cs="Times New Roman"/>
                <w:b/>
                <w:bCs/>
                <w:color w:val="auto"/>
                <w:spacing w:val="0"/>
                <w:szCs w:val="21"/>
                <w:lang w:val="en-US" w:eastAsia="zh-CN"/>
              </w:rPr>
              <w:t xml:space="preserve">  </w:t>
            </w:r>
            <w:r>
              <w:rPr>
                <w:rFonts w:hint="default" w:ascii="Times New Roman" w:hAnsi="Times New Roman" w:eastAsia="宋体" w:cs="Times New Roman"/>
                <w:b/>
                <w:bCs/>
                <w:color w:val="auto"/>
                <w:spacing w:val="0"/>
                <w:szCs w:val="21"/>
              </w:rPr>
              <w:t>建设项目大气污染物无组织排放</w:t>
            </w:r>
            <w:r>
              <w:rPr>
                <w:rFonts w:hint="default" w:ascii="Times New Roman" w:hAnsi="Times New Roman" w:eastAsia="宋体" w:cs="Times New Roman"/>
                <w:b/>
                <w:bCs/>
                <w:color w:val="auto"/>
                <w:spacing w:val="0"/>
                <w:szCs w:val="21"/>
                <w:lang w:val="en-US" w:eastAsia="zh-CN"/>
              </w:rPr>
              <w:t>信息表</w:t>
            </w:r>
          </w:p>
          <w:tbl>
            <w:tblPr>
              <w:tblStyle w:val="26"/>
              <w:tblW w:w="137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0"/>
              <w:gridCol w:w="1335"/>
              <w:gridCol w:w="1788"/>
              <w:gridCol w:w="2052"/>
              <w:gridCol w:w="1704"/>
              <w:gridCol w:w="1704"/>
              <w:gridCol w:w="1308"/>
              <w:gridCol w:w="1679"/>
              <w:gridCol w:w="1258"/>
            </w:tblGrid>
            <w:tr w14:paraId="754E9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A23DF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污染单元</w:t>
                  </w:r>
                </w:p>
              </w:tc>
              <w:tc>
                <w:tcPr>
                  <w:tcW w:w="13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808DC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污染源</w:t>
                  </w:r>
                </w:p>
              </w:tc>
              <w:tc>
                <w:tcPr>
                  <w:tcW w:w="17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6C739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产污环节</w:t>
                  </w:r>
                  <w:r>
                    <w:rPr>
                      <w:rFonts w:hint="default" w:ascii="Times New Roman" w:hAnsi="Times New Roman" w:eastAsia="宋体" w:cs="Times New Roman"/>
                      <w:b/>
                      <w:bCs/>
                      <w:i w:val="0"/>
                      <w:iCs w:val="0"/>
                      <w:color w:val="000000"/>
                      <w:kern w:val="0"/>
                      <w:sz w:val="21"/>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位置</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E280A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污染物种类</w:t>
                  </w:r>
                </w:p>
              </w:tc>
              <w:tc>
                <w:tcPr>
                  <w:tcW w:w="1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DB537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排放量（</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c>
                <w:tcPr>
                  <w:tcW w:w="1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B50F3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排放速率（</w:t>
                  </w:r>
                  <w:r>
                    <w:rPr>
                      <w:rFonts w:hint="default" w:ascii="Times New Roman" w:hAnsi="Times New Roman" w:eastAsia="宋体" w:cs="Times New Roman"/>
                      <w:b/>
                      <w:bCs/>
                      <w:i w:val="0"/>
                      <w:iCs w:val="0"/>
                      <w:color w:val="000000"/>
                      <w:kern w:val="0"/>
                      <w:sz w:val="21"/>
                      <w:szCs w:val="21"/>
                      <w:u w:val="none"/>
                      <w:lang w:val="en-US" w:eastAsia="zh-CN" w:bidi="ar"/>
                    </w:rPr>
                    <w:t>kg/h</w:t>
                  </w:r>
                  <w:r>
                    <w:rPr>
                      <w:rFonts w:hint="eastAsia" w:ascii="宋体" w:hAnsi="宋体" w:eastAsia="宋体" w:cs="宋体"/>
                      <w:b/>
                      <w:bCs/>
                      <w:i w:val="0"/>
                      <w:iCs w:val="0"/>
                      <w:color w:val="000000"/>
                      <w:kern w:val="0"/>
                      <w:sz w:val="21"/>
                      <w:szCs w:val="21"/>
                      <w:u w:val="none"/>
                      <w:lang w:val="en-US" w:eastAsia="zh-CN" w:bidi="ar"/>
                    </w:rPr>
                    <w:t>）</w:t>
                  </w:r>
                </w:p>
              </w:tc>
              <w:tc>
                <w:tcPr>
                  <w:tcW w:w="13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B9F18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排放源参数</w:t>
                  </w:r>
                </w:p>
              </w:tc>
              <w:tc>
                <w:tcPr>
                  <w:tcW w:w="29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9F574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国家或地方污染物排放标准</w:t>
                  </w:r>
                </w:p>
              </w:tc>
            </w:tr>
            <w:tr w14:paraId="12983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jc w:val="center"/>
              </w:trPr>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51D36">
                  <w:pPr>
                    <w:jc w:val="center"/>
                    <w:rPr>
                      <w:rFonts w:hint="default" w:ascii="Times New Roman" w:hAnsi="Times New Roman" w:eastAsia="宋体" w:cs="Times New Roman"/>
                      <w:b/>
                      <w:bCs/>
                      <w:i w:val="0"/>
                      <w:iCs w:val="0"/>
                      <w:color w:val="000000"/>
                      <w:sz w:val="21"/>
                      <w:szCs w:val="21"/>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C795E">
                  <w:pPr>
                    <w:jc w:val="center"/>
                    <w:rPr>
                      <w:rFonts w:hint="default" w:ascii="Times New Roman" w:hAnsi="Times New Roman" w:eastAsia="宋体" w:cs="Times New Roman"/>
                      <w:b/>
                      <w:bCs/>
                      <w:i w:val="0"/>
                      <w:iCs w:val="0"/>
                      <w:color w:val="000000"/>
                      <w:sz w:val="21"/>
                      <w:szCs w:val="21"/>
                      <w:u w:val="none"/>
                    </w:rPr>
                  </w:pPr>
                </w:p>
              </w:tc>
              <w:tc>
                <w:tcPr>
                  <w:tcW w:w="1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90C58">
                  <w:pPr>
                    <w:jc w:val="center"/>
                    <w:rPr>
                      <w:rFonts w:hint="default" w:ascii="Times New Roman" w:hAnsi="Times New Roman" w:eastAsia="宋体" w:cs="Times New Roman"/>
                      <w:b/>
                      <w:bCs/>
                      <w:i w:val="0"/>
                      <w:iCs w:val="0"/>
                      <w:color w:val="000000"/>
                      <w:sz w:val="21"/>
                      <w:szCs w:val="21"/>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926C4">
                  <w:pPr>
                    <w:jc w:val="center"/>
                    <w:rPr>
                      <w:rFonts w:hint="default" w:ascii="Times New Roman" w:hAnsi="Times New Roman" w:eastAsia="宋体" w:cs="Times New Roman"/>
                      <w:b/>
                      <w:bCs/>
                      <w:i w:val="0"/>
                      <w:iCs w:val="0"/>
                      <w:color w:val="000000"/>
                      <w:sz w:val="21"/>
                      <w:szCs w:val="21"/>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7B380">
                  <w:pPr>
                    <w:jc w:val="center"/>
                    <w:rPr>
                      <w:rFonts w:hint="default" w:ascii="Times New Roman" w:hAnsi="Times New Roman" w:eastAsia="宋体" w:cs="Times New Roman"/>
                      <w:b/>
                      <w:bCs/>
                      <w:i w:val="0"/>
                      <w:iCs w:val="0"/>
                      <w:color w:val="000000"/>
                      <w:sz w:val="21"/>
                      <w:szCs w:val="21"/>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E80DC">
                  <w:pPr>
                    <w:jc w:val="center"/>
                    <w:rPr>
                      <w:rFonts w:hint="default" w:ascii="Times New Roman" w:hAnsi="Times New Roman" w:eastAsia="宋体" w:cs="Times New Roman"/>
                      <w:b/>
                      <w:bCs/>
                      <w:i w:val="0"/>
                      <w:iCs w:val="0"/>
                      <w:color w:val="000000"/>
                      <w:sz w:val="21"/>
                      <w:szCs w:val="21"/>
                      <w:u w:val="none"/>
                    </w:rPr>
                  </w:pP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84AFF">
                  <w:pPr>
                    <w:jc w:val="center"/>
                    <w:rPr>
                      <w:rFonts w:hint="default" w:ascii="Times New Roman" w:hAnsi="Times New Roman" w:eastAsia="宋体" w:cs="Times New Roman"/>
                      <w:b/>
                      <w:bCs/>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CE6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浓度限值（</w:t>
                  </w:r>
                  <w:r>
                    <w:rPr>
                      <w:rFonts w:hint="default" w:ascii="Times New Roman" w:hAnsi="Times New Roman" w:eastAsia="宋体" w:cs="Times New Roman"/>
                      <w:b/>
                      <w:bCs/>
                      <w:i w:val="0"/>
                      <w:iCs w:val="0"/>
                      <w:color w:val="000000"/>
                      <w:kern w:val="0"/>
                      <w:sz w:val="21"/>
                      <w:szCs w:val="21"/>
                      <w:u w:val="none"/>
                      <w:lang w:val="en-US" w:eastAsia="zh-CN" w:bidi="ar"/>
                    </w:rPr>
                    <w:t>mg/Nm</w:t>
                  </w:r>
                  <w:r>
                    <w:rPr>
                      <w:rFonts w:hint="default" w:ascii="Times New Roman" w:hAnsi="Times New Roman" w:eastAsia="宋体" w:cs="Times New Roman"/>
                      <w:b/>
                      <w:bCs/>
                      <w:i w:val="0"/>
                      <w:iCs w:val="0"/>
                      <w:color w:val="000000"/>
                      <w:kern w:val="0"/>
                      <w:sz w:val="21"/>
                      <w:szCs w:val="21"/>
                      <w:u w:val="none"/>
                      <w:vertAlign w:val="superscript"/>
                      <w:lang w:val="en-US" w:eastAsia="zh-CN" w:bidi="ar"/>
                    </w:rPr>
                    <w:t>3</w:t>
                  </w:r>
                  <w:r>
                    <w:rPr>
                      <w:rFonts w:hint="eastAsia" w:ascii="宋体" w:hAnsi="宋体" w:eastAsia="宋体" w:cs="宋体"/>
                      <w:b/>
                      <w:bCs/>
                      <w:i w:val="0"/>
                      <w:iCs w:val="0"/>
                      <w:color w:val="000000"/>
                      <w:kern w:val="0"/>
                      <w:sz w:val="21"/>
                      <w:szCs w:val="21"/>
                      <w:u w:val="none"/>
                      <w:lang w:val="en-US" w:eastAsia="zh-CN" w:bidi="ar"/>
                    </w:rPr>
                    <w:t>）</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D756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标准名称</w:t>
                  </w:r>
                </w:p>
              </w:tc>
            </w:tr>
            <w:tr w14:paraId="4323B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restart"/>
                  <w:tcBorders>
                    <w:top w:val="single" w:color="000000" w:sz="4" w:space="0"/>
                    <w:left w:val="single" w:color="000000" w:sz="4" w:space="0"/>
                    <w:right w:val="single" w:color="000000" w:sz="4" w:space="0"/>
                  </w:tcBorders>
                  <w:shd w:val="clear" w:color="auto" w:fill="auto"/>
                  <w:vAlign w:val="center"/>
                </w:tcPr>
                <w:p w14:paraId="5C72BC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r>
                    <w:rPr>
                      <w:rFonts w:hint="eastAsia" w:ascii="宋体" w:hAnsi="宋体" w:eastAsia="宋体" w:cs="宋体"/>
                      <w:i w:val="0"/>
                      <w:iCs w:val="0"/>
                      <w:color w:val="000000"/>
                      <w:kern w:val="0"/>
                      <w:sz w:val="21"/>
                      <w:szCs w:val="21"/>
                      <w:u w:val="none"/>
                      <w:lang w:val="en-US" w:eastAsia="zh-CN" w:bidi="ar"/>
                    </w:rPr>
                    <w:t>厂房</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0E5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分选机</w:t>
                  </w: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80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分选</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881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6CE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0.044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DEE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0.006 </w:t>
                  </w:r>
                </w:p>
              </w:tc>
              <w:tc>
                <w:tcPr>
                  <w:tcW w:w="13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D675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79m×60m×8.5m</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BDC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2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D168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《大气污染物综合排放标准》（</w:t>
                  </w:r>
                  <w:r>
                    <w:rPr>
                      <w:rFonts w:hint="default" w:ascii="Times New Roman" w:hAnsi="Times New Roman" w:eastAsia="宋体" w:cs="Times New Roman"/>
                      <w:i w:val="0"/>
                      <w:iCs w:val="0"/>
                      <w:color w:val="000000"/>
                      <w:kern w:val="0"/>
                      <w:sz w:val="21"/>
                      <w:szCs w:val="21"/>
                      <w:u w:val="none"/>
                      <w:lang w:val="en-US" w:eastAsia="zh-CN" w:bidi="ar"/>
                    </w:rPr>
                    <w:t>GB16297-1996</w:t>
                  </w:r>
                  <w:r>
                    <w:rPr>
                      <w:rFonts w:hint="eastAsia" w:ascii="宋体" w:hAnsi="宋体" w:eastAsia="宋体" w:cs="宋体"/>
                      <w:i w:val="0"/>
                      <w:iCs w:val="0"/>
                      <w:color w:val="000000"/>
                      <w:kern w:val="0"/>
                      <w:sz w:val="21"/>
                      <w:szCs w:val="21"/>
                      <w:u w:val="none"/>
                      <w:lang w:val="en-US" w:eastAsia="zh-CN" w:bidi="ar"/>
                    </w:rPr>
                    <w:t>）</w:t>
                  </w:r>
                </w:p>
              </w:tc>
            </w:tr>
            <w:tr w14:paraId="2BA66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32F0376B">
                  <w:pPr>
                    <w:jc w:val="center"/>
                    <w:rPr>
                      <w:rFonts w:hint="default" w:ascii="Times New Roman" w:hAnsi="Times New Roman" w:eastAsia="宋体" w:cs="Times New Roman"/>
                      <w:i w:val="0"/>
                      <w:iCs w:val="0"/>
                      <w:color w:val="000000"/>
                      <w:sz w:val="21"/>
                      <w:szCs w:val="21"/>
                      <w:u w:val="none"/>
                    </w:rPr>
                  </w:pPr>
                </w:p>
              </w:tc>
              <w:tc>
                <w:tcPr>
                  <w:tcW w:w="13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20C1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w:t>
                  </w:r>
                </w:p>
              </w:tc>
              <w:tc>
                <w:tcPr>
                  <w:tcW w:w="17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52A0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热解炉开炉</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7C1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二氧化硫</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182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6.08E-08</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6D5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8.44E-09</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75961">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BE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065E0">
                  <w:pPr>
                    <w:jc w:val="center"/>
                    <w:rPr>
                      <w:rFonts w:hint="eastAsia" w:ascii="宋体" w:hAnsi="宋体" w:eastAsia="宋体" w:cs="宋体"/>
                      <w:i w:val="0"/>
                      <w:iCs w:val="0"/>
                      <w:color w:val="000000"/>
                      <w:sz w:val="21"/>
                      <w:szCs w:val="21"/>
                      <w:u w:val="none"/>
                    </w:rPr>
                  </w:pPr>
                </w:p>
              </w:tc>
            </w:tr>
            <w:tr w14:paraId="53019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034E20CA">
                  <w:pPr>
                    <w:jc w:val="center"/>
                    <w:rPr>
                      <w:rFonts w:hint="default" w:ascii="Times New Roman" w:hAnsi="Times New Roman" w:eastAsia="宋体" w:cs="Times New Roman"/>
                      <w:i w:val="0"/>
                      <w:iCs w:val="0"/>
                      <w:color w:val="000000"/>
                      <w:sz w:val="21"/>
                      <w:szCs w:val="21"/>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C3F7F">
                  <w:pPr>
                    <w:jc w:val="center"/>
                    <w:rPr>
                      <w:rFonts w:hint="default" w:ascii="Times New Roman" w:hAnsi="Times New Roman" w:eastAsia="宋体" w:cs="Times New Roman"/>
                      <w:i w:val="0"/>
                      <w:iCs w:val="0"/>
                      <w:color w:val="000000"/>
                      <w:sz w:val="21"/>
                      <w:szCs w:val="21"/>
                      <w:u w:val="none"/>
                    </w:rPr>
                  </w:pPr>
                </w:p>
              </w:tc>
              <w:tc>
                <w:tcPr>
                  <w:tcW w:w="1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2E035">
                  <w:pPr>
                    <w:jc w:val="center"/>
                    <w:rPr>
                      <w:rFonts w:hint="eastAsia" w:ascii="宋体" w:hAnsi="宋体" w:eastAsia="宋体" w:cs="宋体"/>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7D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氮氧化物</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B2E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0.034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892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0.005 </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08AE1">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FC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0.12</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27F89">
                  <w:pPr>
                    <w:jc w:val="center"/>
                    <w:rPr>
                      <w:rFonts w:hint="eastAsia" w:ascii="宋体" w:hAnsi="宋体" w:eastAsia="宋体" w:cs="宋体"/>
                      <w:i w:val="0"/>
                      <w:iCs w:val="0"/>
                      <w:color w:val="000000"/>
                      <w:sz w:val="21"/>
                      <w:szCs w:val="21"/>
                      <w:u w:val="none"/>
                    </w:rPr>
                  </w:pPr>
                </w:p>
              </w:tc>
            </w:tr>
            <w:tr w14:paraId="4A2FA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890" w:type="dxa"/>
                  <w:vMerge w:val="continue"/>
                  <w:tcBorders>
                    <w:left w:val="single" w:color="000000" w:sz="4" w:space="0"/>
                    <w:right w:val="single" w:color="000000" w:sz="4" w:space="0"/>
                  </w:tcBorders>
                  <w:shd w:val="clear" w:color="auto" w:fill="auto"/>
                  <w:vAlign w:val="center"/>
                </w:tcPr>
                <w:p w14:paraId="2110373E">
                  <w:pPr>
                    <w:jc w:val="center"/>
                    <w:rPr>
                      <w:rFonts w:hint="default" w:ascii="Times New Roman" w:hAnsi="Times New Roman" w:eastAsia="宋体" w:cs="Times New Roman"/>
                      <w:i w:val="0"/>
                      <w:iCs w:val="0"/>
                      <w:color w:val="000000"/>
                      <w:sz w:val="21"/>
                      <w:szCs w:val="21"/>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23866">
                  <w:pPr>
                    <w:jc w:val="center"/>
                    <w:rPr>
                      <w:rFonts w:hint="default" w:ascii="Times New Roman" w:hAnsi="Times New Roman" w:eastAsia="宋体" w:cs="Times New Roman"/>
                      <w:i w:val="0"/>
                      <w:iCs w:val="0"/>
                      <w:color w:val="000000"/>
                      <w:sz w:val="21"/>
                      <w:szCs w:val="21"/>
                      <w:u w:val="none"/>
                    </w:rPr>
                  </w:pPr>
                </w:p>
              </w:tc>
              <w:tc>
                <w:tcPr>
                  <w:tcW w:w="1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EE938">
                  <w:pPr>
                    <w:jc w:val="center"/>
                    <w:rPr>
                      <w:rFonts w:hint="eastAsia" w:ascii="宋体" w:hAnsi="宋体" w:eastAsia="宋体" w:cs="宋体"/>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21C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颗粒物（</w:t>
                  </w:r>
                  <w:r>
                    <w:rPr>
                      <w:rFonts w:hint="eastAsia" w:cs="Times New Roman"/>
                      <w:i w:val="0"/>
                      <w:iCs w:val="0"/>
                      <w:color w:val="000000"/>
                      <w:kern w:val="0"/>
                      <w:sz w:val="21"/>
                      <w:szCs w:val="21"/>
                      <w:u w:val="none"/>
                      <w:lang w:val="en-US" w:eastAsia="zh-CN" w:bidi="ar"/>
                    </w:rPr>
                    <w:t>含炭黑尘、铜、锡等</w:t>
                  </w:r>
                  <w:r>
                    <w:rPr>
                      <w:rFonts w:hint="default" w:ascii="Times New Roman" w:hAnsi="Times New Roman" w:eastAsia="宋体" w:cs="Times New Roman"/>
                      <w:i w:val="0"/>
                      <w:iCs w:val="0"/>
                      <w:color w:val="000000"/>
                      <w:kern w:val="0"/>
                      <w:sz w:val="21"/>
                      <w:szCs w:val="21"/>
                      <w:u w:val="none"/>
                      <w:lang w:val="en-US" w:eastAsia="zh-CN" w:bidi="ar"/>
                    </w:rPr>
                    <w:t>）</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F33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0.009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C1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0.001 </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A030E">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9CC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BE63A">
                  <w:pPr>
                    <w:jc w:val="center"/>
                    <w:rPr>
                      <w:rFonts w:hint="eastAsia" w:ascii="宋体" w:hAnsi="宋体" w:eastAsia="宋体" w:cs="宋体"/>
                      <w:i w:val="0"/>
                      <w:iCs w:val="0"/>
                      <w:color w:val="000000"/>
                      <w:sz w:val="21"/>
                      <w:szCs w:val="21"/>
                      <w:u w:val="none"/>
                    </w:rPr>
                  </w:pPr>
                </w:p>
              </w:tc>
            </w:tr>
            <w:tr w14:paraId="33417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1F9BA5F2">
                  <w:pPr>
                    <w:jc w:val="center"/>
                    <w:rPr>
                      <w:rFonts w:hint="default" w:ascii="Times New Roman" w:hAnsi="Times New Roman" w:eastAsia="宋体" w:cs="Times New Roman"/>
                      <w:i w:val="0"/>
                      <w:iCs w:val="0"/>
                      <w:color w:val="000000"/>
                      <w:sz w:val="21"/>
                      <w:szCs w:val="21"/>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27DEF">
                  <w:pPr>
                    <w:jc w:val="center"/>
                    <w:rPr>
                      <w:rFonts w:hint="default" w:ascii="Times New Roman" w:hAnsi="Times New Roman" w:eastAsia="宋体" w:cs="Times New Roman"/>
                      <w:i w:val="0"/>
                      <w:iCs w:val="0"/>
                      <w:color w:val="000000"/>
                      <w:sz w:val="21"/>
                      <w:szCs w:val="21"/>
                      <w:u w:val="none"/>
                    </w:rPr>
                  </w:pPr>
                </w:p>
              </w:tc>
              <w:tc>
                <w:tcPr>
                  <w:tcW w:w="1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42C04">
                  <w:pPr>
                    <w:jc w:val="center"/>
                    <w:rPr>
                      <w:rFonts w:hint="eastAsia" w:ascii="宋体" w:hAnsi="宋体" w:eastAsia="宋体" w:cs="宋体"/>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D8A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锡及其化合物</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4E8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8E-05</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9D0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1.11E-05</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1EE66">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C7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0.24</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CF3C9">
                  <w:pPr>
                    <w:jc w:val="center"/>
                    <w:rPr>
                      <w:rFonts w:hint="eastAsia" w:ascii="宋体" w:hAnsi="宋体" w:eastAsia="宋体" w:cs="宋体"/>
                      <w:i w:val="0"/>
                      <w:iCs w:val="0"/>
                      <w:color w:val="000000"/>
                      <w:sz w:val="21"/>
                      <w:szCs w:val="21"/>
                      <w:u w:val="none"/>
                    </w:rPr>
                  </w:pPr>
                </w:p>
              </w:tc>
            </w:tr>
            <w:tr w14:paraId="1ED2A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3E0A3B03">
                  <w:pPr>
                    <w:jc w:val="center"/>
                    <w:rPr>
                      <w:rFonts w:hint="default" w:ascii="Times New Roman" w:hAnsi="Times New Roman" w:eastAsia="宋体" w:cs="Times New Roman"/>
                      <w:i w:val="0"/>
                      <w:iCs w:val="0"/>
                      <w:color w:val="000000"/>
                      <w:sz w:val="21"/>
                      <w:szCs w:val="21"/>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3A681">
                  <w:pPr>
                    <w:jc w:val="center"/>
                    <w:rPr>
                      <w:rFonts w:hint="default" w:ascii="Times New Roman" w:hAnsi="Times New Roman" w:eastAsia="宋体" w:cs="Times New Roman"/>
                      <w:i w:val="0"/>
                      <w:iCs w:val="0"/>
                      <w:color w:val="000000"/>
                      <w:sz w:val="21"/>
                      <w:szCs w:val="21"/>
                      <w:u w:val="none"/>
                    </w:rPr>
                  </w:pPr>
                </w:p>
              </w:tc>
              <w:tc>
                <w:tcPr>
                  <w:tcW w:w="1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38BE7">
                  <w:pPr>
                    <w:jc w:val="center"/>
                    <w:rPr>
                      <w:rFonts w:hint="eastAsia" w:ascii="宋体" w:hAnsi="宋体" w:eastAsia="宋体" w:cs="宋体"/>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F30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铜及其化合物</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197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0.0015</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581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2.08E-04</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5583D">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F84D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D90C6">
                  <w:pPr>
                    <w:jc w:val="center"/>
                    <w:rPr>
                      <w:rFonts w:hint="eastAsia" w:ascii="宋体" w:hAnsi="宋体" w:eastAsia="宋体" w:cs="宋体"/>
                      <w:i w:val="0"/>
                      <w:iCs w:val="0"/>
                      <w:color w:val="000000"/>
                      <w:sz w:val="21"/>
                      <w:szCs w:val="21"/>
                      <w:u w:val="none"/>
                    </w:rPr>
                  </w:pPr>
                </w:p>
              </w:tc>
            </w:tr>
            <w:tr w14:paraId="66CF0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6812C4E8">
                  <w:pPr>
                    <w:jc w:val="center"/>
                    <w:rPr>
                      <w:rFonts w:hint="default" w:ascii="Times New Roman" w:hAnsi="Times New Roman" w:eastAsia="宋体" w:cs="Times New Roman"/>
                      <w:i w:val="0"/>
                      <w:iCs w:val="0"/>
                      <w:color w:val="000000"/>
                      <w:sz w:val="21"/>
                      <w:szCs w:val="21"/>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1D210">
                  <w:pPr>
                    <w:jc w:val="center"/>
                    <w:rPr>
                      <w:rFonts w:hint="default" w:ascii="Times New Roman" w:hAnsi="Times New Roman" w:eastAsia="宋体" w:cs="Times New Roman"/>
                      <w:i w:val="0"/>
                      <w:iCs w:val="0"/>
                      <w:color w:val="000000"/>
                      <w:sz w:val="21"/>
                      <w:szCs w:val="21"/>
                      <w:u w:val="none"/>
                    </w:rPr>
                  </w:pPr>
                </w:p>
              </w:tc>
              <w:tc>
                <w:tcPr>
                  <w:tcW w:w="1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705E2">
                  <w:pPr>
                    <w:jc w:val="center"/>
                    <w:rPr>
                      <w:rFonts w:hint="eastAsia" w:ascii="宋体" w:hAnsi="宋体" w:eastAsia="宋体" w:cs="宋体"/>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F8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氟化物</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5C8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0.028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67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0.004 </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D4913">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38A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5772B">
                  <w:pPr>
                    <w:jc w:val="center"/>
                    <w:rPr>
                      <w:rFonts w:hint="eastAsia" w:ascii="宋体" w:hAnsi="宋体" w:eastAsia="宋体" w:cs="宋体"/>
                      <w:i w:val="0"/>
                      <w:iCs w:val="0"/>
                      <w:color w:val="000000"/>
                      <w:sz w:val="21"/>
                      <w:szCs w:val="21"/>
                      <w:u w:val="none"/>
                    </w:rPr>
                  </w:pPr>
                </w:p>
              </w:tc>
            </w:tr>
            <w:tr w14:paraId="6A639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75CAA63D">
                  <w:pPr>
                    <w:jc w:val="center"/>
                    <w:rPr>
                      <w:rFonts w:hint="default" w:ascii="Times New Roman" w:hAnsi="Times New Roman" w:eastAsia="宋体" w:cs="Times New Roman"/>
                      <w:i w:val="0"/>
                      <w:iCs w:val="0"/>
                      <w:color w:val="000000"/>
                      <w:sz w:val="21"/>
                      <w:szCs w:val="21"/>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8DBBF">
                  <w:pPr>
                    <w:jc w:val="center"/>
                    <w:rPr>
                      <w:rFonts w:hint="default" w:ascii="Times New Roman" w:hAnsi="Times New Roman" w:eastAsia="宋体" w:cs="Times New Roman"/>
                      <w:i w:val="0"/>
                      <w:iCs w:val="0"/>
                      <w:color w:val="000000"/>
                      <w:sz w:val="21"/>
                      <w:szCs w:val="21"/>
                      <w:u w:val="none"/>
                    </w:rPr>
                  </w:pPr>
                </w:p>
              </w:tc>
              <w:tc>
                <w:tcPr>
                  <w:tcW w:w="1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3F858">
                  <w:pPr>
                    <w:jc w:val="center"/>
                    <w:rPr>
                      <w:rFonts w:hint="eastAsia" w:ascii="宋体" w:hAnsi="宋体" w:eastAsia="宋体" w:cs="宋体"/>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434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非甲烷总烃</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39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0.117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22B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0.016 </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C014F">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6B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604C5">
                  <w:pPr>
                    <w:jc w:val="center"/>
                    <w:rPr>
                      <w:rFonts w:hint="eastAsia" w:ascii="宋体" w:hAnsi="宋体" w:eastAsia="宋体" w:cs="宋体"/>
                      <w:i w:val="0"/>
                      <w:iCs w:val="0"/>
                      <w:color w:val="000000"/>
                      <w:sz w:val="21"/>
                      <w:szCs w:val="21"/>
                      <w:u w:val="none"/>
                    </w:rPr>
                  </w:pPr>
                </w:p>
              </w:tc>
            </w:tr>
            <w:tr w14:paraId="066B5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5" w:hRule="atLeast"/>
                <w:jc w:val="center"/>
              </w:trPr>
              <w:tc>
                <w:tcPr>
                  <w:tcW w:w="890" w:type="dxa"/>
                  <w:vMerge w:val="continue"/>
                  <w:tcBorders>
                    <w:left w:val="single" w:color="000000" w:sz="4" w:space="0"/>
                    <w:right w:val="single" w:color="000000" w:sz="4" w:space="0"/>
                  </w:tcBorders>
                  <w:shd w:val="clear" w:color="auto" w:fill="auto"/>
                  <w:vAlign w:val="center"/>
                </w:tcPr>
                <w:p w14:paraId="764B6280">
                  <w:pPr>
                    <w:jc w:val="center"/>
                    <w:rPr>
                      <w:rFonts w:hint="default" w:ascii="Times New Roman" w:hAnsi="Times New Roman" w:eastAsia="宋体" w:cs="Times New Roman"/>
                      <w:i w:val="0"/>
                      <w:iCs w:val="0"/>
                      <w:color w:val="000000"/>
                      <w:sz w:val="21"/>
                      <w:szCs w:val="21"/>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BE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储料仓、包装工位</w:t>
                  </w: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760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进仓、包装</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5E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AD1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0.216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85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0.030 </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4CA14">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E5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10E4E">
                  <w:pPr>
                    <w:jc w:val="center"/>
                    <w:rPr>
                      <w:rFonts w:hint="eastAsia" w:ascii="宋体" w:hAnsi="宋体" w:eastAsia="宋体" w:cs="宋体"/>
                      <w:i w:val="0"/>
                      <w:iCs w:val="0"/>
                      <w:color w:val="000000"/>
                      <w:sz w:val="21"/>
                      <w:szCs w:val="21"/>
                      <w:u w:val="none"/>
                    </w:rPr>
                  </w:pPr>
                </w:p>
              </w:tc>
            </w:tr>
            <w:tr w14:paraId="65E39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53D20D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3123" w:type="dxa"/>
                  <w:gridSpan w:val="2"/>
                  <w:vMerge w:val="restart"/>
                  <w:tcBorders>
                    <w:top w:val="single" w:color="000000" w:sz="4" w:space="0"/>
                    <w:left w:val="single" w:color="000000" w:sz="4" w:space="0"/>
                    <w:right w:val="single" w:color="000000" w:sz="4" w:space="0"/>
                  </w:tcBorders>
                  <w:shd w:val="clear" w:color="auto" w:fill="auto"/>
                  <w:vAlign w:val="center"/>
                </w:tcPr>
                <w:p w14:paraId="659560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合计</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217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二氧化硫</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2AD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6.08E-08</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1E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8.44E-09</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313F8">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3B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EF9E1">
                  <w:pPr>
                    <w:jc w:val="center"/>
                    <w:rPr>
                      <w:rFonts w:hint="eastAsia" w:ascii="宋体" w:hAnsi="宋体" w:eastAsia="宋体" w:cs="宋体"/>
                      <w:i w:val="0"/>
                      <w:iCs w:val="0"/>
                      <w:color w:val="000000"/>
                      <w:sz w:val="21"/>
                      <w:szCs w:val="21"/>
                      <w:u w:val="none"/>
                    </w:rPr>
                  </w:pPr>
                </w:p>
              </w:tc>
            </w:tr>
            <w:tr w14:paraId="28501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4C61C3F1">
                  <w:pPr>
                    <w:jc w:val="center"/>
                    <w:rPr>
                      <w:rFonts w:hint="default" w:ascii="Times New Roman" w:hAnsi="Times New Roman" w:eastAsia="宋体" w:cs="Times New Roman"/>
                      <w:i w:val="0"/>
                      <w:iCs w:val="0"/>
                      <w:color w:val="000000"/>
                      <w:sz w:val="21"/>
                      <w:szCs w:val="21"/>
                      <w:u w:val="none"/>
                    </w:rPr>
                  </w:pPr>
                </w:p>
              </w:tc>
              <w:tc>
                <w:tcPr>
                  <w:tcW w:w="3123" w:type="dxa"/>
                  <w:gridSpan w:val="2"/>
                  <w:vMerge w:val="continue"/>
                  <w:tcBorders>
                    <w:left w:val="single" w:color="000000" w:sz="4" w:space="0"/>
                    <w:right w:val="single" w:color="000000" w:sz="4" w:space="0"/>
                  </w:tcBorders>
                  <w:shd w:val="clear" w:color="auto" w:fill="auto"/>
                  <w:vAlign w:val="center"/>
                </w:tcPr>
                <w:p w14:paraId="1F5615A1">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312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氮氧化物</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EFF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w:t>
                  </w:r>
                  <w:r>
                    <w:rPr>
                      <w:rFonts w:hint="eastAsia" w:cs="Times New Roman"/>
                      <w:i w:val="0"/>
                      <w:iCs w:val="0"/>
                      <w:color w:val="000000"/>
                      <w:kern w:val="0"/>
                      <w:sz w:val="21"/>
                      <w:szCs w:val="21"/>
                      <w:u w:val="none"/>
                      <w:lang w:val="en-US" w:eastAsia="zh-CN" w:bidi="ar"/>
                    </w:rPr>
                    <w:t>34</w:t>
                  </w:r>
                  <w:r>
                    <w:rPr>
                      <w:rFonts w:hint="default" w:ascii="Times New Roman" w:hAnsi="Times New Roman" w:eastAsia="宋体" w:cs="Times New Roman"/>
                      <w:i w:val="0"/>
                      <w:iCs w:val="0"/>
                      <w:color w:val="000000"/>
                      <w:kern w:val="0"/>
                      <w:sz w:val="21"/>
                      <w:szCs w:val="21"/>
                      <w:u w:val="none"/>
                      <w:lang w:val="en-US" w:eastAsia="zh-CN" w:bidi="ar"/>
                    </w:rPr>
                    <w:t xml:space="preserve">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B19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w:t>
                  </w:r>
                  <w:r>
                    <w:rPr>
                      <w:rFonts w:hint="eastAsia" w:cs="Times New Roman"/>
                      <w:i w:val="0"/>
                      <w:iCs w:val="0"/>
                      <w:color w:val="000000"/>
                      <w:kern w:val="0"/>
                      <w:sz w:val="21"/>
                      <w:szCs w:val="21"/>
                      <w:u w:val="none"/>
                      <w:lang w:val="en-US" w:eastAsia="zh-CN" w:bidi="ar"/>
                    </w:rPr>
                    <w:t>05</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8D23D">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E8E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0.12</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2AD75">
                  <w:pPr>
                    <w:jc w:val="center"/>
                    <w:rPr>
                      <w:rFonts w:hint="eastAsia" w:ascii="宋体" w:hAnsi="宋体" w:eastAsia="宋体" w:cs="宋体"/>
                      <w:i w:val="0"/>
                      <w:iCs w:val="0"/>
                      <w:color w:val="000000"/>
                      <w:sz w:val="21"/>
                      <w:szCs w:val="21"/>
                      <w:u w:val="none"/>
                    </w:rPr>
                  </w:pPr>
                </w:p>
              </w:tc>
            </w:tr>
            <w:tr w14:paraId="31C20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25" w:hRule="atLeast"/>
                <w:jc w:val="center"/>
              </w:trPr>
              <w:tc>
                <w:tcPr>
                  <w:tcW w:w="890" w:type="dxa"/>
                  <w:vMerge w:val="continue"/>
                  <w:tcBorders>
                    <w:left w:val="single" w:color="000000" w:sz="4" w:space="0"/>
                    <w:right w:val="single" w:color="000000" w:sz="4" w:space="0"/>
                  </w:tcBorders>
                  <w:shd w:val="clear" w:color="auto" w:fill="auto"/>
                  <w:vAlign w:val="center"/>
                </w:tcPr>
                <w:p w14:paraId="601FF71A">
                  <w:pPr>
                    <w:jc w:val="center"/>
                    <w:rPr>
                      <w:rFonts w:hint="default" w:ascii="Times New Roman" w:hAnsi="Times New Roman" w:eastAsia="宋体" w:cs="Times New Roman"/>
                      <w:i w:val="0"/>
                      <w:iCs w:val="0"/>
                      <w:color w:val="000000"/>
                      <w:sz w:val="21"/>
                      <w:szCs w:val="21"/>
                      <w:u w:val="none"/>
                    </w:rPr>
                  </w:pPr>
                </w:p>
              </w:tc>
              <w:tc>
                <w:tcPr>
                  <w:tcW w:w="3123" w:type="dxa"/>
                  <w:gridSpan w:val="2"/>
                  <w:vMerge w:val="continue"/>
                  <w:tcBorders>
                    <w:left w:val="single" w:color="000000" w:sz="4" w:space="0"/>
                    <w:right w:val="single" w:color="000000" w:sz="4" w:space="0"/>
                  </w:tcBorders>
                  <w:shd w:val="clear" w:color="auto" w:fill="auto"/>
                  <w:vAlign w:val="center"/>
                </w:tcPr>
                <w:p w14:paraId="6900E9EA">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0A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颗粒物（</w:t>
                  </w:r>
                  <w:r>
                    <w:rPr>
                      <w:rFonts w:hint="eastAsia" w:cs="Times New Roman"/>
                      <w:i w:val="0"/>
                      <w:iCs w:val="0"/>
                      <w:color w:val="000000"/>
                      <w:kern w:val="0"/>
                      <w:sz w:val="21"/>
                      <w:szCs w:val="21"/>
                      <w:u w:val="none"/>
                      <w:lang w:val="en-US" w:eastAsia="zh-CN" w:bidi="ar"/>
                    </w:rPr>
                    <w:t>含炭黑尘、铜、锡等</w:t>
                  </w:r>
                  <w:r>
                    <w:rPr>
                      <w:rFonts w:hint="default" w:ascii="Times New Roman" w:hAnsi="Times New Roman" w:eastAsia="宋体" w:cs="Times New Roman"/>
                      <w:i w:val="0"/>
                      <w:iCs w:val="0"/>
                      <w:color w:val="000000"/>
                      <w:kern w:val="0"/>
                      <w:sz w:val="21"/>
                      <w:szCs w:val="21"/>
                      <w:u w:val="none"/>
                      <w:lang w:val="en-US" w:eastAsia="zh-CN" w:bidi="ar"/>
                    </w:rPr>
                    <w:t>）</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EEB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0.269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BF9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0.037 </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50CDC">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D0B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43DA1">
                  <w:pPr>
                    <w:jc w:val="center"/>
                    <w:rPr>
                      <w:rFonts w:hint="eastAsia" w:ascii="宋体" w:hAnsi="宋体" w:eastAsia="宋体" w:cs="宋体"/>
                      <w:i w:val="0"/>
                      <w:iCs w:val="0"/>
                      <w:color w:val="000000"/>
                      <w:sz w:val="21"/>
                      <w:szCs w:val="21"/>
                      <w:u w:val="none"/>
                    </w:rPr>
                  </w:pPr>
                </w:p>
              </w:tc>
            </w:tr>
            <w:tr w14:paraId="696CC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29DE8235">
                  <w:pPr>
                    <w:jc w:val="center"/>
                    <w:rPr>
                      <w:rFonts w:hint="default" w:ascii="Times New Roman" w:hAnsi="Times New Roman" w:eastAsia="宋体" w:cs="Times New Roman"/>
                      <w:i w:val="0"/>
                      <w:iCs w:val="0"/>
                      <w:color w:val="000000"/>
                      <w:sz w:val="21"/>
                      <w:szCs w:val="21"/>
                      <w:u w:val="none"/>
                    </w:rPr>
                  </w:pPr>
                </w:p>
              </w:tc>
              <w:tc>
                <w:tcPr>
                  <w:tcW w:w="3123" w:type="dxa"/>
                  <w:gridSpan w:val="2"/>
                  <w:vMerge w:val="continue"/>
                  <w:tcBorders>
                    <w:left w:val="single" w:color="000000" w:sz="4" w:space="0"/>
                    <w:right w:val="single" w:color="000000" w:sz="4" w:space="0"/>
                  </w:tcBorders>
                  <w:shd w:val="clear" w:color="auto" w:fill="auto"/>
                  <w:vAlign w:val="center"/>
                </w:tcPr>
                <w:p w14:paraId="04ECDCB6">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80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锡及其化合物</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8C0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8E-05</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78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0.000 </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39B09">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5C2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39CB7">
                  <w:pPr>
                    <w:jc w:val="center"/>
                    <w:rPr>
                      <w:rFonts w:hint="eastAsia" w:ascii="宋体" w:hAnsi="宋体" w:eastAsia="宋体" w:cs="宋体"/>
                      <w:i w:val="0"/>
                      <w:iCs w:val="0"/>
                      <w:color w:val="000000"/>
                      <w:sz w:val="21"/>
                      <w:szCs w:val="21"/>
                      <w:u w:val="none"/>
                    </w:rPr>
                  </w:pPr>
                </w:p>
              </w:tc>
            </w:tr>
            <w:tr w14:paraId="43D3A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64FA6DE7">
                  <w:pPr>
                    <w:jc w:val="center"/>
                    <w:rPr>
                      <w:rFonts w:hint="default" w:ascii="Times New Roman" w:hAnsi="Times New Roman" w:eastAsia="宋体" w:cs="Times New Roman"/>
                      <w:i w:val="0"/>
                      <w:iCs w:val="0"/>
                      <w:color w:val="000000"/>
                      <w:sz w:val="21"/>
                      <w:szCs w:val="21"/>
                      <w:u w:val="none"/>
                    </w:rPr>
                  </w:pPr>
                </w:p>
              </w:tc>
              <w:tc>
                <w:tcPr>
                  <w:tcW w:w="3123" w:type="dxa"/>
                  <w:gridSpan w:val="2"/>
                  <w:vMerge w:val="continue"/>
                  <w:tcBorders>
                    <w:left w:val="single" w:color="000000" w:sz="4" w:space="0"/>
                    <w:right w:val="single" w:color="000000" w:sz="4" w:space="0"/>
                  </w:tcBorders>
                  <w:shd w:val="clear" w:color="auto" w:fill="auto"/>
                  <w:vAlign w:val="center"/>
                </w:tcPr>
                <w:p w14:paraId="145CDD39">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E8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铜及其化合物</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2809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0.0015</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429C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2.08E-04</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46297">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B1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164EF">
                  <w:pPr>
                    <w:jc w:val="center"/>
                    <w:rPr>
                      <w:rFonts w:hint="eastAsia" w:ascii="宋体" w:hAnsi="宋体" w:eastAsia="宋体" w:cs="宋体"/>
                      <w:i w:val="0"/>
                      <w:iCs w:val="0"/>
                      <w:color w:val="000000"/>
                      <w:sz w:val="21"/>
                      <w:szCs w:val="21"/>
                      <w:u w:val="none"/>
                    </w:rPr>
                  </w:pPr>
                </w:p>
              </w:tc>
            </w:tr>
            <w:tr w14:paraId="50BD1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3085C647">
                  <w:pPr>
                    <w:jc w:val="center"/>
                    <w:rPr>
                      <w:rFonts w:hint="default" w:ascii="Times New Roman" w:hAnsi="Times New Roman" w:eastAsia="宋体" w:cs="Times New Roman"/>
                      <w:i w:val="0"/>
                      <w:iCs w:val="0"/>
                      <w:color w:val="000000"/>
                      <w:sz w:val="21"/>
                      <w:szCs w:val="21"/>
                      <w:u w:val="none"/>
                    </w:rPr>
                  </w:pPr>
                </w:p>
              </w:tc>
              <w:tc>
                <w:tcPr>
                  <w:tcW w:w="3123" w:type="dxa"/>
                  <w:gridSpan w:val="2"/>
                  <w:vMerge w:val="continue"/>
                  <w:tcBorders>
                    <w:left w:val="single" w:color="000000" w:sz="4" w:space="0"/>
                    <w:right w:val="single" w:color="000000" w:sz="4" w:space="0"/>
                  </w:tcBorders>
                  <w:shd w:val="clear" w:color="auto" w:fill="auto"/>
                  <w:vAlign w:val="center"/>
                </w:tcPr>
                <w:p w14:paraId="1A8F30B4">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EC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氟化物</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AE6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0.028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BA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0.004 </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74622">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3A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62459">
                  <w:pPr>
                    <w:jc w:val="center"/>
                    <w:rPr>
                      <w:rFonts w:hint="eastAsia" w:ascii="宋体" w:hAnsi="宋体" w:eastAsia="宋体" w:cs="宋体"/>
                      <w:i w:val="0"/>
                      <w:iCs w:val="0"/>
                      <w:color w:val="000000"/>
                      <w:sz w:val="21"/>
                      <w:szCs w:val="21"/>
                      <w:u w:val="none"/>
                    </w:rPr>
                  </w:pPr>
                </w:p>
              </w:tc>
            </w:tr>
            <w:tr w14:paraId="54EEA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jc w:val="center"/>
              </w:trPr>
              <w:tc>
                <w:tcPr>
                  <w:tcW w:w="890" w:type="dxa"/>
                  <w:vMerge w:val="continue"/>
                  <w:tcBorders>
                    <w:left w:val="single" w:color="000000" w:sz="4" w:space="0"/>
                    <w:right w:val="single" w:color="000000" w:sz="4" w:space="0"/>
                  </w:tcBorders>
                  <w:shd w:val="clear" w:color="auto" w:fill="auto"/>
                  <w:vAlign w:val="center"/>
                </w:tcPr>
                <w:p w14:paraId="63D578C9">
                  <w:pPr>
                    <w:jc w:val="center"/>
                    <w:rPr>
                      <w:rFonts w:hint="default" w:ascii="Times New Roman" w:hAnsi="Times New Roman" w:eastAsia="宋体" w:cs="Times New Roman"/>
                      <w:i w:val="0"/>
                      <w:iCs w:val="0"/>
                      <w:color w:val="000000"/>
                      <w:sz w:val="21"/>
                      <w:szCs w:val="21"/>
                      <w:u w:val="none"/>
                    </w:rPr>
                  </w:pPr>
                </w:p>
              </w:tc>
              <w:tc>
                <w:tcPr>
                  <w:tcW w:w="3123" w:type="dxa"/>
                  <w:gridSpan w:val="2"/>
                  <w:vMerge w:val="continue"/>
                  <w:tcBorders>
                    <w:left w:val="single" w:color="000000" w:sz="4" w:space="0"/>
                    <w:right w:val="single" w:color="000000" w:sz="4" w:space="0"/>
                  </w:tcBorders>
                  <w:shd w:val="clear" w:color="auto" w:fill="auto"/>
                  <w:vAlign w:val="center"/>
                </w:tcPr>
                <w:p w14:paraId="182C3FF3">
                  <w:pPr>
                    <w:jc w:val="center"/>
                    <w:rPr>
                      <w:rFonts w:hint="default" w:ascii="Times New Roman" w:hAnsi="Times New Roman" w:eastAsia="宋体" w:cs="Times New Roman"/>
                      <w:i w:val="0"/>
                      <w:iCs w:val="0"/>
                      <w:color w:val="000000"/>
                      <w:sz w:val="21"/>
                      <w:szCs w:val="21"/>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3BC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非甲烷总烃</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A5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0.117 </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E8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0.016 </w:t>
                  </w:r>
                </w:p>
              </w:tc>
              <w:tc>
                <w:tcPr>
                  <w:tcW w:w="13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617D3">
                  <w:pPr>
                    <w:jc w:val="center"/>
                    <w:rPr>
                      <w:rFonts w:hint="default" w:ascii="Times New Roman" w:hAnsi="Times New Roman" w:eastAsia="宋体" w:cs="Times New Roman"/>
                      <w:i w:val="0"/>
                      <w:iCs w:val="0"/>
                      <w:color w:val="000000"/>
                      <w:sz w:val="21"/>
                      <w:szCs w:val="21"/>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973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ADA9D">
                  <w:pPr>
                    <w:jc w:val="center"/>
                    <w:rPr>
                      <w:rFonts w:hint="eastAsia" w:ascii="宋体" w:hAnsi="宋体" w:eastAsia="宋体" w:cs="宋体"/>
                      <w:i w:val="0"/>
                      <w:iCs w:val="0"/>
                      <w:color w:val="000000"/>
                      <w:sz w:val="21"/>
                      <w:szCs w:val="21"/>
                      <w:u w:val="none"/>
                    </w:rPr>
                  </w:pPr>
                </w:p>
              </w:tc>
            </w:tr>
          </w:tbl>
          <w:p w14:paraId="56258027">
            <w:pPr>
              <w:adjustRightInd w:val="0"/>
              <w:snapToGrid w:val="0"/>
              <w:rPr>
                <w:rFonts w:hint="default" w:ascii="Times New Roman" w:hAnsi="Times New Roman" w:cs="Times New Roman"/>
                <w:bCs/>
                <w:color w:val="auto"/>
                <w:spacing w:val="0"/>
                <w:position w:val="0"/>
                <w:sz w:val="24"/>
              </w:rPr>
            </w:pPr>
          </w:p>
        </w:tc>
      </w:tr>
    </w:tbl>
    <w:p w14:paraId="5C5FCF61">
      <w:pPr>
        <w:adjustRightInd w:val="0"/>
        <w:snapToGrid w:val="0"/>
        <w:jc w:val="center"/>
        <w:rPr>
          <w:rFonts w:hint="default" w:ascii="Times New Roman" w:hAnsi="Times New Roman" w:cs="Times New Roman"/>
          <w:bCs/>
          <w:color w:val="auto"/>
          <w:spacing w:val="0"/>
          <w:position w:val="0"/>
          <w:sz w:val="24"/>
        </w:rPr>
        <w:sectPr>
          <w:pgSz w:w="16838" w:h="11905" w:orient="landscape"/>
          <w:pgMar w:top="1440" w:right="1080" w:bottom="1440" w:left="1080" w:header="851" w:footer="1077" w:gutter="0"/>
          <w:pgBorders>
            <w:top w:val="none" w:sz="0" w:space="0"/>
            <w:left w:val="none" w:sz="0" w:space="0"/>
            <w:bottom w:val="none" w:sz="0" w:space="0"/>
            <w:right w:val="none" w:sz="0" w:space="0"/>
          </w:pgBorders>
          <w:pgNumType w:fmt="decimal"/>
          <w:cols w:space="0" w:num="1"/>
          <w:docGrid w:linePitch="312" w:charSpace="0"/>
        </w:sectPr>
      </w:pPr>
    </w:p>
    <w:p w14:paraId="50E32D36">
      <w:pPr>
        <w:adjustRightInd w:val="0"/>
        <w:snapToGrid w:val="0"/>
        <w:jc w:val="center"/>
        <w:rPr>
          <w:rFonts w:hint="default" w:ascii="Times New Roman" w:hAnsi="Times New Roman" w:cs="Times New Roman"/>
          <w:bCs/>
          <w:color w:val="auto"/>
          <w:spacing w:val="0"/>
          <w:position w:val="0"/>
          <w:sz w:val="24"/>
        </w:rPr>
      </w:pPr>
    </w:p>
    <w:tbl>
      <w:tblPr>
        <w:tblStyle w:val="26"/>
        <w:tblW w:w="961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98"/>
        <w:gridCol w:w="8917"/>
      </w:tblGrid>
      <w:tr w14:paraId="2A0305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988" w:hRule="atLeast"/>
          <w:jc w:val="center"/>
        </w:trPr>
        <w:tc>
          <w:tcPr>
            <w:tcW w:w="698" w:type="dxa"/>
            <w:tcMar>
              <w:left w:w="28" w:type="dxa"/>
              <w:right w:w="28" w:type="dxa"/>
            </w:tcMar>
            <w:vAlign w:val="center"/>
          </w:tcPr>
          <w:p w14:paraId="65050392">
            <w:pPr>
              <w:adjustRightInd w:val="0"/>
              <w:snapToGrid w:val="0"/>
              <w:jc w:val="center"/>
              <w:rPr>
                <w:rFonts w:hint="default" w:ascii="Times New Roman" w:hAnsi="Times New Roman" w:cs="Times New Roman"/>
                <w:b/>
                <w:bCs w:val="0"/>
                <w:color w:val="auto"/>
                <w:spacing w:val="0"/>
                <w:position w:val="0"/>
              </w:rPr>
            </w:pPr>
            <w:r>
              <w:rPr>
                <w:rFonts w:hint="default" w:ascii="Times New Roman" w:hAnsi="Times New Roman" w:cs="Times New Roman"/>
                <w:b/>
                <w:bCs w:val="0"/>
                <w:color w:val="auto"/>
                <w:spacing w:val="0"/>
                <w:position w:val="0"/>
                <w:sz w:val="24"/>
              </w:rPr>
              <w:t>运营期环境影响和保护措施</w:t>
            </w:r>
          </w:p>
        </w:tc>
        <w:tc>
          <w:tcPr>
            <w:tcW w:w="8917" w:type="dxa"/>
          </w:tcPr>
          <w:p w14:paraId="5BE127B2">
            <w:pPr>
              <w:keepNext w:val="0"/>
              <w:keepLines w:val="0"/>
              <w:pageBreakBefore w:val="0"/>
              <w:widowControl w:val="0"/>
              <w:kinsoku/>
              <w:wordWrap/>
              <w:overflowPunct/>
              <w:topLinePunct w:val="0"/>
              <w:autoSpaceDE/>
              <w:autoSpaceDN/>
              <w:bidi w:val="0"/>
              <w:adjustRightInd/>
              <w:snapToGrid/>
              <w:spacing w:line="480" w:lineRule="atLeast"/>
              <w:jc w:val="both"/>
              <w:textAlignment w:val="auto"/>
              <w:rPr>
                <w:rFonts w:hint="eastAsia" w:ascii="Times New Roman" w:hAnsi="Times New Roman" w:eastAsia="宋体" w:cs="Times New Roman"/>
                <w:b/>
                <w:bCs w:val="0"/>
                <w:color w:val="auto"/>
                <w:spacing w:val="0"/>
                <w:sz w:val="24"/>
                <w:szCs w:val="24"/>
                <w:lang w:eastAsia="zh-CN"/>
              </w:rPr>
            </w:pPr>
            <w:r>
              <w:rPr>
                <w:rFonts w:hint="eastAsia" w:cs="Times New Roman"/>
                <w:b/>
                <w:bCs w:val="0"/>
                <w:color w:val="auto"/>
                <w:spacing w:val="0"/>
                <w:sz w:val="24"/>
                <w:szCs w:val="24"/>
                <w:lang w:val="en-US" w:eastAsia="zh-CN"/>
              </w:rPr>
              <w:t>4.1.3</w:t>
            </w:r>
            <w:r>
              <w:rPr>
                <w:rFonts w:hint="eastAsia" w:ascii="Times New Roman" w:hAnsi="Times New Roman" w:eastAsia="宋体" w:cs="Times New Roman"/>
                <w:b/>
                <w:bCs w:val="0"/>
                <w:color w:val="auto"/>
                <w:spacing w:val="0"/>
                <w:sz w:val="24"/>
                <w:szCs w:val="24"/>
                <w:lang w:eastAsia="zh-CN"/>
              </w:rPr>
              <w:t>废气污染治理措施可行性分析</w:t>
            </w:r>
          </w:p>
          <w:p w14:paraId="55174166">
            <w:pPr>
              <w:keepNext w:val="0"/>
              <w:keepLines w:val="0"/>
              <w:pageBreakBefore w:val="0"/>
              <w:widowControl w:val="0"/>
              <w:kinsoku/>
              <w:wordWrap/>
              <w:overflowPunct/>
              <w:topLinePunct w:val="0"/>
              <w:autoSpaceDE/>
              <w:autoSpaceDN/>
              <w:bidi w:val="0"/>
              <w:adjustRightInd/>
              <w:snapToGrid/>
              <w:spacing w:line="480" w:lineRule="atLeast"/>
              <w:ind w:firstLine="480" w:firstLineChars="200"/>
              <w:jc w:val="both"/>
              <w:textAlignment w:val="auto"/>
              <w:rPr>
                <w:rFonts w:hint="eastAsia" w:cs="Times New Roman"/>
                <w:b w:val="0"/>
                <w:bCs w:val="0"/>
                <w:color w:val="auto"/>
                <w:kern w:val="0"/>
                <w:sz w:val="24"/>
                <w:szCs w:val="24"/>
                <w:lang w:val="en-US" w:eastAsia="zh-CN"/>
              </w:rPr>
            </w:pPr>
            <w:r>
              <w:rPr>
                <w:rFonts w:hint="eastAsia" w:cs="Times New Roman"/>
                <w:color w:val="auto"/>
                <w:spacing w:val="0"/>
                <w:sz w:val="24"/>
                <w:szCs w:val="28"/>
                <w:lang w:val="en-US" w:eastAsia="zh-CN"/>
              </w:rPr>
              <w:t>根据</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排污许可</w:t>
            </w:r>
            <w:r>
              <w:rPr>
                <w:rFonts w:hint="eastAsia" w:ascii="Times New Roman" w:hAnsi="Times New Roman" w:eastAsia="宋体" w:cs="Times New Roman"/>
                <w:b w:val="0"/>
                <w:bCs w:val="0"/>
                <w:color w:val="auto"/>
                <w:kern w:val="0"/>
                <w:sz w:val="24"/>
                <w:szCs w:val="24"/>
                <w:lang w:val="en-US" w:eastAsia="zh-CN"/>
              </w:rPr>
              <w:t xml:space="preserve">证申请与核发技术规范 </w:t>
            </w:r>
            <w:r>
              <w:rPr>
                <w:rFonts w:hint="eastAsia" w:cs="Times New Roman"/>
                <w:b w:val="0"/>
                <w:bCs w:val="0"/>
                <w:color w:val="auto"/>
                <w:kern w:val="0"/>
                <w:sz w:val="24"/>
                <w:szCs w:val="24"/>
                <w:lang w:val="en-US" w:eastAsia="zh-CN"/>
              </w:rPr>
              <w:t>废弃资源加工工业</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w:t>
            </w:r>
            <w:r>
              <w:rPr>
                <w:rFonts w:hint="eastAsia" w:ascii="Times New Roman" w:hAnsi="Times New Roman" w:eastAsia="宋体" w:cs="Times New Roman"/>
                <w:b w:val="0"/>
                <w:bCs w:val="0"/>
                <w:color w:val="auto"/>
                <w:kern w:val="0"/>
                <w:sz w:val="24"/>
                <w:szCs w:val="24"/>
                <w:lang w:val="en-US" w:eastAsia="zh-CN"/>
              </w:rPr>
              <w:t>HJ1</w:t>
            </w:r>
            <w:r>
              <w:rPr>
                <w:rFonts w:hint="eastAsia" w:cs="Times New Roman"/>
                <w:b w:val="0"/>
                <w:bCs w:val="0"/>
                <w:color w:val="auto"/>
                <w:kern w:val="0"/>
                <w:sz w:val="24"/>
                <w:szCs w:val="24"/>
                <w:lang w:val="en-US" w:eastAsia="zh-CN"/>
              </w:rPr>
              <w:t>034</w:t>
            </w:r>
            <w:r>
              <w:rPr>
                <w:rFonts w:hint="eastAsia" w:ascii="Times New Roman" w:hAnsi="Times New Roman" w:eastAsia="宋体" w:cs="Times New Roman"/>
                <w:b w:val="0"/>
                <w:bCs w:val="0"/>
                <w:color w:val="auto"/>
                <w:kern w:val="0"/>
                <w:sz w:val="24"/>
                <w:szCs w:val="24"/>
                <w:lang w:val="en-US" w:eastAsia="zh-CN"/>
              </w:rPr>
              <w:t>-20</w:t>
            </w:r>
            <w:r>
              <w:rPr>
                <w:rFonts w:hint="eastAsia" w:cs="Times New Roman"/>
                <w:b w:val="0"/>
                <w:bCs w:val="0"/>
                <w:color w:val="auto"/>
                <w:kern w:val="0"/>
                <w:sz w:val="24"/>
                <w:szCs w:val="24"/>
                <w:lang w:val="en-US" w:eastAsia="zh-CN"/>
              </w:rPr>
              <w:t>19</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“表A.1废弃资源加工工业排污单位废气污染防治可行技术参考表”，项目各工序产生的废气污染物及防治可行技术如下：</w:t>
            </w:r>
          </w:p>
          <w:p w14:paraId="2AAE2F5C">
            <w:pPr>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cs="Times New Roman"/>
                <w:b/>
                <w:bCs/>
                <w:color w:val="auto"/>
                <w:kern w:val="0"/>
                <w:sz w:val="21"/>
                <w:szCs w:val="21"/>
                <w:lang w:val="en-US" w:eastAsia="zh-CN"/>
              </w:rPr>
            </w:pPr>
            <w:r>
              <w:rPr>
                <w:rFonts w:hint="eastAsia" w:cs="Times New Roman"/>
                <w:b/>
                <w:bCs/>
                <w:color w:val="auto"/>
                <w:kern w:val="0"/>
                <w:sz w:val="21"/>
                <w:szCs w:val="21"/>
                <w:lang w:val="en-US" w:eastAsia="zh-CN"/>
              </w:rPr>
              <w:t>表4-19  废气污染防治可行技术一览表</w:t>
            </w:r>
          </w:p>
          <w:tbl>
            <w:tblPr>
              <w:tblStyle w:val="27"/>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087"/>
              <w:gridCol w:w="1632"/>
              <w:gridCol w:w="2196"/>
              <w:gridCol w:w="1842"/>
              <w:gridCol w:w="1338"/>
            </w:tblGrid>
            <w:tr w14:paraId="09CA4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94" w:type="dxa"/>
                  <w:vAlign w:val="center"/>
                </w:tcPr>
                <w:p w14:paraId="7932F7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kern w:val="0"/>
                      <w:sz w:val="21"/>
                      <w:szCs w:val="21"/>
                      <w:vertAlign w:val="baseline"/>
                      <w:lang w:val="en-US" w:eastAsia="zh-CN"/>
                    </w:rPr>
                  </w:pPr>
                  <w:r>
                    <w:rPr>
                      <w:rFonts w:hint="eastAsia" w:cs="Times New Roman"/>
                      <w:b/>
                      <w:bCs/>
                      <w:color w:val="auto"/>
                      <w:kern w:val="0"/>
                      <w:sz w:val="21"/>
                      <w:szCs w:val="21"/>
                      <w:vertAlign w:val="baseline"/>
                      <w:lang w:val="en-US" w:eastAsia="zh-CN"/>
                    </w:rPr>
                    <w:t>序号</w:t>
                  </w:r>
                </w:p>
              </w:tc>
              <w:tc>
                <w:tcPr>
                  <w:tcW w:w="1087" w:type="dxa"/>
                  <w:vAlign w:val="center"/>
                </w:tcPr>
                <w:p w14:paraId="7576B4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kern w:val="0"/>
                      <w:sz w:val="21"/>
                      <w:szCs w:val="21"/>
                      <w:vertAlign w:val="baseline"/>
                      <w:lang w:val="en-US" w:eastAsia="zh-CN"/>
                    </w:rPr>
                  </w:pPr>
                  <w:r>
                    <w:rPr>
                      <w:rFonts w:hint="eastAsia" w:cs="Times New Roman"/>
                      <w:b/>
                      <w:bCs/>
                      <w:color w:val="auto"/>
                      <w:kern w:val="0"/>
                      <w:sz w:val="21"/>
                      <w:szCs w:val="21"/>
                      <w:vertAlign w:val="baseline"/>
                      <w:lang w:val="en-US" w:eastAsia="zh-CN"/>
                    </w:rPr>
                    <w:t>生产单元</w:t>
                  </w:r>
                </w:p>
              </w:tc>
              <w:tc>
                <w:tcPr>
                  <w:tcW w:w="1632" w:type="dxa"/>
                  <w:vAlign w:val="center"/>
                </w:tcPr>
                <w:p w14:paraId="22ED61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kern w:val="0"/>
                      <w:sz w:val="21"/>
                      <w:szCs w:val="21"/>
                      <w:vertAlign w:val="baseline"/>
                      <w:lang w:val="en-US" w:eastAsia="zh-CN"/>
                    </w:rPr>
                  </w:pPr>
                  <w:r>
                    <w:rPr>
                      <w:rFonts w:hint="eastAsia" w:cs="Times New Roman"/>
                      <w:b/>
                      <w:bCs/>
                      <w:color w:val="auto"/>
                      <w:kern w:val="0"/>
                      <w:sz w:val="21"/>
                      <w:szCs w:val="21"/>
                      <w:vertAlign w:val="baseline"/>
                      <w:lang w:val="en-US" w:eastAsia="zh-CN"/>
                    </w:rPr>
                    <w:t>主要污染物</w:t>
                  </w:r>
                </w:p>
              </w:tc>
              <w:tc>
                <w:tcPr>
                  <w:tcW w:w="2196" w:type="dxa"/>
                  <w:vAlign w:val="center"/>
                </w:tcPr>
                <w:p w14:paraId="288DD8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kern w:val="0"/>
                      <w:sz w:val="21"/>
                      <w:szCs w:val="21"/>
                      <w:vertAlign w:val="baseline"/>
                      <w:lang w:val="en-US" w:eastAsia="zh-CN"/>
                    </w:rPr>
                  </w:pPr>
                  <w:r>
                    <w:rPr>
                      <w:rFonts w:hint="eastAsia" w:cs="Times New Roman"/>
                      <w:b/>
                      <w:bCs/>
                      <w:color w:val="auto"/>
                      <w:kern w:val="0"/>
                      <w:sz w:val="21"/>
                      <w:szCs w:val="21"/>
                      <w:vertAlign w:val="baseline"/>
                      <w:lang w:val="en-US" w:eastAsia="zh-CN"/>
                    </w:rPr>
                    <w:t>可行技术</w:t>
                  </w:r>
                </w:p>
              </w:tc>
              <w:tc>
                <w:tcPr>
                  <w:tcW w:w="1842" w:type="dxa"/>
                  <w:vAlign w:val="center"/>
                </w:tcPr>
                <w:p w14:paraId="15421C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bCs/>
                      <w:color w:val="auto"/>
                      <w:kern w:val="0"/>
                      <w:sz w:val="21"/>
                      <w:szCs w:val="21"/>
                      <w:vertAlign w:val="baseline"/>
                      <w:lang w:val="en-US" w:eastAsia="zh-CN"/>
                    </w:rPr>
                  </w:pPr>
                  <w:r>
                    <w:rPr>
                      <w:rFonts w:hint="eastAsia" w:cs="Times New Roman"/>
                      <w:b/>
                      <w:bCs/>
                      <w:color w:val="auto"/>
                      <w:kern w:val="0"/>
                      <w:sz w:val="21"/>
                      <w:szCs w:val="21"/>
                      <w:vertAlign w:val="baseline"/>
                      <w:lang w:val="en-US" w:eastAsia="zh-CN"/>
                    </w:rPr>
                    <w:t>本项目设计措施</w:t>
                  </w:r>
                </w:p>
              </w:tc>
              <w:tc>
                <w:tcPr>
                  <w:tcW w:w="1338" w:type="dxa"/>
                  <w:vAlign w:val="center"/>
                </w:tcPr>
                <w:p w14:paraId="0F6B9E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bCs/>
                      <w:color w:val="auto"/>
                      <w:kern w:val="0"/>
                      <w:sz w:val="21"/>
                      <w:szCs w:val="21"/>
                      <w:vertAlign w:val="baseline"/>
                      <w:lang w:val="en-US" w:eastAsia="zh-CN"/>
                    </w:rPr>
                  </w:pPr>
                  <w:r>
                    <w:rPr>
                      <w:rFonts w:hint="eastAsia" w:cs="Times New Roman"/>
                      <w:b/>
                      <w:bCs/>
                      <w:color w:val="auto"/>
                      <w:kern w:val="0"/>
                      <w:sz w:val="21"/>
                      <w:szCs w:val="21"/>
                      <w:vertAlign w:val="baseline"/>
                      <w:lang w:val="en-US" w:eastAsia="zh-CN"/>
                    </w:rPr>
                    <w:t>可行性分析</w:t>
                  </w:r>
                </w:p>
              </w:tc>
            </w:tr>
            <w:tr w14:paraId="3C0FE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94" w:type="dxa"/>
                  <w:vAlign w:val="center"/>
                </w:tcPr>
                <w:p w14:paraId="3DB04D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1</w:t>
                  </w:r>
                </w:p>
              </w:tc>
              <w:tc>
                <w:tcPr>
                  <w:tcW w:w="1087" w:type="dxa"/>
                  <w:vMerge w:val="restart"/>
                  <w:vAlign w:val="center"/>
                </w:tcPr>
                <w:p w14:paraId="16AC7B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热裂解</w:t>
                  </w:r>
                </w:p>
              </w:tc>
              <w:tc>
                <w:tcPr>
                  <w:tcW w:w="1632" w:type="dxa"/>
                  <w:vAlign w:val="center"/>
                </w:tcPr>
                <w:p w14:paraId="488F6A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颗粒物</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cs="Times New Roman"/>
                      <w:i w:val="0"/>
                      <w:iCs w:val="0"/>
                      <w:color w:val="000000"/>
                      <w:kern w:val="0"/>
                      <w:sz w:val="21"/>
                      <w:szCs w:val="21"/>
                      <w:u w:val="none"/>
                      <w:lang w:val="en-US" w:eastAsia="zh-CN" w:bidi="ar"/>
                    </w:rPr>
                    <w:t>含炭黑尘、铜、锡等</w:t>
                  </w:r>
                  <w:r>
                    <w:rPr>
                      <w:rFonts w:hint="default" w:ascii="Times New Roman" w:hAnsi="Times New Roman" w:eastAsia="宋体" w:cs="Times New Roman"/>
                      <w:i w:val="0"/>
                      <w:iCs w:val="0"/>
                      <w:color w:val="000000"/>
                      <w:kern w:val="0"/>
                      <w:sz w:val="21"/>
                      <w:szCs w:val="21"/>
                      <w:u w:val="none"/>
                      <w:lang w:val="en-US" w:eastAsia="zh-CN" w:bidi="ar"/>
                    </w:rPr>
                    <w:t>）</w:t>
                  </w:r>
                </w:p>
              </w:tc>
              <w:tc>
                <w:tcPr>
                  <w:tcW w:w="2196" w:type="dxa"/>
                  <w:vAlign w:val="center"/>
                </w:tcPr>
                <w:p w14:paraId="4D2E7C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湿式除尘；布袋除尘</w:t>
                  </w:r>
                </w:p>
              </w:tc>
              <w:tc>
                <w:tcPr>
                  <w:tcW w:w="1842" w:type="dxa"/>
                  <w:vAlign w:val="center"/>
                </w:tcPr>
                <w:p w14:paraId="5FEF36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覆膜布袋除尘器</w:t>
                  </w:r>
                </w:p>
              </w:tc>
              <w:tc>
                <w:tcPr>
                  <w:tcW w:w="1338" w:type="dxa"/>
                  <w:vAlign w:val="center"/>
                </w:tcPr>
                <w:p w14:paraId="20ADEA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可行</w:t>
                  </w:r>
                </w:p>
              </w:tc>
            </w:tr>
            <w:tr w14:paraId="58120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94" w:type="dxa"/>
                  <w:vAlign w:val="center"/>
                </w:tcPr>
                <w:p w14:paraId="45FF01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2</w:t>
                  </w:r>
                </w:p>
              </w:tc>
              <w:tc>
                <w:tcPr>
                  <w:tcW w:w="1087" w:type="dxa"/>
                  <w:vMerge w:val="continue"/>
                  <w:vAlign w:val="center"/>
                </w:tcPr>
                <w:p w14:paraId="1D0660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kern w:val="0"/>
                      <w:sz w:val="21"/>
                      <w:szCs w:val="21"/>
                      <w:vertAlign w:val="baseline"/>
                      <w:lang w:val="en-US" w:eastAsia="zh-CN"/>
                    </w:rPr>
                  </w:pPr>
                </w:p>
              </w:tc>
              <w:tc>
                <w:tcPr>
                  <w:tcW w:w="1632" w:type="dxa"/>
                  <w:vAlign w:val="center"/>
                </w:tcPr>
                <w:p w14:paraId="30A9C1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二氧化硫</w:t>
                  </w:r>
                </w:p>
              </w:tc>
              <w:tc>
                <w:tcPr>
                  <w:tcW w:w="2196" w:type="dxa"/>
                  <w:vAlign w:val="center"/>
                </w:tcPr>
                <w:p w14:paraId="1C4A69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湿法脱硫</w:t>
                  </w:r>
                </w:p>
              </w:tc>
              <w:tc>
                <w:tcPr>
                  <w:tcW w:w="1842" w:type="dxa"/>
                  <w:vAlign w:val="center"/>
                </w:tcPr>
                <w:p w14:paraId="269B3B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w:t>
                  </w:r>
                </w:p>
              </w:tc>
              <w:tc>
                <w:tcPr>
                  <w:tcW w:w="1338" w:type="dxa"/>
                  <w:vAlign w:val="center"/>
                </w:tcPr>
                <w:p w14:paraId="75439E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w:t>
                  </w:r>
                </w:p>
              </w:tc>
            </w:tr>
            <w:tr w14:paraId="04B3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94" w:type="dxa"/>
                  <w:vAlign w:val="center"/>
                </w:tcPr>
                <w:p w14:paraId="6D9D23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3</w:t>
                  </w:r>
                </w:p>
              </w:tc>
              <w:tc>
                <w:tcPr>
                  <w:tcW w:w="1087" w:type="dxa"/>
                  <w:vMerge w:val="continue"/>
                  <w:vAlign w:val="center"/>
                </w:tcPr>
                <w:p w14:paraId="65BEA8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kern w:val="0"/>
                      <w:sz w:val="21"/>
                      <w:szCs w:val="21"/>
                      <w:vertAlign w:val="baseline"/>
                      <w:lang w:val="en-US" w:eastAsia="zh-CN"/>
                    </w:rPr>
                  </w:pPr>
                </w:p>
              </w:tc>
              <w:tc>
                <w:tcPr>
                  <w:tcW w:w="1632" w:type="dxa"/>
                  <w:vAlign w:val="center"/>
                </w:tcPr>
                <w:p w14:paraId="2A488E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氮氧化物</w:t>
                  </w:r>
                </w:p>
              </w:tc>
              <w:tc>
                <w:tcPr>
                  <w:tcW w:w="2196" w:type="dxa"/>
                  <w:vAlign w:val="center"/>
                </w:tcPr>
                <w:p w14:paraId="42460F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低氮燃烧、SCR脱硝</w:t>
                  </w:r>
                </w:p>
              </w:tc>
              <w:tc>
                <w:tcPr>
                  <w:tcW w:w="1842" w:type="dxa"/>
                  <w:vAlign w:val="center"/>
                </w:tcPr>
                <w:p w14:paraId="77C4A4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w:t>
                  </w:r>
                </w:p>
              </w:tc>
              <w:tc>
                <w:tcPr>
                  <w:tcW w:w="1338" w:type="dxa"/>
                  <w:vAlign w:val="center"/>
                </w:tcPr>
                <w:p w14:paraId="5F98FA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w:t>
                  </w:r>
                </w:p>
              </w:tc>
            </w:tr>
            <w:tr w14:paraId="223C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94" w:type="dxa"/>
                  <w:shd w:val="clear" w:color="auto" w:fill="auto"/>
                  <w:vAlign w:val="center"/>
                </w:tcPr>
                <w:p w14:paraId="6C7173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kern w:val="0"/>
                      <w:sz w:val="21"/>
                      <w:szCs w:val="21"/>
                      <w:vertAlign w:val="baseline"/>
                      <w:lang w:val="en-US" w:eastAsia="zh-CN" w:bidi="ar-SA"/>
                    </w:rPr>
                  </w:pPr>
                  <w:r>
                    <w:rPr>
                      <w:rFonts w:hint="eastAsia" w:cs="Times New Roman"/>
                      <w:b w:val="0"/>
                      <w:bCs w:val="0"/>
                      <w:color w:val="auto"/>
                      <w:kern w:val="0"/>
                      <w:sz w:val="21"/>
                      <w:szCs w:val="21"/>
                      <w:vertAlign w:val="baseline"/>
                      <w:lang w:val="en-US" w:eastAsia="zh-CN"/>
                    </w:rPr>
                    <w:t>4</w:t>
                  </w:r>
                </w:p>
              </w:tc>
              <w:tc>
                <w:tcPr>
                  <w:tcW w:w="1087" w:type="dxa"/>
                  <w:vMerge w:val="continue"/>
                  <w:vAlign w:val="center"/>
                </w:tcPr>
                <w:p w14:paraId="6B16B8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kern w:val="0"/>
                      <w:sz w:val="21"/>
                      <w:szCs w:val="21"/>
                      <w:vertAlign w:val="baseline"/>
                      <w:lang w:val="en-US" w:eastAsia="zh-CN"/>
                    </w:rPr>
                  </w:pPr>
                </w:p>
              </w:tc>
              <w:tc>
                <w:tcPr>
                  <w:tcW w:w="1632" w:type="dxa"/>
                  <w:vAlign w:val="center"/>
                </w:tcPr>
                <w:p w14:paraId="2769E8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氟化物</w:t>
                  </w:r>
                </w:p>
              </w:tc>
              <w:tc>
                <w:tcPr>
                  <w:tcW w:w="2196" w:type="dxa"/>
                  <w:vAlign w:val="center"/>
                </w:tcPr>
                <w:p w14:paraId="14C6F5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喷淋塔中和</w:t>
                  </w:r>
                </w:p>
              </w:tc>
              <w:tc>
                <w:tcPr>
                  <w:tcW w:w="1842" w:type="dxa"/>
                  <w:shd w:val="clear" w:color="auto" w:fill="auto"/>
                  <w:vAlign w:val="center"/>
                </w:tcPr>
                <w:p w14:paraId="495C20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kern w:val="0"/>
                      <w:sz w:val="21"/>
                      <w:szCs w:val="21"/>
                      <w:vertAlign w:val="baseline"/>
                      <w:lang w:val="en-US" w:eastAsia="zh-CN" w:bidi="ar-SA"/>
                    </w:rPr>
                  </w:pPr>
                  <w:r>
                    <w:rPr>
                      <w:rFonts w:hint="eastAsia" w:cs="Times New Roman"/>
                      <w:b w:val="0"/>
                      <w:bCs w:val="0"/>
                      <w:color w:val="auto"/>
                      <w:kern w:val="0"/>
                      <w:sz w:val="21"/>
                      <w:szCs w:val="21"/>
                      <w:vertAlign w:val="baseline"/>
                      <w:lang w:val="en-US" w:eastAsia="zh-CN"/>
                    </w:rPr>
                    <w:t>两级碱喷淋</w:t>
                  </w:r>
                </w:p>
              </w:tc>
              <w:tc>
                <w:tcPr>
                  <w:tcW w:w="1338" w:type="dxa"/>
                  <w:shd w:val="clear" w:color="auto" w:fill="auto"/>
                  <w:vAlign w:val="center"/>
                </w:tcPr>
                <w:p w14:paraId="7DCB97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kern w:val="0"/>
                      <w:sz w:val="21"/>
                      <w:szCs w:val="21"/>
                      <w:vertAlign w:val="baseline"/>
                      <w:lang w:val="en-US" w:eastAsia="zh-CN" w:bidi="ar-SA"/>
                    </w:rPr>
                  </w:pPr>
                  <w:r>
                    <w:rPr>
                      <w:rFonts w:hint="eastAsia" w:cs="Times New Roman"/>
                      <w:b w:val="0"/>
                      <w:bCs w:val="0"/>
                      <w:color w:val="auto"/>
                      <w:kern w:val="0"/>
                      <w:sz w:val="21"/>
                      <w:szCs w:val="21"/>
                      <w:vertAlign w:val="baseline"/>
                      <w:lang w:val="en-US" w:eastAsia="zh-CN"/>
                    </w:rPr>
                    <w:t>可行</w:t>
                  </w:r>
                </w:p>
              </w:tc>
            </w:tr>
            <w:tr w14:paraId="1ADF3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94" w:type="dxa"/>
                  <w:shd w:val="clear" w:color="auto" w:fill="auto"/>
                  <w:vAlign w:val="center"/>
                </w:tcPr>
                <w:p w14:paraId="7094D5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r>
                    <w:rPr>
                      <w:rFonts w:hint="eastAsia" w:cs="Times New Roman"/>
                      <w:b w:val="0"/>
                      <w:bCs w:val="0"/>
                      <w:color w:val="auto"/>
                      <w:kern w:val="0"/>
                      <w:sz w:val="21"/>
                      <w:szCs w:val="21"/>
                      <w:vertAlign w:val="baseline"/>
                      <w:lang w:val="en-US" w:eastAsia="zh-CN"/>
                    </w:rPr>
                    <w:t>5</w:t>
                  </w:r>
                </w:p>
              </w:tc>
              <w:tc>
                <w:tcPr>
                  <w:tcW w:w="1087" w:type="dxa"/>
                  <w:vMerge w:val="continue"/>
                  <w:vAlign w:val="center"/>
                </w:tcPr>
                <w:p w14:paraId="5A6A0C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kern w:val="0"/>
                      <w:sz w:val="21"/>
                      <w:szCs w:val="21"/>
                      <w:vertAlign w:val="baseline"/>
                      <w:lang w:val="en-US" w:eastAsia="zh-CN"/>
                    </w:rPr>
                  </w:pPr>
                </w:p>
              </w:tc>
              <w:tc>
                <w:tcPr>
                  <w:tcW w:w="1632" w:type="dxa"/>
                  <w:vAlign w:val="center"/>
                </w:tcPr>
                <w:p w14:paraId="39113C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非甲烷总烃</w:t>
                  </w:r>
                </w:p>
              </w:tc>
              <w:tc>
                <w:tcPr>
                  <w:tcW w:w="2196" w:type="dxa"/>
                  <w:vAlign w:val="center"/>
                </w:tcPr>
                <w:p w14:paraId="18073A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kern w:val="0"/>
                      <w:sz w:val="21"/>
                      <w:szCs w:val="21"/>
                      <w:vertAlign w:val="baseline"/>
                      <w:lang w:val="en-US" w:eastAsia="zh-CN"/>
                    </w:rPr>
                  </w:pPr>
                  <w:r>
                    <w:rPr>
                      <w:rFonts w:hint="eastAsia" w:ascii="Times New Roman" w:hAnsi="Times New Roman" w:eastAsia="宋体" w:cs="Times New Roman"/>
                      <w:b w:val="0"/>
                      <w:bCs w:val="0"/>
                      <w:color w:val="auto"/>
                      <w:kern w:val="0"/>
                      <w:sz w:val="21"/>
                      <w:szCs w:val="21"/>
                      <w:vertAlign w:val="baseline"/>
                      <w:lang w:val="en-US" w:eastAsia="zh-CN"/>
                    </w:rPr>
                    <w:t>热力焚烧，催化燃烧，活性炭吸附</w:t>
                  </w:r>
                </w:p>
              </w:tc>
              <w:tc>
                <w:tcPr>
                  <w:tcW w:w="1842" w:type="dxa"/>
                  <w:vAlign w:val="center"/>
                </w:tcPr>
                <w:p w14:paraId="64FC5C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二级活性炭吸附</w:t>
                  </w:r>
                </w:p>
              </w:tc>
              <w:tc>
                <w:tcPr>
                  <w:tcW w:w="1338" w:type="dxa"/>
                  <w:vAlign w:val="center"/>
                </w:tcPr>
                <w:p w14:paraId="5F5D04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eastAsia" w:cs="Times New Roman"/>
                      <w:b w:val="0"/>
                      <w:bCs w:val="0"/>
                      <w:color w:val="auto"/>
                      <w:kern w:val="0"/>
                      <w:sz w:val="21"/>
                      <w:szCs w:val="21"/>
                      <w:vertAlign w:val="baseline"/>
                      <w:lang w:val="en-US" w:eastAsia="zh-CN"/>
                    </w:rPr>
                    <w:t>可行</w:t>
                  </w:r>
                </w:p>
              </w:tc>
            </w:tr>
          </w:tbl>
          <w:p w14:paraId="71B33F46">
            <w:pPr>
              <w:keepNext w:val="0"/>
              <w:keepLines w:val="0"/>
              <w:pageBreakBefore w:val="0"/>
              <w:widowControl w:val="0"/>
              <w:kinsoku/>
              <w:wordWrap/>
              <w:overflowPunct/>
              <w:topLinePunct w:val="0"/>
              <w:autoSpaceDE/>
              <w:autoSpaceDN/>
              <w:bidi w:val="0"/>
              <w:adjustRightInd/>
              <w:snapToGrid/>
              <w:spacing w:line="480" w:lineRule="atLeast"/>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rPr>
            </w:pPr>
            <w:r>
              <w:rPr>
                <w:rFonts w:hint="eastAsia" w:cs="Times New Roman"/>
                <w:b w:val="0"/>
                <w:bCs w:val="0"/>
                <w:color w:val="auto"/>
                <w:kern w:val="0"/>
                <w:sz w:val="24"/>
                <w:szCs w:val="24"/>
                <w:lang w:val="en-US" w:eastAsia="zh-CN"/>
              </w:rPr>
              <w:t>因此，本项目采取的废气处理措施均属于可行技术。</w:t>
            </w:r>
          </w:p>
          <w:p w14:paraId="62E8335A">
            <w:pPr>
              <w:keepNext w:val="0"/>
              <w:keepLines w:val="0"/>
              <w:pageBreakBefore w:val="0"/>
              <w:widowControl w:val="0"/>
              <w:kinsoku/>
              <w:wordWrap/>
              <w:overflowPunct/>
              <w:topLinePunct w:val="0"/>
              <w:autoSpaceDE/>
              <w:autoSpaceDN/>
              <w:bidi w:val="0"/>
              <w:adjustRightInd/>
              <w:snapToGrid/>
              <w:spacing w:line="480" w:lineRule="atLeast"/>
              <w:ind w:firstLine="480" w:firstLineChars="200"/>
              <w:jc w:val="both"/>
              <w:textAlignment w:val="auto"/>
              <w:rPr>
                <w:rFonts w:hint="default" w:ascii="Times New Roman" w:hAnsi="Times New Roman" w:eastAsia="宋体" w:cs="Times New Roman"/>
                <w:bCs/>
                <w:color w:val="auto"/>
                <w:spacing w:val="0"/>
                <w:sz w:val="24"/>
                <w:szCs w:val="24"/>
                <w:lang w:val="en-US" w:eastAsia="zh-CN"/>
              </w:rPr>
            </w:pPr>
            <w:r>
              <w:rPr>
                <w:rFonts w:hint="eastAsia" w:ascii="Times New Roman" w:hAnsi="Times New Roman" w:eastAsia="宋体" w:cs="Times New Roman"/>
                <w:b w:val="0"/>
                <w:bCs w:val="0"/>
                <w:color w:val="auto"/>
                <w:kern w:val="0"/>
                <w:sz w:val="24"/>
                <w:szCs w:val="24"/>
                <w:lang w:val="en-US" w:eastAsia="zh-CN"/>
              </w:rPr>
              <w:t>项目二级活性炭吸附参数如下：</w:t>
            </w:r>
          </w:p>
          <w:p w14:paraId="49A14678">
            <w:pPr>
              <w:keepNext w:val="0"/>
              <w:keepLines w:val="0"/>
              <w:pageBreakBefore w:val="0"/>
              <w:widowControl/>
              <w:suppressLineNumbers w:val="0"/>
              <w:kinsoku/>
              <w:wordWrap/>
              <w:overflowPunct/>
              <w:topLinePunct w:val="0"/>
              <w:autoSpaceDE/>
              <w:autoSpaceDN/>
              <w:bidi w:val="0"/>
              <w:adjustRightInd w:val="0"/>
              <w:snapToGrid w:val="0"/>
              <w:spacing w:line="480" w:lineRule="atLeast"/>
              <w:ind w:firstLine="0" w:firstLineChars="0"/>
              <w:jc w:val="center"/>
              <w:textAlignment w:val="center"/>
              <w:rPr>
                <w:rFonts w:hint="default" w:ascii="Times New Roman" w:hAnsi="Times New Roman" w:eastAsia="宋体" w:cs="Times New Roman"/>
                <w:b/>
                <w:bCs/>
                <w:i w:val="0"/>
                <w:iCs w:val="0"/>
                <w:caps w:val="0"/>
                <w:smallCaps w:val="0"/>
                <w:color w:val="auto"/>
                <w:spacing w:val="0"/>
                <w:w w:val="100"/>
                <w:kern w:val="0"/>
                <w:position w:val="0"/>
                <w:sz w:val="21"/>
                <w:szCs w:val="21"/>
                <w:u w:val="none"/>
                <w:lang w:val="en-US" w:eastAsia="zh-CN" w:bidi="ar"/>
              </w:rPr>
            </w:pPr>
            <w:r>
              <w:rPr>
                <w:rFonts w:hint="eastAsia" w:cs="Times New Roman"/>
                <w:b/>
                <w:bCs/>
                <w:i w:val="0"/>
                <w:iCs w:val="0"/>
                <w:caps w:val="0"/>
                <w:smallCaps w:val="0"/>
                <w:color w:val="auto"/>
                <w:spacing w:val="0"/>
                <w:w w:val="100"/>
                <w:kern w:val="0"/>
                <w:position w:val="0"/>
                <w:sz w:val="21"/>
                <w:szCs w:val="21"/>
                <w:u w:val="none"/>
                <w:lang w:val="en-US" w:eastAsia="zh-CN" w:bidi="ar"/>
              </w:rPr>
              <w:t>表4-20</w:t>
            </w:r>
            <w:r>
              <w:rPr>
                <w:rFonts w:hint="default" w:ascii="Times New Roman" w:hAnsi="Times New Roman" w:eastAsia="宋体" w:cs="Times New Roman"/>
                <w:b/>
                <w:bCs/>
                <w:i w:val="0"/>
                <w:iCs w:val="0"/>
                <w:caps w:val="0"/>
                <w:smallCaps w:val="0"/>
                <w:color w:val="auto"/>
                <w:spacing w:val="0"/>
                <w:w w:val="100"/>
                <w:kern w:val="0"/>
                <w:position w:val="0"/>
                <w:sz w:val="21"/>
                <w:szCs w:val="21"/>
                <w:u w:val="none"/>
                <w:lang w:val="en-US" w:eastAsia="zh-CN" w:bidi="ar"/>
              </w:rPr>
              <w:t xml:space="preserve">  活性炭吸附装置参数</w:t>
            </w:r>
            <w:r>
              <w:rPr>
                <w:rFonts w:hint="eastAsia" w:cs="Times New Roman"/>
                <w:b/>
                <w:bCs/>
                <w:i w:val="0"/>
                <w:iCs w:val="0"/>
                <w:caps w:val="0"/>
                <w:smallCaps w:val="0"/>
                <w:color w:val="auto"/>
                <w:spacing w:val="0"/>
                <w:w w:val="100"/>
                <w:kern w:val="0"/>
                <w:position w:val="0"/>
                <w:sz w:val="21"/>
                <w:szCs w:val="21"/>
                <w:u w:val="none"/>
                <w:lang w:val="en-US" w:eastAsia="zh-CN" w:bidi="ar"/>
              </w:rPr>
              <w:t>（</w:t>
            </w:r>
            <w:r>
              <w:rPr>
                <w:rFonts w:hint="default" w:ascii="Times New Roman" w:hAnsi="Times New Roman" w:eastAsia="宋体" w:cs="Times New Roman"/>
                <w:b/>
                <w:bCs/>
                <w:i w:val="0"/>
                <w:iCs w:val="0"/>
                <w:caps w:val="0"/>
                <w:smallCaps w:val="0"/>
                <w:color w:val="auto"/>
                <w:spacing w:val="0"/>
                <w:w w:val="100"/>
                <w:kern w:val="0"/>
                <w:position w:val="0"/>
                <w:sz w:val="21"/>
                <w:szCs w:val="21"/>
                <w:u w:val="none"/>
                <w:lang w:val="en-US" w:eastAsia="zh-CN" w:bidi="ar"/>
              </w:rPr>
              <w:t>DA00</w:t>
            </w:r>
            <w:r>
              <w:rPr>
                <w:rFonts w:hint="eastAsia" w:cs="Times New Roman"/>
                <w:b/>
                <w:bCs/>
                <w:i w:val="0"/>
                <w:iCs w:val="0"/>
                <w:caps w:val="0"/>
                <w:smallCaps w:val="0"/>
                <w:color w:val="auto"/>
                <w:spacing w:val="0"/>
                <w:w w:val="100"/>
                <w:kern w:val="0"/>
                <w:position w:val="0"/>
                <w:sz w:val="21"/>
                <w:szCs w:val="21"/>
                <w:u w:val="none"/>
                <w:lang w:val="en-US" w:eastAsia="zh-CN" w:bidi="ar"/>
              </w:rPr>
              <w:t>1</w:t>
            </w:r>
            <w:r>
              <w:rPr>
                <w:rFonts w:hint="default" w:ascii="Times New Roman" w:hAnsi="Times New Roman" w:eastAsia="宋体" w:cs="Times New Roman"/>
                <w:b/>
                <w:bCs/>
                <w:i w:val="0"/>
                <w:iCs w:val="0"/>
                <w:caps w:val="0"/>
                <w:smallCaps w:val="0"/>
                <w:color w:val="auto"/>
                <w:spacing w:val="0"/>
                <w:w w:val="100"/>
                <w:kern w:val="0"/>
                <w:position w:val="0"/>
                <w:sz w:val="21"/>
                <w:szCs w:val="21"/>
                <w:u w:val="none"/>
                <w:lang w:val="en-US" w:eastAsia="zh-CN" w:bidi="ar"/>
              </w:rPr>
              <w:t>）</w:t>
            </w:r>
          </w:p>
          <w:tbl>
            <w:tblPr>
              <w:tblStyle w:val="26"/>
              <w:tblW w:w="86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3"/>
              <w:gridCol w:w="2237"/>
              <w:gridCol w:w="3165"/>
              <w:gridCol w:w="2123"/>
            </w:tblGrid>
            <w:tr w14:paraId="400C9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4" w:hRule="atLeast"/>
                <w:jc w:val="center"/>
              </w:trPr>
              <w:tc>
                <w:tcPr>
                  <w:tcW w:w="1093" w:type="dxa"/>
                  <w:tcBorders>
                    <w:tl2br w:val="nil"/>
                    <w:tr2bl w:val="nil"/>
                  </w:tcBorders>
                  <w:noWrap/>
                  <w:vAlign w:val="center"/>
                </w:tcPr>
                <w:p w14:paraId="4BDBE501">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t>污染源</w:t>
                  </w:r>
                </w:p>
              </w:tc>
              <w:tc>
                <w:tcPr>
                  <w:tcW w:w="2237" w:type="dxa"/>
                  <w:tcBorders>
                    <w:tl2br w:val="nil"/>
                    <w:tr2bl w:val="nil"/>
                  </w:tcBorders>
                  <w:noWrap/>
                  <w:vAlign w:val="center"/>
                </w:tcPr>
                <w:p w14:paraId="54553186">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t>系统名称</w:t>
                  </w:r>
                </w:p>
              </w:tc>
              <w:tc>
                <w:tcPr>
                  <w:tcW w:w="5288" w:type="dxa"/>
                  <w:gridSpan w:val="2"/>
                  <w:tcBorders>
                    <w:tl2br w:val="nil"/>
                    <w:tr2bl w:val="nil"/>
                  </w:tcBorders>
                  <w:noWrap/>
                  <w:vAlign w:val="center"/>
                </w:tcPr>
                <w:p w14:paraId="20E8370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t>具体参数</w:t>
                  </w:r>
                </w:p>
              </w:tc>
            </w:tr>
            <w:tr w14:paraId="62ED8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restart"/>
                  <w:tcBorders>
                    <w:tl2br w:val="nil"/>
                    <w:tr2bl w:val="nil"/>
                  </w:tcBorders>
                  <w:noWrap/>
                  <w:vAlign w:val="center"/>
                </w:tcPr>
                <w:p w14:paraId="7385EB7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排气筒DA00</w:t>
                  </w:r>
                  <w:r>
                    <w:rPr>
                      <w:rFonts w:hint="eastAsia" w:cs="Times New Roman"/>
                      <w:i w:val="0"/>
                      <w:iCs w:val="0"/>
                      <w:caps w:val="0"/>
                      <w:smallCaps w:val="0"/>
                      <w:color w:val="auto"/>
                      <w:spacing w:val="0"/>
                      <w:w w:val="100"/>
                      <w:kern w:val="0"/>
                      <w:position w:val="0"/>
                      <w:sz w:val="21"/>
                      <w:szCs w:val="21"/>
                      <w:u w:val="none" w:color="auto"/>
                      <w:lang w:val="en-US" w:eastAsia="zh-CN" w:bidi="ar"/>
                    </w:rPr>
                    <w:t>1</w:t>
                  </w:r>
                </w:p>
              </w:tc>
              <w:tc>
                <w:tcPr>
                  <w:tcW w:w="2237" w:type="dxa"/>
                  <w:vMerge w:val="restart"/>
                  <w:tcBorders>
                    <w:tl2br w:val="nil"/>
                    <w:tr2bl w:val="nil"/>
                  </w:tcBorders>
                  <w:noWrap/>
                  <w:vAlign w:val="center"/>
                </w:tcPr>
                <w:p w14:paraId="1F178AC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二级活性炭吸附装置</w:t>
                  </w:r>
                </w:p>
              </w:tc>
              <w:tc>
                <w:tcPr>
                  <w:tcW w:w="3165" w:type="dxa"/>
                  <w:tcBorders>
                    <w:tl2br w:val="nil"/>
                    <w:tr2bl w:val="nil"/>
                  </w:tcBorders>
                  <w:noWrap/>
                  <w:vAlign w:val="center"/>
                </w:tcPr>
                <w:p w14:paraId="2D586E81">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活性炭吸附塔数量</w:t>
                  </w:r>
                </w:p>
              </w:tc>
              <w:tc>
                <w:tcPr>
                  <w:tcW w:w="2123" w:type="dxa"/>
                  <w:tcBorders>
                    <w:tl2br w:val="nil"/>
                    <w:tr2bl w:val="nil"/>
                  </w:tcBorders>
                  <w:noWrap/>
                  <w:vAlign w:val="center"/>
                </w:tcPr>
                <w:p w14:paraId="4C7F9BB2">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2个</w:t>
                  </w:r>
                </w:p>
              </w:tc>
            </w:tr>
            <w:tr w14:paraId="69926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40891810">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53D81C5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273916FC">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活性炭吸附塔处理风量</w:t>
                  </w:r>
                </w:p>
              </w:tc>
              <w:tc>
                <w:tcPr>
                  <w:tcW w:w="2123" w:type="dxa"/>
                  <w:tcBorders>
                    <w:tl2br w:val="nil"/>
                    <w:tr2bl w:val="nil"/>
                  </w:tcBorders>
                  <w:noWrap/>
                  <w:vAlign w:val="center"/>
                </w:tcPr>
                <w:p w14:paraId="74638E8D">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10</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000m</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vertAlign w:val="superscript"/>
                      <w:lang w:val="en-US" w:eastAsia="zh-CN" w:bidi="ar"/>
                    </w:rPr>
                    <w:t>3</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/h</w:t>
                  </w:r>
                </w:p>
              </w:tc>
            </w:tr>
            <w:tr w14:paraId="494FC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0805804C">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50EE9DDB">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17D97AB0">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活性炭用量</w:t>
                  </w:r>
                </w:p>
              </w:tc>
              <w:tc>
                <w:tcPr>
                  <w:tcW w:w="2123" w:type="dxa"/>
                  <w:tcBorders>
                    <w:tl2br w:val="nil"/>
                    <w:tr2bl w:val="nil"/>
                  </w:tcBorders>
                  <w:noWrap/>
                  <w:vAlign w:val="center"/>
                </w:tcPr>
                <w:p w14:paraId="16CEAF5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25.76</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t/a</w:t>
                  </w:r>
                </w:p>
              </w:tc>
            </w:tr>
            <w:tr w14:paraId="676F6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141725B3">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63E13C39">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43B42CCA">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单个活性炭层尺寸</w:t>
                  </w:r>
                </w:p>
              </w:tc>
              <w:tc>
                <w:tcPr>
                  <w:tcW w:w="2123" w:type="dxa"/>
                  <w:tcBorders>
                    <w:tl2br w:val="nil"/>
                    <w:tr2bl w:val="nil"/>
                  </w:tcBorders>
                  <w:noWrap/>
                  <w:vAlign w:val="center"/>
                </w:tcPr>
                <w:p w14:paraId="468BC9CD">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caps w:val="0"/>
                      <w:smallCaps w:val="0"/>
                      <w:color w:val="auto"/>
                      <w:spacing w:val="0"/>
                      <w:w w:val="100"/>
                      <w:position w:val="0"/>
                      <w:sz w:val="21"/>
                      <w:szCs w:val="21"/>
                      <w:u w:val="none" w:color="auto"/>
                      <w:lang w:val="en-US" w:eastAsia="zh-CN"/>
                    </w:rPr>
                    <w:t>1.8</w:t>
                  </w:r>
                  <w:r>
                    <w:rPr>
                      <w:rFonts w:hint="default" w:ascii="Times New Roman" w:hAnsi="Times New Roman" w:eastAsia="Times New Roman" w:cs="Times New Roman"/>
                      <w:caps w:val="0"/>
                      <w:smallCaps w:val="0"/>
                      <w:color w:val="auto"/>
                      <w:spacing w:val="0"/>
                      <w:w w:val="100"/>
                      <w:position w:val="0"/>
                      <w:sz w:val="21"/>
                      <w:szCs w:val="21"/>
                      <w:u w:val="none" w:color="auto"/>
                    </w:rPr>
                    <w:t>m×</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w:t>
                  </w:r>
                  <w:r>
                    <w:rPr>
                      <w:rFonts w:hint="eastAsia" w:cs="Times New Roman"/>
                      <w:caps w:val="0"/>
                      <w:smallCaps w:val="0"/>
                      <w:color w:val="auto"/>
                      <w:spacing w:val="0"/>
                      <w:w w:val="100"/>
                      <w:position w:val="0"/>
                      <w:sz w:val="21"/>
                      <w:szCs w:val="21"/>
                      <w:u w:val="none" w:color="auto"/>
                      <w:lang w:val="en-US" w:eastAsia="zh-CN"/>
                    </w:rPr>
                    <w:t>5</w:t>
                  </w:r>
                  <w:r>
                    <w:rPr>
                      <w:rFonts w:hint="default" w:ascii="Times New Roman" w:hAnsi="Times New Roman" w:eastAsia="Times New Roman" w:cs="Times New Roman"/>
                      <w:caps w:val="0"/>
                      <w:smallCaps w:val="0"/>
                      <w:color w:val="auto"/>
                      <w:spacing w:val="0"/>
                      <w:w w:val="100"/>
                      <w:position w:val="0"/>
                      <w:sz w:val="21"/>
                      <w:szCs w:val="21"/>
                      <w:u w:val="none" w:color="auto"/>
                    </w:rPr>
                    <w:t>m</w:t>
                  </w:r>
                </w:p>
              </w:tc>
            </w:tr>
            <w:tr w14:paraId="35FFD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02C48DE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54C90841">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3465B92C">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单个活性炭层厚度×层数</w:t>
                  </w:r>
                </w:p>
              </w:tc>
              <w:tc>
                <w:tcPr>
                  <w:tcW w:w="2123" w:type="dxa"/>
                  <w:tcBorders>
                    <w:tl2br w:val="nil"/>
                    <w:tr2bl w:val="nil"/>
                  </w:tcBorders>
                  <w:noWrap/>
                  <w:vAlign w:val="center"/>
                </w:tcPr>
                <w:p w14:paraId="4EE467FA">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0.</w:t>
                  </w:r>
                  <w:r>
                    <w:rPr>
                      <w:rFonts w:hint="eastAsia"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3</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m×</w:t>
                  </w:r>
                  <w:r>
                    <w:rPr>
                      <w:rFonts w:hint="eastAsia"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3</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层</w:t>
                  </w:r>
                </w:p>
              </w:tc>
            </w:tr>
            <w:tr w14:paraId="4A84F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43E46572">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4C6EC740">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52901AA7">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蜂窝</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活性炭密度</w:t>
                  </w:r>
                </w:p>
              </w:tc>
              <w:tc>
                <w:tcPr>
                  <w:tcW w:w="2123" w:type="dxa"/>
                  <w:tcBorders>
                    <w:tl2br w:val="nil"/>
                    <w:tr2bl w:val="nil"/>
                  </w:tcBorders>
                  <w:noWrap/>
                  <w:vAlign w:val="center"/>
                </w:tcPr>
                <w:p w14:paraId="3DA1F8C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0.48g/cm</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vertAlign w:val="superscript"/>
                      <w:lang w:val="en-US" w:eastAsia="zh-CN" w:bidi="ar"/>
                    </w:rPr>
                    <w:t>3</w:t>
                  </w:r>
                </w:p>
              </w:tc>
            </w:tr>
            <w:tr w14:paraId="5CE20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55DB8AD2">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5CC7F65D">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2E0F7B9B">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单级活性炭装填量</w:t>
                  </w:r>
                </w:p>
              </w:tc>
              <w:tc>
                <w:tcPr>
                  <w:tcW w:w="2123" w:type="dxa"/>
                  <w:tcBorders>
                    <w:tl2br w:val="nil"/>
                    <w:tr2bl w:val="nil"/>
                  </w:tcBorders>
                  <w:noWrap/>
                  <w:vAlign w:val="center"/>
                </w:tcPr>
                <w:p w14:paraId="138E26FB">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1.166</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t</w:t>
                  </w:r>
                </w:p>
              </w:tc>
            </w:tr>
            <w:tr w14:paraId="1DADD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6D1E4390">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54DDB0A3">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7E6C4240">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活性炭种类</w:t>
                  </w:r>
                </w:p>
              </w:tc>
              <w:tc>
                <w:tcPr>
                  <w:tcW w:w="2123" w:type="dxa"/>
                  <w:tcBorders>
                    <w:tl2br w:val="nil"/>
                    <w:tr2bl w:val="nil"/>
                  </w:tcBorders>
                  <w:noWrap/>
                  <w:vAlign w:val="center"/>
                </w:tcPr>
                <w:p w14:paraId="68FB37B3">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蜂窝</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状活性炭</w:t>
                  </w:r>
                </w:p>
              </w:tc>
            </w:tr>
            <w:tr w14:paraId="171D5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029D487B">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5F76E41F">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0EF55879">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吸附风速</w:t>
                  </w:r>
                </w:p>
              </w:tc>
              <w:tc>
                <w:tcPr>
                  <w:tcW w:w="2123" w:type="dxa"/>
                  <w:tcBorders>
                    <w:tl2br w:val="nil"/>
                    <w:tr2bl w:val="nil"/>
                  </w:tcBorders>
                  <w:noWrap/>
                  <w:vAlign w:val="center"/>
                </w:tcPr>
                <w:p w14:paraId="16CDE59A">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1.03</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m/s</w:t>
                  </w:r>
                </w:p>
              </w:tc>
            </w:tr>
            <w:tr w14:paraId="0E48E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22F1F006">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7D0B899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43CD72B8">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停留时间</w:t>
                  </w:r>
                </w:p>
              </w:tc>
              <w:tc>
                <w:tcPr>
                  <w:tcW w:w="2123" w:type="dxa"/>
                  <w:tcBorders>
                    <w:tl2br w:val="nil"/>
                    <w:tr2bl w:val="nil"/>
                  </w:tcBorders>
                  <w:noWrap/>
                  <w:vAlign w:val="center"/>
                </w:tcPr>
                <w:p w14:paraId="69EB8777">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0.87</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s</w:t>
                  </w:r>
                </w:p>
              </w:tc>
            </w:tr>
            <w:tr w14:paraId="444B0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648D4C4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6E31DFB0">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18F7B0B2">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活性炭碘值</w:t>
                  </w:r>
                </w:p>
              </w:tc>
              <w:tc>
                <w:tcPr>
                  <w:tcW w:w="2123" w:type="dxa"/>
                  <w:tcBorders>
                    <w:tl2br w:val="nil"/>
                    <w:tr2bl w:val="nil"/>
                  </w:tcBorders>
                  <w:noWrap/>
                  <w:vAlign w:val="center"/>
                </w:tcPr>
                <w:p w14:paraId="61BEA70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cs="Times New Roman"/>
                      <w:caps w:val="0"/>
                      <w:smallCaps w:val="0"/>
                      <w:color w:val="auto"/>
                      <w:spacing w:val="0"/>
                      <w:w w:val="100"/>
                      <w:position w:val="0"/>
                      <w:sz w:val="21"/>
                      <w:szCs w:val="21"/>
                      <w:lang w:val="en-US" w:eastAsia="zh-CN"/>
                    </w:rPr>
                    <w:t>≥</w:t>
                  </w:r>
                  <w:r>
                    <w:rPr>
                      <w:rFonts w:hint="eastAsia" w:ascii="Times New Roman" w:hAnsi="Times New Roman" w:eastAsia="宋体" w:cs="Times New Roman"/>
                      <w:caps w:val="0"/>
                      <w:smallCaps w:val="0"/>
                      <w:color w:val="auto"/>
                      <w:spacing w:val="0"/>
                      <w:w w:val="100"/>
                      <w:position w:val="0"/>
                      <w:sz w:val="21"/>
                      <w:szCs w:val="21"/>
                      <w:lang w:val="en-US" w:eastAsia="zh-CN"/>
                    </w:rPr>
                    <w:t>650</w:t>
                  </w:r>
                  <w:r>
                    <w:rPr>
                      <w:rFonts w:hint="default" w:ascii="Times New Roman" w:hAnsi="Times New Roman" w:eastAsia="Times New Roman" w:cs="Times New Roman"/>
                      <w:caps w:val="0"/>
                      <w:smallCaps w:val="0"/>
                      <w:color w:val="auto"/>
                      <w:spacing w:val="0"/>
                      <w:w w:val="100"/>
                      <w:position w:val="0"/>
                      <w:sz w:val="21"/>
                      <w:szCs w:val="21"/>
                    </w:rPr>
                    <w:t>mg/g</w:t>
                  </w:r>
                </w:p>
              </w:tc>
            </w:tr>
            <w:tr w14:paraId="754BD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09319E0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41113CC9">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33FA4136">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lang w:val="en-US" w:eastAsia="zh-CN" w:bidi="ar-SA"/>
                    </w:rPr>
                  </w:pPr>
                  <w:r>
                    <w:rPr>
                      <w:rFonts w:hint="default" w:ascii="Times New Roman" w:hAnsi="Times New Roman" w:eastAsia="宋体" w:cs="Times New Roman"/>
                      <w:b w:val="0"/>
                      <w:bCs/>
                      <w:caps w:val="0"/>
                      <w:smallCaps w:val="0"/>
                      <w:color w:val="auto"/>
                      <w:spacing w:val="0"/>
                      <w:w w:val="100"/>
                      <w:position w:val="0"/>
                      <w:sz w:val="21"/>
                      <w:szCs w:val="21"/>
                    </w:rPr>
                    <w:t>介质温度</w:t>
                  </w:r>
                </w:p>
              </w:tc>
              <w:tc>
                <w:tcPr>
                  <w:tcW w:w="2123" w:type="dxa"/>
                  <w:tcBorders>
                    <w:tl2br w:val="nil"/>
                    <w:tr2bl w:val="nil"/>
                  </w:tcBorders>
                  <w:noWrap/>
                  <w:vAlign w:val="center"/>
                </w:tcPr>
                <w:p w14:paraId="33A94C08">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b w:val="0"/>
                      <w:bCs/>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b w:val="0"/>
                      <w:bCs/>
                      <w:caps w:val="0"/>
                      <w:smallCaps w:val="0"/>
                      <w:color w:val="auto"/>
                      <w:spacing w:val="0"/>
                      <w:w w:val="100"/>
                      <w:position w:val="0"/>
                      <w:sz w:val="21"/>
                      <w:szCs w:val="21"/>
                    </w:rPr>
                    <w:t>＜40℃</w:t>
                  </w:r>
                </w:p>
              </w:tc>
            </w:tr>
            <w:tr w14:paraId="1A506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3F0DC9C2">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691B6FD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6EAD9F95">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lang w:val="en-US" w:eastAsia="zh-CN" w:bidi="ar-SA"/>
                    </w:rPr>
                    <w:t>更换频次</w:t>
                  </w:r>
                </w:p>
              </w:tc>
              <w:tc>
                <w:tcPr>
                  <w:tcW w:w="2123" w:type="dxa"/>
                  <w:tcBorders>
                    <w:tl2br w:val="nil"/>
                    <w:tr2bl w:val="nil"/>
                  </w:tcBorders>
                  <w:noWrap/>
                  <w:vAlign w:val="center"/>
                </w:tcPr>
                <w:p w14:paraId="2C9D4F1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11</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次/年</w:t>
                  </w:r>
                </w:p>
              </w:tc>
            </w:tr>
            <w:tr w14:paraId="42C91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3AF388F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74AAB7B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6C779915">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lang w:val="en-US" w:eastAsia="zh-CN" w:bidi="ar-SA"/>
                    </w:rPr>
                    <w:t>更换周期</w:t>
                  </w:r>
                </w:p>
              </w:tc>
              <w:tc>
                <w:tcPr>
                  <w:tcW w:w="2123" w:type="dxa"/>
                  <w:tcBorders>
                    <w:tl2br w:val="nil"/>
                    <w:tr2bl w:val="nil"/>
                  </w:tcBorders>
                  <w:noWrap/>
                  <w:vAlign w:val="center"/>
                </w:tcPr>
                <w:p w14:paraId="1BBD5BE0">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27</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天</w:t>
                  </w:r>
                </w:p>
              </w:tc>
            </w:tr>
            <w:tr w14:paraId="4AF8A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jc w:val="center"/>
              </w:trPr>
              <w:tc>
                <w:tcPr>
                  <w:tcW w:w="1093" w:type="dxa"/>
                  <w:vMerge w:val="continue"/>
                  <w:tcBorders>
                    <w:tl2br w:val="nil"/>
                    <w:tr2bl w:val="nil"/>
                  </w:tcBorders>
                  <w:noWrap/>
                  <w:vAlign w:val="center"/>
                </w:tcPr>
                <w:p w14:paraId="64A9A70C">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6CE5F52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1CD146BB">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lang w:val="en-US" w:eastAsia="zh-CN" w:bidi="ar-SA"/>
                    </w:rPr>
                    <w:t>废活性炭产生量</w:t>
                  </w:r>
                </w:p>
              </w:tc>
              <w:tc>
                <w:tcPr>
                  <w:tcW w:w="2123" w:type="dxa"/>
                  <w:tcBorders>
                    <w:tl2br w:val="nil"/>
                    <w:tr2bl w:val="nil"/>
                  </w:tcBorders>
                  <w:noWrap/>
                  <w:vAlign w:val="center"/>
                </w:tcPr>
                <w:p w14:paraId="1B57E07D">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caps w:val="0"/>
                      <w:smallCaps w:val="0"/>
                      <w:color w:val="auto"/>
                      <w:spacing w:val="0"/>
                      <w:w w:val="100"/>
                      <w:kern w:val="0"/>
                      <w:position w:val="0"/>
                      <w:sz w:val="21"/>
                      <w:szCs w:val="21"/>
                      <w:lang w:val="en-US" w:eastAsia="zh-CN" w:bidi="ar"/>
                    </w:rPr>
                    <w:t>31.556</w:t>
                  </w:r>
                  <w:r>
                    <w:rPr>
                      <w:rFonts w:hint="default" w:ascii="Times New Roman" w:hAnsi="Times New Roman" w:eastAsia="宋体" w:cs="Times New Roman"/>
                      <w:caps w:val="0"/>
                      <w:smallCaps w:val="0"/>
                      <w:color w:val="auto"/>
                      <w:spacing w:val="0"/>
                      <w:w w:val="100"/>
                      <w:kern w:val="0"/>
                      <w:position w:val="0"/>
                      <w:sz w:val="21"/>
                      <w:szCs w:val="21"/>
                      <w:lang w:val="en-US" w:eastAsia="zh-CN" w:bidi="ar"/>
                    </w:rPr>
                    <w:t>t/a</w:t>
                  </w:r>
                </w:p>
              </w:tc>
            </w:tr>
            <w:tr w14:paraId="4867C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8618" w:type="dxa"/>
                  <w:gridSpan w:val="4"/>
                  <w:tcBorders>
                    <w:tl2br w:val="nil"/>
                    <w:tr2bl w:val="nil"/>
                  </w:tcBorders>
                  <w:noWrap/>
                  <w:vAlign w:val="center"/>
                </w:tcPr>
                <w:p w14:paraId="11BA203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注：</w:t>
                  </w:r>
                </w:p>
                <w:p w14:paraId="0FBED46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caps w:val="0"/>
                      <w:smallCaps w:val="0"/>
                      <w:color w:val="auto"/>
                      <w:spacing w:val="0"/>
                      <w:w w:val="100"/>
                      <w:position w:val="0"/>
                      <w:sz w:val="21"/>
                      <w:szCs w:val="21"/>
                      <w:u w:val="none" w:color="auto"/>
                      <w:lang w:val="en-US" w:eastAsia="zh-CN"/>
                    </w:rPr>
                  </w:pPr>
                  <w:r>
                    <w:rPr>
                      <w:rFonts w:hint="eastAsia"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lang w:val="en-US" w:eastAsia="zh-CN"/>
                    </w:rPr>
                    <w:t>1</w:t>
                  </w:r>
                  <w:r>
                    <w:rPr>
                      <w:rFonts w:hint="default" w:ascii="Times New Roman" w:hAnsi="Times New Roman" w:cs="Times New Roman"/>
                      <w:caps w:val="0"/>
                      <w:smallCaps w:val="0"/>
                      <w:color w:val="auto"/>
                      <w:spacing w:val="0"/>
                      <w:w w:val="100"/>
                      <w:position w:val="0"/>
                      <w:sz w:val="21"/>
                      <w:szCs w:val="21"/>
                      <w:u w:val="none" w:color="auto"/>
                      <w:lang w:eastAsia="zh-CN"/>
                    </w:rPr>
                    <w:t>）</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根据《现代涂装手册》</w:t>
                  </w:r>
                  <w:r>
                    <w:rPr>
                      <w:rFonts w:hint="eastAsia" w:cs="Times New Roman"/>
                      <w:b w:val="0"/>
                      <w:bCs w:val="0"/>
                      <w:caps w:val="0"/>
                      <w:smallCaps w:val="0"/>
                      <w:color w:val="auto"/>
                      <w:spacing w:val="0"/>
                      <w:w w:val="100"/>
                      <w:kern w:val="0"/>
                      <w:position w:val="0"/>
                      <w:sz w:val="21"/>
                      <w:szCs w:val="21"/>
                      <w:lang w:val="en-US" w:eastAsia="zh-CN"/>
                    </w:rPr>
                    <w:t>（</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化学工业出版社，陈治良主编），理论上活性炭吸附量为0.25gVOCs/g，活性炭吸附饱和率按90%计。根据前文核算，DA00</w:t>
                  </w:r>
                  <w:r>
                    <w:rPr>
                      <w:rFonts w:hint="eastAsia" w:cs="Times New Roman"/>
                      <w:b w:val="0"/>
                      <w:bCs w:val="0"/>
                      <w:caps w:val="0"/>
                      <w:smallCaps w:val="0"/>
                      <w:color w:val="auto"/>
                      <w:spacing w:val="0"/>
                      <w:w w:val="100"/>
                      <w:kern w:val="0"/>
                      <w:position w:val="0"/>
                      <w:sz w:val="21"/>
                      <w:szCs w:val="21"/>
                      <w:lang w:val="en-US" w:eastAsia="zh-CN"/>
                    </w:rPr>
                    <w:t>1</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配套的二级活性炭吸附装置吸附有机废气量为</w:t>
                  </w:r>
                  <w:r>
                    <w:rPr>
                      <w:rFonts w:hint="eastAsia" w:cs="Times New Roman"/>
                      <w:b w:val="0"/>
                      <w:bCs w:val="0"/>
                      <w:caps w:val="0"/>
                      <w:smallCaps w:val="0"/>
                      <w:color w:val="auto"/>
                      <w:spacing w:val="0"/>
                      <w:w w:val="100"/>
                      <w:kern w:val="0"/>
                      <w:position w:val="0"/>
                      <w:sz w:val="21"/>
                      <w:szCs w:val="21"/>
                      <w:lang w:val="en-US" w:eastAsia="zh-CN"/>
                    </w:rPr>
                    <w:t>5.796</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t/a，则活性炭用量</w:t>
                  </w:r>
                  <w:r>
                    <w:rPr>
                      <w:rFonts w:hint="eastAsia" w:cs="Times New Roman"/>
                      <w:b w:val="0"/>
                      <w:bCs w:val="0"/>
                      <w:caps w:val="0"/>
                      <w:smallCaps w:val="0"/>
                      <w:color w:val="auto"/>
                      <w:spacing w:val="0"/>
                      <w:w w:val="100"/>
                      <w:kern w:val="0"/>
                      <w:position w:val="0"/>
                      <w:sz w:val="21"/>
                      <w:szCs w:val="21"/>
                      <w:lang w:val="en-US" w:eastAsia="zh-CN"/>
                    </w:rPr>
                    <w:t>25.76</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t/a=</w:t>
                  </w:r>
                  <w:r>
                    <w:rPr>
                      <w:rFonts w:hint="eastAsia" w:cs="Times New Roman"/>
                      <w:b w:val="0"/>
                      <w:bCs w:val="0"/>
                      <w:caps w:val="0"/>
                      <w:smallCaps w:val="0"/>
                      <w:color w:val="auto"/>
                      <w:spacing w:val="0"/>
                      <w:w w:val="100"/>
                      <w:kern w:val="0"/>
                      <w:position w:val="0"/>
                      <w:sz w:val="21"/>
                      <w:szCs w:val="21"/>
                      <w:lang w:val="en-US" w:eastAsia="zh-CN"/>
                    </w:rPr>
                    <w:t>5.796</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default" w:ascii="Times New Roman" w:hAnsi="Times New Roman" w:cs="Times New Roman"/>
                      <w:caps w:val="0"/>
                      <w:smallCaps w:val="0"/>
                      <w:color w:val="auto"/>
                      <w:spacing w:val="0"/>
                      <w:w w:val="100"/>
                      <w:position w:val="0"/>
                      <w:sz w:val="21"/>
                      <w:szCs w:val="21"/>
                      <w:u w:val="none" w:color="auto"/>
                      <w:lang w:val="en-US" w:eastAsia="zh-CN"/>
                    </w:rPr>
                    <w:t>0.25</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default" w:ascii="Times New Roman" w:hAnsi="Times New Roman" w:cs="Times New Roman"/>
                      <w:caps w:val="0"/>
                      <w:smallCaps w:val="0"/>
                      <w:color w:val="auto"/>
                      <w:spacing w:val="0"/>
                      <w:w w:val="100"/>
                      <w:position w:val="0"/>
                      <w:sz w:val="21"/>
                      <w:szCs w:val="21"/>
                      <w:u w:val="none" w:color="auto"/>
                      <w:lang w:val="en-US" w:eastAsia="zh-CN"/>
                    </w:rPr>
                    <w:t>0.9</w:t>
                  </w:r>
                  <w:r>
                    <w:rPr>
                      <w:rFonts w:hint="eastAsia" w:cs="Times New Roman"/>
                      <w:caps w:val="0"/>
                      <w:smallCaps w:val="0"/>
                      <w:color w:val="auto"/>
                      <w:spacing w:val="0"/>
                      <w:w w:val="100"/>
                      <w:position w:val="0"/>
                      <w:sz w:val="21"/>
                      <w:szCs w:val="21"/>
                      <w:u w:val="none" w:color="auto"/>
                      <w:lang w:val="en-US" w:eastAsia="zh-CN"/>
                    </w:rPr>
                    <w:t>；</w:t>
                  </w:r>
                </w:p>
                <w:p w14:paraId="201435B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cs="Times New Roman"/>
                      <w:caps w:val="0"/>
                      <w:smallCaps w:val="0"/>
                      <w:color w:val="auto"/>
                      <w:spacing w:val="0"/>
                      <w:w w:val="100"/>
                      <w:position w:val="0"/>
                      <w:sz w:val="21"/>
                      <w:szCs w:val="21"/>
                      <w:u w:val="none" w:color="auto"/>
                      <w:lang w:eastAsia="zh-CN"/>
                    </w:rPr>
                  </w:pPr>
                  <w:r>
                    <w:rPr>
                      <w:rFonts w:hint="eastAsia"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lang w:val="en-US" w:eastAsia="zh-CN"/>
                    </w:rPr>
                    <w:t>2</w:t>
                  </w:r>
                  <w:r>
                    <w:rPr>
                      <w:rFonts w:hint="default" w:ascii="Times New Roman" w:hAnsi="Times New Roman"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rPr>
                    <w:t>活性炭装填量为</w:t>
                  </w:r>
                  <w:r>
                    <w:rPr>
                      <w:rFonts w:hint="eastAsia" w:cs="Times New Roman"/>
                      <w:caps w:val="0"/>
                      <w:smallCaps w:val="0"/>
                      <w:color w:val="auto"/>
                      <w:spacing w:val="0"/>
                      <w:w w:val="100"/>
                      <w:position w:val="0"/>
                      <w:sz w:val="21"/>
                      <w:szCs w:val="21"/>
                      <w:u w:val="none" w:color="auto"/>
                      <w:lang w:val="en-US" w:eastAsia="zh-CN"/>
                    </w:rPr>
                    <w:t>1.166</w:t>
                  </w:r>
                  <w:r>
                    <w:rPr>
                      <w:rFonts w:hint="default" w:ascii="Times New Roman" w:hAnsi="Times New Roman" w:eastAsia="Times New Roman" w:cs="Times New Roman"/>
                      <w:caps w:val="0"/>
                      <w:smallCaps w:val="0"/>
                      <w:color w:val="auto"/>
                      <w:spacing w:val="0"/>
                      <w:w w:val="100"/>
                      <w:position w:val="0"/>
                      <w:sz w:val="21"/>
                      <w:szCs w:val="21"/>
                      <w:u w:val="none" w:color="auto"/>
                    </w:rPr>
                    <w:t>t=</w:t>
                  </w:r>
                  <w:r>
                    <w:rPr>
                      <w:rFonts w:hint="default" w:ascii="Times New Roman" w:hAnsi="Times New Roman" w:cs="Times New Roman"/>
                      <w:caps w:val="0"/>
                      <w:smallCaps w:val="0"/>
                      <w:color w:val="auto"/>
                      <w:spacing w:val="0"/>
                      <w:w w:val="100"/>
                      <w:position w:val="0"/>
                      <w:sz w:val="21"/>
                      <w:szCs w:val="21"/>
                      <w:u w:val="none" w:color="auto"/>
                    </w:rPr>
                    <w:t>活性炭层尺寸</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default" w:ascii="Times New Roman" w:hAnsi="Times New Roman" w:cs="Times New Roman"/>
                      <w:caps w:val="0"/>
                      <w:smallCaps w:val="0"/>
                      <w:color w:val="auto"/>
                      <w:spacing w:val="0"/>
                      <w:w w:val="100"/>
                      <w:position w:val="0"/>
                      <w:sz w:val="21"/>
                      <w:szCs w:val="21"/>
                      <w:u w:val="none" w:color="auto"/>
                    </w:rPr>
                    <w:t>层数</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default" w:ascii="Times New Roman" w:hAnsi="Times New Roman" w:cs="Times New Roman"/>
                      <w:caps w:val="0"/>
                      <w:smallCaps w:val="0"/>
                      <w:color w:val="auto"/>
                      <w:spacing w:val="0"/>
                      <w:w w:val="100"/>
                      <w:position w:val="0"/>
                      <w:sz w:val="21"/>
                      <w:szCs w:val="21"/>
                      <w:u w:val="none" w:color="auto"/>
                    </w:rPr>
                    <w:t>填充密度</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w:t>
                  </w:r>
                  <w:r>
                    <w:rPr>
                      <w:rFonts w:hint="eastAsia" w:ascii="Times New Roman" w:hAnsi="Times New Roman" w:cs="Times New Roman"/>
                      <w:caps w:val="0"/>
                      <w:smallCaps w:val="0"/>
                      <w:color w:val="auto"/>
                      <w:spacing w:val="0"/>
                      <w:w w:val="100"/>
                      <w:position w:val="0"/>
                      <w:sz w:val="21"/>
                      <w:szCs w:val="21"/>
                      <w:u w:val="none" w:color="auto"/>
                      <w:lang w:val="en-US" w:eastAsia="zh-CN"/>
                    </w:rPr>
                    <w:t>.8</w:t>
                  </w:r>
                  <w:r>
                    <w:rPr>
                      <w:rFonts w:hint="default" w:ascii="Times New Roman" w:hAnsi="Times New Roman" w:eastAsia="Times New Roman" w:cs="Times New Roman"/>
                      <w:caps w:val="0"/>
                      <w:smallCaps w:val="0"/>
                      <w:color w:val="auto"/>
                      <w:spacing w:val="0"/>
                      <w:w w:val="100"/>
                      <w:position w:val="0"/>
                      <w:sz w:val="21"/>
                      <w:szCs w:val="21"/>
                      <w:u w:val="none" w:color="auto"/>
                    </w:rPr>
                    <w:t>m×</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w:t>
                  </w:r>
                  <w:r>
                    <w:rPr>
                      <w:rFonts w:hint="eastAsia" w:cs="Times New Roman"/>
                      <w:caps w:val="0"/>
                      <w:smallCaps w:val="0"/>
                      <w:color w:val="auto"/>
                      <w:spacing w:val="0"/>
                      <w:w w:val="100"/>
                      <w:position w:val="0"/>
                      <w:sz w:val="21"/>
                      <w:szCs w:val="21"/>
                      <w:u w:val="none" w:color="auto"/>
                      <w:lang w:val="en-US" w:eastAsia="zh-CN"/>
                    </w:rPr>
                    <w:t>5</w:t>
                  </w:r>
                  <w:r>
                    <w:rPr>
                      <w:rFonts w:hint="default" w:ascii="Times New Roman" w:hAnsi="Times New Roman" w:eastAsia="Times New Roman" w:cs="Times New Roman"/>
                      <w:caps w:val="0"/>
                      <w:smallCaps w:val="0"/>
                      <w:color w:val="auto"/>
                      <w:spacing w:val="0"/>
                      <w:w w:val="100"/>
                      <w:position w:val="0"/>
                      <w:sz w:val="21"/>
                      <w:szCs w:val="21"/>
                      <w:u w:val="none" w:color="auto"/>
                    </w:rPr>
                    <w:t>m×0.3m/</w:t>
                  </w:r>
                  <w:r>
                    <w:rPr>
                      <w:rFonts w:hint="default" w:ascii="Times New Roman" w:hAnsi="Times New Roman" w:cs="Times New Roman"/>
                      <w:caps w:val="0"/>
                      <w:smallCaps w:val="0"/>
                      <w:color w:val="auto"/>
                      <w:spacing w:val="0"/>
                      <w:w w:val="100"/>
                      <w:position w:val="0"/>
                      <w:sz w:val="21"/>
                      <w:szCs w:val="21"/>
                      <w:u w:val="none" w:color="auto"/>
                    </w:rPr>
                    <w:t>层</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3</w:t>
                  </w:r>
                  <w:r>
                    <w:rPr>
                      <w:rFonts w:hint="default" w:ascii="Times New Roman" w:hAnsi="Times New Roman" w:cs="Times New Roman"/>
                      <w:caps w:val="0"/>
                      <w:smallCaps w:val="0"/>
                      <w:color w:val="auto"/>
                      <w:spacing w:val="0"/>
                      <w:w w:val="100"/>
                      <w:position w:val="0"/>
                      <w:sz w:val="21"/>
                      <w:szCs w:val="21"/>
                      <w:u w:val="none" w:color="auto"/>
                    </w:rPr>
                    <w:t>层</w:t>
                  </w:r>
                  <w:r>
                    <w:rPr>
                      <w:rFonts w:hint="default" w:ascii="Times New Roman" w:hAnsi="Times New Roman" w:eastAsia="Times New Roman" w:cs="Times New Roman"/>
                      <w:caps w:val="0"/>
                      <w:smallCaps w:val="0"/>
                      <w:color w:val="auto"/>
                      <w:spacing w:val="0"/>
                      <w:w w:val="100"/>
                      <w:position w:val="0"/>
                      <w:sz w:val="21"/>
                      <w:szCs w:val="21"/>
                      <w:u w:val="none" w:color="auto"/>
                    </w:rPr>
                    <w:t>×0.4</w:t>
                  </w:r>
                  <w:r>
                    <w:rPr>
                      <w:rFonts w:hint="default" w:ascii="Times New Roman" w:hAnsi="Times New Roman" w:cs="Times New Roman"/>
                      <w:caps w:val="0"/>
                      <w:smallCaps w:val="0"/>
                      <w:color w:val="auto"/>
                      <w:spacing w:val="0"/>
                      <w:w w:val="100"/>
                      <w:position w:val="0"/>
                      <w:sz w:val="21"/>
                      <w:szCs w:val="21"/>
                      <w:u w:val="none" w:color="auto"/>
                      <w:lang w:val="en-US" w:eastAsia="zh-CN"/>
                    </w:rPr>
                    <w:t>8</w:t>
                  </w:r>
                  <w:r>
                    <w:rPr>
                      <w:rFonts w:hint="default" w:ascii="Times New Roman" w:hAnsi="Times New Roman" w:eastAsia="Times New Roman" w:cs="Times New Roman"/>
                      <w:caps w:val="0"/>
                      <w:smallCaps w:val="0"/>
                      <w:color w:val="auto"/>
                      <w:spacing w:val="0"/>
                      <w:w w:val="100"/>
                      <w:position w:val="0"/>
                      <w:sz w:val="21"/>
                      <w:szCs w:val="21"/>
                      <w:u w:val="none" w:color="auto"/>
                    </w:rPr>
                    <w:t>g/cm</w:t>
                  </w:r>
                  <w:r>
                    <w:rPr>
                      <w:rFonts w:hint="default" w:ascii="Times New Roman" w:hAnsi="Times New Roman" w:cs="Times New Roman"/>
                      <w:caps w:val="0"/>
                      <w:smallCaps w:val="0"/>
                      <w:color w:val="auto"/>
                      <w:spacing w:val="0"/>
                      <w:w w:val="100"/>
                      <w:position w:val="0"/>
                      <w:sz w:val="21"/>
                      <w:szCs w:val="21"/>
                      <w:u w:val="none" w:color="auto"/>
                      <w:vertAlign w:val="superscript"/>
                      <w:lang w:val="en-US" w:eastAsia="zh-CN"/>
                    </w:rPr>
                    <w:t>3</w:t>
                  </w:r>
                  <w:r>
                    <w:rPr>
                      <w:rFonts w:hint="eastAsia" w:cs="Times New Roman"/>
                      <w:caps w:val="0"/>
                      <w:smallCaps w:val="0"/>
                      <w:color w:val="auto"/>
                      <w:spacing w:val="0"/>
                      <w:w w:val="100"/>
                      <w:position w:val="0"/>
                      <w:sz w:val="21"/>
                      <w:szCs w:val="21"/>
                      <w:u w:val="none" w:color="auto"/>
                      <w:lang w:eastAsia="zh-CN"/>
                    </w:rPr>
                    <w:t>；</w:t>
                  </w:r>
                </w:p>
                <w:p w14:paraId="0CA6E18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caps w:val="0"/>
                      <w:smallCaps w:val="0"/>
                      <w:color w:val="auto"/>
                      <w:spacing w:val="0"/>
                      <w:w w:val="100"/>
                      <w:position w:val="0"/>
                      <w:sz w:val="21"/>
                      <w:szCs w:val="21"/>
                      <w:u w:val="none" w:color="auto"/>
                      <w:lang w:eastAsia="zh-CN"/>
                    </w:rPr>
                  </w:pPr>
                  <w:r>
                    <w:rPr>
                      <w:rFonts w:hint="eastAsia"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lang w:val="en-US" w:eastAsia="zh-CN"/>
                    </w:rPr>
                    <w:t>3</w:t>
                  </w:r>
                  <w:r>
                    <w:rPr>
                      <w:rFonts w:hint="default" w:ascii="Times New Roman" w:hAnsi="Times New Roman"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rPr>
                    <w:t>吸附风速为</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1.03</w:t>
                  </w:r>
                  <w:r>
                    <w:rPr>
                      <w:rFonts w:hint="default" w:ascii="Times New Roman" w:hAnsi="Times New Roman" w:eastAsia="Times New Roman" w:cs="Times New Roman"/>
                      <w:caps w:val="0"/>
                      <w:smallCaps w:val="0"/>
                      <w:color w:val="auto"/>
                      <w:spacing w:val="0"/>
                      <w:w w:val="100"/>
                      <w:position w:val="0"/>
                      <w:sz w:val="21"/>
                      <w:szCs w:val="21"/>
                      <w:u w:val="none" w:color="auto"/>
                    </w:rPr>
                    <w:t>m/s=</w:t>
                  </w:r>
                  <w:r>
                    <w:rPr>
                      <w:rFonts w:hint="default" w:ascii="Times New Roman" w:hAnsi="Times New Roman" w:cs="Times New Roman"/>
                      <w:caps w:val="0"/>
                      <w:smallCaps w:val="0"/>
                      <w:color w:val="auto"/>
                      <w:spacing w:val="0"/>
                      <w:w w:val="100"/>
                      <w:position w:val="0"/>
                      <w:sz w:val="21"/>
                      <w:szCs w:val="21"/>
                      <w:u w:val="none" w:color="auto"/>
                    </w:rPr>
                    <w:t>处理风量</w:t>
                  </w:r>
                  <w:r>
                    <w:rPr>
                      <w:rFonts w:hint="default" w:ascii="Times New Roman" w:hAnsi="Times New Roman" w:eastAsia="Times New Roman" w:cs="Times New Roman"/>
                      <w:caps w:val="0"/>
                      <w:smallCaps w:val="0"/>
                      <w:color w:val="auto"/>
                      <w:spacing w:val="0"/>
                      <w:w w:val="100"/>
                      <w:position w:val="0"/>
                      <w:sz w:val="21"/>
                      <w:szCs w:val="21"/>
                      <w:u w:val="none" w:color="auto"/>
                    </w:rPr>
                    <w:t>÷3600s÷</w:t>
                  </w:r>
                  <w:r>
                    <w:rPr>
                      <w:rFonts w:hint="default" w:ascii="Times New Roman" w:hAnsi="Times New Roman" w:cs="Times New Roman"/>
                      <w:caps w:val="0"/>
                      <w:smallCaps w:val="0"/>
                      <w:color w:val="auto"/>
                      <w:spacing w:val="0"/>
                      <w:w w:val="100"/>
                      <w:position w:val="0"/>
                      <w:sz w:val="21"/>
                      <w:szCs w:val="21"/>
                      <w:u w:val="none" w:color="auto"/>
                      <w:lang w:val="en-US" w:eastAsia="zh-CN"/>
                    </w:rPr>
                    <w:t>单层活性炭横截面积</w:t>
                  </w:r>
                  <w:r>
                    <w:rPr>
                      <w:rFonts w:hint="default" w:ascii="Times New Roman" w:hAnsi="Times New Roman" w:cs="Times New Roman"/>
                      <w:caps w:val="0"/>
                      <w:smallCaps w:val="0"/>
                      <w:color w:val="auto"/>
                      <w:spacing w:val="0"/>
                      <w:w w:val="100"/>
                      <w:position w:val="0"/>
                      <w:sz w:val="21"/>
                      <w:szCs w:val="21"/>
                      <w:u w:val="none" w:color="auto"/>
                    </w:rPr>
                    <w:t xml:space="preserve"> </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eastAsia" w:cs="Times New Roman"/>
                      <w:caps w:val="0"/>
                      <w:smallCaps w:val="0"/>
                      <w:color w:val="auto"/>
                      <w:spacing w:val="0"/>
                      <w:w w:val="100"/>
                      <w:position w:val="0"/>
                      <w:sz w:val="21"/>
                      <w:szCs w:val="21"/>
                      <w:u w:val="none" w:color="auto"/>
                      <w:lang w:val="en-US" w:eastAsia="zh-CN"/>
                    </w:rPr>
                    <w:t>10</w:t>
                  </w:r>
                  <w:r>
                    <w:rPr>
                      <w:rFonts w:hint="default" w:ascii="Times New Roman" w:hAnsi="Times New Roman" w:eastAsia="Times New Roman" w:cs="Times New Roman"/>
                      <w:caps w:val="0"/>
                      <w:smallCaps w:val="0"/>
                      <w:color w:val="auto"/>
                      <w:spacing w:val="0"/>
                      <w:w w:val="100"/>
                      <w:position w:val="0"/>
                      <w:sz w:val="21"/>
                      <w:szCs w:val="21"/>
                      <w:u w:val="none" w:color="auto"/>
                    </w:rPr>
                    <w:t>000m</w:t>
                  </w:r>
                  <w:r>
                    <w:rPr>
                      <w:rFonts w:hint="default" w:ascii="Times New Roman" w:hAnsi="Times New Roman" w:cs="Times New Roman"/>
                      <w:caps w:val="0"/>
                      <w:smallCaps w:val="0"/>
                      <w:color w:val="auto"/>
                      <w:spacing w:val="0"/>
                      <w:w w:val="100"/>
                      <w:position w:val="0"/>
                      <w:sz w:val="21"/>
                      <w:szCs w:val="21"/>
                      <w:u w:val="none" w:color="auto"/>
                      <w:vertAlign w:val="superscript"/>
                      <w:lang w:val="en-US" w:eastAsia="zh-CN"/>
                    </w:rPr>
                    <w:t>3</w:t>
                  </w:r>
                  <w:r>
                    <w:rPr>
                      <w:rFonts w:hint="default" w:ascii="Times New Roman" w:hAnsi="Times New Roman" w:eastAsia="Times New Roman" w:cs="Times New Roman"/>
                      <w:caps w:val="0"/>
                      <w:smallCaps w:val="0"/>
                      <w:color w:val="auto"/>
                      <w:spacing w:val="0"/>
                      <w:w w:val="100"/>
                      <w:position w:val="0"/>
                      <w:sz w:val="21"/>
                      <w:szCs w:val="21"/>
                      <w:u w:val="none" w:color="auto"/>
                    </w:rPr>
                    <w:t>/h÷3600s÷</w:t>
                  </w:r>
                  <w:r>
                    <w:rPr>
                      <w:rFonts w:hint="eastAsia" w:eastAsia="宋体" w:cs="Times New Roman"/>
                      <w:caps w:val="0"/>
                      <w:smallCaps w:val="0"/>
                      <w:color w:val="auto"/>
                      <w:spacing w:val="0"/>
                      <w:w w:val="100"/>
                      <w:position w:val="0"/>
                      <w:sz w:val="21"/>
                      <w:szCs w:val="21"/>
                      <w:u w:val="none" w:color="auto"/>
                      <w:lang w:eastAsia="zh-CN"/>
                    </w:rPr>
                    <w:t>（</w:t>
                  </w:r>
                  <w:r>
                    <w:rPr>
                      <w:rFonts w:hint="eastAsia" w:cs="Times New Roman"/>
                      <w:caps w:val="0"/>
                      <w:smallCaps w:val="0"/>
                      <w:color w:val="auto"/>
                      <w:spacing w:val="0"/>
                      <w:w w:val="100"/>
                      <w:position w:val="0"/>
                      <w:sz w:val="21"/>
                      <w:szCs w:val="21"/>
                      <w:u w:val="none" w:color="auto"/>
                      <w:lang w:val="en-US" w:eastAsia="zh-CN"/>
                    </w:rPr>
                    <w:t>1.8</w:t>
                  </w:r>
                  <w:r>
                    <w:rPr>
                      <w:rFonts w:hint="default" w:ascii="Times New Roman" w:hAnsi="Times New Roman" w:eastAsia="Times New Roman" w:cs="Times New Roman"/>
                      <w:caps w:val="0"/>
                      <w:smallCaps w:val="0"/>
                      <w:color w:val="auto"/>
                      <w:spacing w:val="0"/>
                      <w:w w:val="100"/>
                      <w:position w:val="0"/>
                      <w:sz w:val="21"/>
                      <w:szCs w:val="21"/>
                      <w:u w:val="none" w:color="auto"/>
                    </w:rPr>
                    <w:t>m×</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w:t>
                  </w:r>
                  <w:r>
                    <w:rPr>
                      <w:rFonts w:hint="eastAsia" w:cs="Times New Roman"/>
                      <w:caps w:val="0"/>
                      <w:smallCaps w:val="0"/>
                      <w:color w:val="auto"/>
                      <w:spacing w:val="0"/>
                      <w:w w:val="100"/>
                      <w:position w:val="0"/>
                      <w:sz w:val="21"/>
                      <w:szCs w:val="21"/>
                      <w:u w:val="none" w:color="auto"/>
                      <w:lang w:val="en-US" w:eastAsia="zh-CN"/>
                    </w:rPr>
                    <w:t>5</w:t>
                  </w:r>
                  <w:r>
                    <w:rPr>
                      <w:rFonts w:hint="default" w:ascii="Times New Roman" w:hAnsi="Times New Roman" w:eastAsia="Times New Roman" w:cs="Times New Roman"/>
                      <w:caps w:val="0"/>
                      <w:smallCaps w:val="0"/>
                      <w:color w:val="auto"/>
                      <w:spacing w:val="0"/>
                      <w:w w:val="100"/>
                      <w:position w:val="0"/>
                      <w:sz w:val="21"/>
                      <w:szCs w:val="21"/>
                      <w:u w:val="none" w:color="auto"/>
                    </w:rPr>
                    <w:t>m</w:t>
                  </w:r>
                  <w:r>
                    <w:rPr>
                      <w:rFonts w:hint="default" w:ascii="Times New Roman" w:hAnsi="Times New Roman" w:cs="Times New Roman"/>
                      <w:caps w:val="0"/>
                      <w:smallCaps w:val="0"/>
                      <w:color w:val="auto"/>
                      <w:spacing w:val="0"/>
                      <w:w w:val="100"/>
                      <w:position w:val="0"/>
                      <w:sz w:val="21"/>
                      <w:szCs w:val="21"/>
                      <w:u w:val="none" w:color="auto"/>
                    </w:rPr>
                    <w:t>）</w:t>
                  </w:r>
                  <w:r>
                    <w:rPr>
                      <w:rFonts w:hint="eastAsia" w:cs="Times New Roman"/>
                      <w:caps w:val="0"/>
                      <w:smallCaps w:val="0"/>
                      <w:color w:val="auto"/>
                      <w:spacing w:val="0"/>
                      <w:w w:val="100"/>
                      <w:position w:val="0"/>
                      <w:sz w:val="21"/>
                      <w:szCs w:val="21"/>
                      <w:u w:val="none" w:color="auto"/>
                      <w:lang w:eastAsia="zh-CN"/>
                    </w:rPr>
                    <w:t>；</w:t>
                  </w:r>
                </w:p>
                <w:p w14:paraId="7000779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caps w:val="0"/>
                      <w:smallCaps w:val="0"/>
                      <w:color w:val="auto"/>
                      <w:spacing w:val="0"/>
                      <w:w w:val="100"/>
                      <w:position w:val="0"/>
                      <w:sz w:val="21"/>
                      <w:szCs w:val="21"/>
                      <w:u w:val="none" w:color="auto"/>
                      <w:lang w:eastAsia="zh-CN"/>
                    </w:rPr>
                  </w:pPr>
                  <w:r>
                    <w:rPr>
                      <w:rFonts w:hint="eastAsia"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4</w:t>
                  </w:r>
                  <w:r>
                    <w:rPr>
                      <w:rFonts w:hint="default"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rPr>
                    <w:t>停留时间为</w:t>
                  </w:r>
                  <w:r>
                    <w:rPr>
                      <w:rFonts w:hint="eastAsia" w:cs="Times New Roman"/>
                      <w:caps w:val="0"/>
                      <w:smallCaps w:val="0"/>
                      <w:color w:val="auto"/>
                      <w:spacing w:val="0"/>
                      <w:w w:val="100"/>
                      <w:position w:val="0"/>
                      <w:sz w:val="21"/>
                      <w:szCs w:val="21"/>
                      <w:lang w:val="en-US" w:eastAsia="zh-CN"/>
                    </w:rPr>
                    <w:t>0.87</w:t>
                  </w:r>
                  <w:r>
                    <w:rPr>
                      <w:rFonts w:hint="default" w:ascii="Times New Roman" w:hAnsi="Times New Roman" w:eastAsia="Times New Roman" w:cs="Times New Roman"/>
                      <w:caps w:val="0"/>
                      <w:smallCaps w:val="0"/>
                      <w:color w:val="auto"/>
                      <w:spacing w:val="0"/>
                      <w:w w:val="100"/>
                      <w:position w:val="0"/>
                      <w:sz w:val="21"/>
                      <w:szCs w:val="21"/>
                    </w:rPr>
                    <w:t>s=</w:t>
                  </w:r>
                  <w:r>
                    <w:rPr>
                      <w:rFonts w:hint="default" w:ascii="Times New Roman" w:hAnsi="Times New Roman" w:cs="Times New Roman"/>
                      <w:caps w:val="0"/>
                      <w:smallCaps w:val="0"/>
                      <w:color w:val="auto"/>
                      <w:spacing w:val="0"/>
                      <w:w w:val="100"/>
                      <w:position w:val="0"/>
                      <w:sz w:val="21"/>
                      <w:szCs w:val="21"/>
                    </w:rPr>
                    <w:t>炭层厚度</w:t>
                  </w:r>
                  <w:r>
                    <w:rPr>
                      <w:rFonts w:hint="default" w:ascii="Times New Roman" w:hAnsi="Times New Roman" w:eastAsia="Times New Roman" w:cs="Times New Roman"/>
                      <w:caps w:val="0"/>
                      <w:smallCaps w:val="0"/>
                      <w:color w:val="auto"/>
                      <w:spacing w:val="0"/>
                      <w:w w:val="100"/>
                      <w:position w:val="0"/>
                      <w:sz w:val="21"/>
                      <w:szCs w:val="21"/>
                    </w:rPr>
                    <w:t xml:space="preserve">÷ </w:t>
                  </w:r>
                  <w:r>
                    <w:rPr>
                      <w:rFonts w:hint="default" w:ascii="Times New Roman" w:hAnsi="Times New Roman" w:cs="Times New Roman"/>
                      <w:caps w:val="0"/>
                      <w:smallCaps w:val="0"/>
                      <w:color w:val="auto"/>
                      <w:spacing w:val="0"/>
                      <w:w w:val="100"/>
                      <w:position w:val="0"/>
                      <w:sz w:val="21"/>
                      <w:szCs w:val="21"/>
                    </w:rPr>
                    <w:t>吸附风速</w:t>
                  </w:r>
                  <w:r>
                    <w:rPr>
                      <w:rFonts w:hint="default" w:ascii="Times New Roman" w:hAnsi="Times New Roman" w:eastAsia="Times New Roman" w:cs="Times New Roman"/>
                      <w:caps w:val="0"/>
                      <w:smallCaps w:val="0"/>
                      <w:color w:val="auto"/>
                      <w:spacing w:val="0"/>
                      <w:w w:val="100"/>
                      <w:position w:val="0"/>
                      <w:sz w:val="21"/>
                      <w:szCs w:val="21"/>
                    </w:rPr>
                    <w:t>=</w:t>
                  </w:r>
                  <w:r>
                    <w:rPr>
                      <w:rFonts w:hint="eastAsia" w:ascii="Times New Roman" w:hAnsi="Times New Roman" w:eastAsia="宋体" w:cs="Times New Roman"/>
                      <w:caps w:val="0"/>
                      <w:smallCaps w:val="0"/>
                      <w:color w:val="auto"/>
                      <w:spacing w:val="0"/>
                      <w:w w:val="100"/>
                      <w:position w:val="0"/>
                      <w:sz w:val="21"/>
                      <w:szCs w:val="21"/>
                      <w:lang w:val="en-US" w:eastAsia="zh-CN"/>
                    </w:rPr>
                    <w:t>0.9</w:t>
                  </w:r>
                  <w:r>
                    <w:rPr>
                      <w:rFonts w:hint="default" w:ascii="Times New Roman" w:hAnsi="Times New Roman" w:eastAsia="Times New Roman" w:cs="Times New Roman"/>
                      <w:caps w:val="0"/>
                      <w:smallCaps w:val="0"/>
                      <w:color w:val="auto"/>
                      <w:spacing w:val="0"/>
                      <w:w w:val="100"/>
                      <w:position w:val="0"/>
                      <w:sz w:val="21"/>
                      <w:szCs w:val="21"/>
                    </w:rPr>
                    <w:t>m÷</w:t>
                  </w:r>
                  <w:r>
                    <w:rPr>
                      <w:rFonts w:hint="eastAsia" w:ascii="Times New Roman" w:hAnsi="Times New Roman" w:eastAsia="宋体" w:cs="Times New Roman"/>
                      <w:caps w:val="0"/>
                      <w:smallCaps w:val="0"/>
                      <w:color w:val="auto"/>
                      <w:spacing w:val="0"/>
                      <w:w w:val="100"/>
                      <w:position w:val="0"/>
                      <w:sz w:val="21"/>
                      <w:szCs w:val="21"/>
                      <w:lang w:val="en-US" w:eastAsia="zh-CN"/>
                    </w:rPr>
                    <w:t>1.03</w:t>
                  </w:r>
                  <w:r>
                    <w:rPr>
                      <w:rFonts w:hint="default" w:ascii="Times New Roman" w:hAnsi="Times New Roman" w:eastAsia="Times New Roman" w:cs="Times New Roman"/>
                      <w:caps w:val="0"/>
                      <w:smallCaps w:val="0"/>
                      <w:color w:val="auto"/>
                      <w:spacing w:val="0"/>
                      <w:w w:val="100"/>
                      <w:position w:val="0"/>
                      <w:sz w:val="21"/>
                      <w:szCs w:val="21"/>
                    </w:rPr>
                    <w:t>m/s</w:t>
                  </w:r>
                  <w:r>
                    <w:rPr>
                      <w:rFonts w:hint="eastAsia" w:cs="Times New Roman"/>
                      <w:caps w:val="0"/>
                      <w:smallCaps w:val="0"/>
                      <w:color w:val="auto"/>
                      <w:spacing w:val="0"/>
                      <w:w w:val="100"/>
                      <w:position w:val="0"/>
                      <w:sz w:val="21"/>
                      <w:szCs w:val="21"/>
                      <w:lang w:eastAsia="zh-CN"/>
                    </w:rPr>
                    <w:t>；</w:t>
                  </w:r>
                </w:p>
                <w:p w14:paraId="3F1CE6F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caps w:val="0"/>
                      <w:smallCaps w:val="0"/>
                      <w:color w:val="auto"/>
                      <w:spacing w:val="0"/>
                      <w:w w:val="100"/>
                      <w:position w:val="0"/>
                      <w:sz w:val="21"/>
                      <w:szCs w:val="21"/>
                      <w:lang w:eastAsia="zh-CN"/>
                    </w:rPr>
                  </w:pPr>
                  <w:r>
                    <w:rPr>
                      <w:rFonts w:hint="eastAsia"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lang w:val="en-US" w:eastAsia="zh-CN"/>
                    </w:rPr>
                    <w:t>5</w:t>
                  </w:r>
                  <w:r>
                    <w:rPr>
                      <w:rFonts w:hint="default" w:ascii="Times New Roman" w:hAnsi="Times New Roman"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rPr>
                    <w:t>本项目使用</w:t>
                  </w:r>
                  <w:r>
                    <w:rPr>
                      <w:rFonts w:hint="eastAsia" w:ascii="Times New Roman" w:hAnsi="Times New Roman" w:cs="Times New Roman"/>
                      <w:caps w:val="0"/>
                      <w:smallCaps w:val="0"/>
                      <w:color w:val="auto"/>
                      <w:spacing w:val="0"/>
                      <w:w w:val="100"/>
                      <w:position w:val="0"/>
                      <w:sz w:val="21"/>
                      <w:szCs w:val="21"/>
                      <w:lang w:val="en-US" w:eastAsia="zh-CN"/>
                    </w:rPr>
                    <w:t>蜂窝</w:t>
                  </w:r>
                  <w:r>
                    <w:rPr>
                      <w:rFonts w:hint="default" w:ascii="Times New Roman" w:hAnsi="Times New Roman" w:cs="Times New Roman"/>
                      <w:caps w:val="0"/>
                      <w:smallCaps w:val="0"/>
                      <w:color w:val="auto"/>
                      <w:spacing w:val="0"/>
                      <w:w w:val="100"/>
                      <w:position w:val="0"/>
                      <w:sz w:val="21"/>
                      <w:szCs w:val="21"/>
                      <w:lang w:val="en-US" w:eastAsia="zh-CN"/>
                    </w:rPr>
                    <w:t>状</w:t>
                  </w:r>
                  <w:r>
                    <w:rPr>
                      <w:rFonts w:hint="default" w:ascii="Times New Roman" w:hAnsi="Times New Roman" w:cs="Times New Roman"/>
                      <w:caps w:val="0"/>
                      <w:smallCaps w:val="0"/>
                      <w:color w:val="auto"/>
                      <w:spacing w:val="0"/>
                      <w:w w:val="100"/>
                      <w:position w:val="0"/>
                      <w:sz w:val="21"/>
                      <w:szCs w:val="21"/>
                    </w:rPr>
                    <w:t>活性炭，其碘值不低于</w:t>
                  </w:r>
                  <w:r>
                    <w:rPr>
                      <w:rFonts w:hint="eastAsia" w:ascii="Times New Roman" w:hAnsi="Times New Roman" w:eastAsia="宋体" w:cs="Times New Roman"/>
                      <w:caps w:val="0"/>
                      <w:smallCaps w:val="0"/>
                      <w:color w:val="auto"/>
                      <w:spacing w:val="0"/>
                      <w:w w:val="100"/>
                      <w:position w:val="0"/>
                      <w:sz w:val="21"/>
                      <w:szCs w:val="21"/>
                      <w:lang w:val="en-US" w:eastAsia="zh-CN"/>
                    </w:rPr>
                    <w:t>650</w:t>
                  </w:r>
                  <w:r>
                    <w:rPr>
                      <w:rFonts w:hint="default" w:ascii="Times New Roman" w:hAnsi="Times New Roman" w:eastAsia="Times New Roman" w:cs="Times New Roman"/>
                      <w:caps w:val="0"/>
                      <w:smallCaps w:val="0"/>
                      <w:color w:val="auto"/>
                      <w:spacing w:val="0"/>
                      <w:w w:val="100"/>
                      <w:position w:val="0"/>
                      <w:sz w:val="21"/>
                      <w:szCs w:val="21"/>
                    </w:rPr>
                    <w:t>mg/g</w:t>
                  </w:r>
                  <w:r>
                    <w:rPr>
                      <w:rFonts w:hint="eastAsia" w:cs="Times New Roman"/>
                      <w:caps w:val="0"/>
                      <w:smallCaps w:val="0"/>
                      <w:color w:val="auto"/>
                      <w:spacing w:val="0"/>
                      <w:w w:val="100"/>
                      <w:position w:val="0"/>
                      <w:sz w:val="21"/>
                      <w:szCs w:val="21"/>
                      <w:lang w:eastAsia="zh-CN"/>
                    </w:rPr>
                    <w:t>；</w:t>
                  </w:r>
                </w:p>
                <w:p w14:paraId="6C0BE12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cs="Times New Roman"/>
                      <w:caps w:val="0"/>
                      <w:smallCaps w:val="0"/>
                      <w:color w:val="auto"/>
                      <w:spacing w:val="0"/>
                      <w:w w:val="100"/>
                      <w:position w:val="0"/>
                      <w:sz w:val="21"/>
                      <w:szCs w:val="21"/>
                      <w:lang w:val="en-US" w:eastAsia="zh-CN"/>
                    </w:rPr>
                  </w:pPr>
                  <w:r>
                    <w:rPr>
                      <w:rFonts w:hint="eastAsia"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6</w:t>
                  </w:r>
                  <w:r>
                    <w:rPr>
                      <w:rFonts w:hint="default"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活性炭年更换频次</w:t>
                  </w:r>
                  <w:r>
                    <w:rPr>
                      <w:rFonts w:hint="eastAsia" w:cs="Times New Roman"/>
                      <w:caps w:val="0"/>
                      <w:smallCaps w:val="0"/>
                      <w:color w:val="auto"/>
                      <w:spacing w:val="0"/>
                      <w:w w:val="100"/>
                      <w:position w:val="0"/>
                      <w:sz w:val="21"/>
                      <w:szCs w:val="21"/>
                      <w:lang w:val="en-US" w:eastAsia="zh-CN"/>
                    </w:rPr>
                    <w:t>11</w:t>
                  </w:r>
                  <w:r>
                    <w:rPr>
                      <w:rFonts w:hint="default" w:ascii="Times New Roman" w:hAnsi="Times New Roman" w:cs="Times New Roman"/>
                      <w:caps w:val="0"/>
                      <w:smallCaps w:val="0"/>
                      <w:color w:val="auto"/>
                      <w:spacing w:val="0"/>
                      <w:w w:val="100"/>
                      <w:position w:val="0"/>
                      <w:sz w:val="21"/>
                      <w:szCs w:val="21"/>
                      <w:lang w:val="en-US" w:eastAsia="zh-CN"/>
                    </w:rPr>
                    <w:t>次=活性炭用量</w:t>
                  </w:r>
                  <w:r>
                    <w:rPr>
                      <w:rFonts w:hint="default" w:ascii="Times New Roman" w:hAnsi="Times New Roman" w:eastAsia="Times New Roman" w:cs="Times New Roman"/>
                      <w:caps w:val="0"/>
                      <w:smallCaps w:val="0"/>
                      <w:color w:val="auto"/>
                      <w:spacing w:val="0"/>
                      <w:w w:val="100"/>
                      <w:position w:val="0"/>
                      <w:sz w:val="21"/>
                      <w:szCs w:val="21"/>
                    </w:rPr>
                    <w:t>÷</w:t>
                  </w:r>
                  <w:r>
                    <w:rPr>
                      <w:rFonts w:hint="default" w:ascii="Times New Roman" w:hAnsi="Times New Roman" w:cs="Times New Roman"/>
                      <w:caps w:val="0"/>
                      <w:smallCaps w:val="0"/>
                      <w:color w:val="auto"/>
                      <w:spacing w:val="0"/>
                      <w:w w:val="100"/>
                      <w:position w:val="0"/>
                      <w:sz w:val="21"/>
                      <w:szCs w:val="21"/>
                      <w:lang w:val="en-US" w:eastAsia="zh-CN"/>
                    </w:rPr>
                    <w:t>二级活性炭装填量</w:t>
                  </w:r>
                  <w:r>
                    <w:rPr>
                      <w:rFonts w:hint="eastAsia" w:cs="Times New Roman"/>
                      <w:caps w:val="0"/>
                      <w:smallCaps w:val="0"/>
                      <w:color w:val="auto"/>
                      <w:spacing w:val="0"/>
                      <w:w w:val="100"/>
                      <w:position w:val="0"/>
                      <w:sz w:val="21"/>
                      <w:szCs w:val="21"/>
                      <w:lang w:val="en-US" w:eastAsia="zh-CN"/>
                    </w:rPr>
                    <w:t>；</w:t>
                  </w:r>
                </w:p>
                <w:p w14:paraId="6CDFCCD6">
                  <w:pPr>
                    <w:keepNext w:val="0"/>
                    <w:keepLines w:val="0"/>
                    <w:pageBreakBefore w:val="0"/>
                    <w:widowControl/>
                    <w:suppressLineNumbers w:val="0"/>
                    <w:kinsoku/>
                    <w:wordWrap/>
                    <w:overflowPunct/>
                    <w:topLinePunct w:val="0"/>
                    <w:autoSpaceDE/>
                    <w:autoSpaceDN/>
                    <w:bidi w:val="0"/>
                    <w:adjustRightInd w:val="0"/>
                    <w:spacing w:line="240" w:lineRule="auto"/>
                    <w:ind w:firstLine="420" w:firstLineChars="200"/>
                    <w:jc w:val="left"/>
                    <w:textAlignment w:val="center"/>
                    <w:rPr>
                      <w:rFonts w:hint="default" w:ascii="Times New Roman" w:hAnsi="Times New Roman" w:eastAsia="宋体" w:cs="Times New Roman"/>
                      <w:caps w:val="0"/>
                      <w:smallCaps w:val="0"/>
                      <w:color w:val="auto"/>
                      <w:spacing w:val="0"/>
                      <w:w w:val="100"/>
                      <w:kern w:val="0"/>
                      <w:position w:val="0"/>
                      <w:sz w:val="21"/>
                      <w:szCs w:val="21"/>
                      <w:lang w:val="en-US" w:eastAsia="zh-CN" w:bidi="ar"/>
                    </w:rPr>
                  </w:pPr>
                  <w:r>
                    <w:rPr>
                      <w:rFonts w:hint="eastAsia"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7</w:t>
                  </w:r>
                  <w:r>
                    <w:rPr>
                      <w:rFonts w:hint="default"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更换周期</w:t>
                  </w:r>
                  <w:r>
                    <w:rPr>
                      <w:rFonts w:hint="eastAsia" w:cs="Times New Roman"/>
                      <w:caps w:val="0"/>
                      <w:smallCaps w:val="0"/>
                      <w:color w:val="auto"/>
                      <w:spacing w:val="0"/>
                      <w:w w:val="100"/>
                      <w:position w:val="0"/>
                      <w:sz w:val="21"/>
                      <w:szCs w:val="21"/>
                      <w:lang w:val="en-US" w:eastAsia="zh-CN"/>
                    </w:rPr>
                    <w:t>27</w:t>
                  </w:r>
                  <w:r>
                    <w:rPr>
                      <w:rFonts w:hint="default" w:ascii="Times New Roman" w:hAnsi="Times New Roman" w:cs="Times New Roman"/>
                      <w:caps w:val="0"/>
                      <w:smallCaps w:val="0"/>
                      <w:color w:val="auto"/>
                      <w:spacing w:val="0"/>
                      <w:w w:val="100"/>
                      <w:position w:val="0"/>
                      <w:sz w:val="21"/>
                      <w:szCs w:val="21"/>
                      <w:lang w:val="en-US" w:eastAsia="zh-CN"/>
                    </w:rPr>
                    <w:t>天=年工作时间</w:t>
                  </w:r>
                  <w:r>
                    <w:rPr>
                      <w:rFonts w:hint="default" w:ascii="Times New Roman" w:hAnsi="Times New Roman" w:eastAsia="Times New Roman" w:cs="Times New Roman"/>
                      <w:caps w:val="0"/>
                      <w:smallCaps w:val="0"/>
                      <w:color w:val="auto"/>
                      <w:spacing w:val="0"/>
                      <w:w w:val="100"/>
                      <w:position w:val="0"/>
                      <w:sz w:val="21"/>
                      <w:szCs w:val="21"/>
                    </w:rPr>
                    <w:t>÷</w:t>
                  </w:r>
                  <w:r>
                    <w:rPr>
                      <w:rFonts w:hint="default" w:ascii="Times New Roman" w:hAnsi="Times New Roman" w:cs="Times New Roman"/>
                      <w:caps w:val="0"/>
                      <w:smallCaps w:val="0"/>
                      <w:color w:val="auto"/>
                      <w:spacing w:val="0"/>
                      <w:w w:val="100"/>
                      <w:position w:val="0"/>
                      <w:sz w:val="21"/>
                      <w:szCs w:val="21"/>
                      <w:lang w:val="en-US" w:eastAsia="zh-CN"/>
                    </w:rPr>
                    <w:t>更换频次</w:t>
                  </w:r>
                  <w:r>
                    <w:rPr>
                      <w:rFonts w:hint="default" w:ascii="Times New Roman" w:hAnsi="Times New Roman" w:cs="Times New Roman"/>
                      <w:caps w:val="0"/>
                      <w:smallCaps w:val="0"/>
                      <w:color w:val="auto"/>
                      <w:spacing w:val="0"/>
                      <w:w w:val="100"/>
                      <w:position w:val="0"/>
                      <w:sz w:val="21"/>
                      <w:szCs w:val="21"/>
                      <w:lang w:eastAsia="zh-CN"/>
                    </w:rPr>
                    <w:t>。</w:t>
                  </w:r>
                </w:p>
              </w:tc>
            </w:tr>
          </w:tbl>
          <w:p w14:paraId="0AAAF548">
            <w:pPr>
              <w:keepNext w:val="0"/>
              <w:keepLines w:val="0"/>
              <w:pageBreakBefore w:val="0"/>
              <w:widowControl/>
              <w:suppressLineNumbers w:val="0"/>
              <w:kinsoku/>
              <w:wordWrap/>
              <w:overflowPunct/>
              <w:topLinePunct w:val="0"/>
              <w:autoSpaceDE/>
              <w:autoSpaceDN/>
              <w:bidi w:val="0"/>
              <w:adjustRightInd w:val="0"/>
              <w:snapToGrid w:val="0"/>
              <w:spacing w:line="480" w:lineRule="atLeast"/>
              <w:ind w:firstLine="0" w:firstLineChars="0"/>
              <w:jc w:val="center"/>
              <w:textAlignment w:val="center"/>
              <w:rPr>
                <w:rFonts w:hint="default" w:ascii="Times New Roman" w:hAnsi="Times New Roman" w:eastAsia="宋体" w:cs="Times New Roman"/>
                <w:b/>
                <w:bCs/>
                <w:i w:val="0"/>
                <w:iCs w:val="0"/>
                <w:caps w:val="0"/>
                <w:smallCaps w:val="0"/>
                <w:color w:val="auto"/>
                <w:spacing w:val="0"/>
                <w:w w:val="100"/>
                <w:kern w:val="0"/>
                <w:position w:val="0"/>
                <w:sz w:val="21"/>
                <w:szCs w:val="21"/>
                <w:u w:val="none"/>
                <w:lang w:val="en-US" w:eastAsia="zh-CN" w:bidi="ar"/>
              </w:rPr>
            </w:pPr>
            <w:r>
              <w:rPr>
                <w:rFonts w:hint="eastAsia" w:cs="Times New Roman"/>
                <w:b/>
                <w:bCs/>
                <w:i w:val="0"/>
                <w:iCs w:val="0"/>
                <w:caps w:val="0"/>
                <w:smallCaps w:val="0"/>
                <w:color w:val="auto"/>
                <w:spacing w:val="0"/>
                <w:w w:val="100"/>
                <w:kern w:val="0"/>
                <w:position w:val="0"/>
                <w:sz w:val="21"/>
                <w:szCs w:val="21"/>
                <w:u w:val="none"/>
                <w:lang w:val="en-US" w:eastAsia="zh-CN" w:bidi="ar"/>
              </w:rPr>
              <w:t>表4-21</w:t>
            </w:r>
            <w:r>
              <w:rPr>
                <w:rFonts w:hint="default" w:ascii="Times New Roman" w:hAnsi="Times New Roman" w:eastAsia="宋体" w:cs="Times New Roman"/>
                <w:b/>
                <w:bCs/>
                <w:i w:val="0"/>
                <w:iCs w:val="0"/>
                <w:caps w:val="0"/>
                <w:smallCaps w:val="0"/>
                <w:color w:val="auto"/>
                <w:spacing w:val="0"/>
                <w:w w:val="100"/>
                <w:kern w:val="0"/>
                <w:position w:val="0"/>
                <w:sz w:val="21"/>
                <w:szCs w:val="21"/>
                <w:u w:val="none"/>
                <w:lang w:val="en-US" w:eastAsia="zh-CN" w:bidi="ar"/>
              </w:rPr>
              <w:t xml:space="preserve">  活性炭吸附装置参数</w:t>
            </w:r>
            <w:r>
              <w:rPr>
                <w:rFonts w:hint="eastAsia" w:cs="Times New Roman"/>
                <w:b/>
                <w:bCs/>
                <w:i w:val="0"/>
                <w:iCs w:val="0"/>
                <w:caps w:val="0"/>
                <w:smallCaps w:val="0"/>
                <w:color w:val="auto"/>
                <w:spacing w:val="0"/>
                <w:w w:val="100"/>
                <w:kern w:val="0"/>
                <w:position w:val="0"/>
                <w:sz w:val="21"/>
                <w:szCs w:val="21"/>
                <w:u w:val="none"/>
                <w:lang w:val="en-US" w:eastAsia="zh-CN" w:bidi="ar"/>
              </w:rPr>
              <w:t>（DA003</w:t>
            </w:r>
            <w:r>
              <w:rPr>
                <w:rFonts w:hint="default" w:ascii="Times New Roman" w:hAnsi="Times New Roman" w:eastAsia="宋体" w:cs="Times New Roman"/>
                <w:b/>
                <w:bCs/>
                <w:i w:val="0"/>
                <w:iCs w:val="0"/>
                <w:caps w:val="0"/>
                <w:smallCaps w:val="0"/>
                <w:color w:val="auto"/>
                <w:spacing w:val="0"/>
                <w:w w:val="100"/>
                <w:kern w:val="0"/>
                <w:position w:val="0"/>
                <w:sz w:val="21"/>
                <w:szCs w:val="21"/>
                <w:u w:val="none"/>
                <w:lang w:val="en-US" w:eastAsia="zh-CN" w:bidi="ar"/>
              </w:rPr>
              <w:t>）</w:t>
            </w:r>
          </w:p>
          <w:tbl>
            <w:tblPr>
              <w:tblStyle w:val="26"/>
              <w:tblW w:w="86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3"/>
              <w:gridCol w:w="2237"/>
              <w:gridCol w:w="3165"/>
              <w:gridCol w:w="2123"/>
            </w:tblGrid>
            <w:tr w14:paraId="3EA69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tcBorders>
                    <w:tl2br w:val="nil"/>
                    <w:tr2bl w:val="nil"/>
                  </w:tcBorders>
                  <w:noWrap/>
                  <w:vAlign w:val="center"/>
                </w:tcPr>
                <w:p w14:paraId="5D782EA7">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t>污染源</w:t>
                  </w:r>
                </w:p>
              </w:tc>
              <w:tc>
                <w:tcPr>
                  <w:tcW w:w="2237" w:type="dxa"/>
                  <w:tcBorders>
                    <w:tl2br w:val="nil"/>
                    <w:tr2bl w:val="nil"/>
                  </w:tcBorders>
                  <w:noWrap/>
                  <w:vAlign w:val="center"/>
                </w:tcPr>
                <w:p w14:paraId="090118A0">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t>系统名称</w:t>
                  </w:r>
                </w:p>
              </w:tc>
              <w:tc>
                <w:tcPr>
                  <w:tcW w:w="5288" w:type="dxa"/>
                  <w:gridSpan w:val="2"/>
                  <w:tcBorders>
                    <w:tl2br w:val="nil"/>
                    <w:tr2bl w:val="nil"/>
                  </w:tcBorders>
                  <w:noWrap/>
                  <w:vAlign w:val="center"/>
                </w:tcPr>
                <w:p w14:paraId="4A3561EC">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b/>
                      <w:bCs/>
                      <w:i w:val="0"/>
                      <w:iCs w:val="0"/>
                      <w:caps w:val="0"/>
                      <w:smallCaps w:val="0"/>
                      <w:color w:val="auto"/>
                      <w:spacing w:val="0"/>
                      <w:w w:val="100"/>
                      <w:kern w:val="0"/>
                      <w:position w:val="0"/>
                      <w:sz w:val="21"/>
                      <w:szCs w:val="21"/>
                      <w:u w:val="none" w:color="auto"/>
                      <w:lang w:val="en-US" w:eastAsia="zh-CN" w:bidi="ar"/>
                    </w:rPr>
                    <w:t>具体参数</w:t>
                  </w:r>
                </w:p>
              </w:tc>
            </w:tr>
            <w:tr w14:paraId="7B587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restart"/>
                  <w:tcBorders>
                    <w:tl2br w:val="nil"/>
                    <w:tr2bl w:val="nil"/>
                  </w:tcBorders>
                  <w:noWrap/>
                  <w:vAlign w:val="center"/>
                </w:tcPr>
                <w:p w14:paraId="7942612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排气筒</w:t>
                  </w:r>
                  <w:r>
                    <w:rPr>
                      <w:rFonts w:hint="eastAsia" w:cs="Times New Roman"/>
                      <w:i w:val="0"/>
                      <w:iCs w:val="0"/>
                      <w:caps w:val="0"/>
                      <w:smallCaps w:val="0"/>
                      <w:color w:val="auto"/>
                      <w:spacing w:val="0"/>
                      <w:w w:val="100"/>
                      <w:kern w:val="0"/>
                      <w:position w:val="0"/>
                      <w:sz w:val="21"/>
                      <w:szCs w:val="21"/>
                      <w:u w:val="none" w:color="auto"/>
                      <w:lang w:val="en-US" w:eastAsia="zh-CN" w:bidi="ar"/>
                    </w:rPr>
                    <w:t>DA003</w:t>
                  </w:r>
                </w:p>
              </w:tc>
              <w:tc>
                <w:tcPr>
                  <w:tcW w:w="2237" w:type="dxa"/>
                  <w:vMerge w:val="restart"/>
                  <w:tcBorders>
                    <w:tl2br w:val="nil"/>
                    <w:tr2bl w:val="nil"/>
                  </w:tcBorders>
                  <w:noWrap/>
                  <w:vAlign w:val="center"/>
                </w:tcPr>
                <w:p w14:paraId="371ADCB8">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二级活性炭吸附装置</w:t>
                  </w:r>
                </w:p>
              </w:tc>
              <w:tc>
                <w:tcPr>
                  <w:tcW w:w="3165" w:type="dxa"/>
                  <w:tcBorders>
                    <w:tl2br w:val="nil"/>
                    <w:tr2bl w:val="nil"/>
                  </w:tcBorders>
                  <w:noWrap/>
                  <w:vAlign w:val="center"/>
                </w:tcPr>
                <w:p w14:paraId="6DF582BA">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活性炭吸附塔数量</w:t>
                  </w:r>
                </w:p>
              </w:tc>
              <w:tc>
                <w:tcPr>
                  <w:tcW w:w="2123" w:type="dxa"/>
                  <w:tcBorders>
                    <w:tl2br w:val="nil"/>
                    <w:tr2bl w:val="nil"/>
                  </w:tcBorders>
                  <w:noWrap/>
                  <w:vAlign w:val="center"/>
                </w:tcPr>
                <w:p w14:paraId="15A2BF58">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2个</w:t>
                  </w:r>
                </w:p>
              </w:tc>
            </w:tr>
            <w:tr w14:paraId="74E0C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1256AC0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1BAA12D8">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0B5C1F88">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活性炭吸附塔处理风量</w:t>
                  </w:r>
                </w:p>
              </w:tc>
              <w:tc>
                <w:tcPr>
                  <w:tcW w:w="2123" w:type="dxa"/>
                  <w:tcBorders>
                    <w:tl2br w:val="nil"/>
                    <w:tr2bl w:val="nil"/>
                  </w:tcBorders>
                  <w:noWrap/>
                  <w:vAlign w:val="center"/>
                </w:tcPr>
                <w:p w14:paraId="4C06654B">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10</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000m</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vertAlign w:val="superscript"/>
                      <w:lang w:val="en-US" w:eastAsia="zh-CN" w:bidi="ar"/>
                    </w:rPr>
                    <w:t>3</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/h</w:t>
                  </w:r>
                </w:p>
              </w:tc>
            </w:tr>
            <w:tr w14:paraId="713C7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5B5DD75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1BA82E9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72B24746">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活性炭用量</w:t>
                  </w:r>
                </w:p>
              </w:tc>
              <w:tc>
                <w:tcPr>
                  <w:tcW w:w="2123" w:type="dxa"/>
                  <w:tcBorders>
                    <w:tl2br w:val="nil"/>
                    <w:tr2bl w:val="nil"/>
                  </w:tcBorders>
                  <w:noWrap/>
                  <w:vAlign w:val="center"/>
                </w:tcPr>
                <w:p w14:paraId="07AB55F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25.76</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t/a</w:t>
                  </w:r>
                </w:p>
              </w:tc>
            </w:tr>
            <w:tr w14:paraId="00B55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6028DCCC">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7DDC8D7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0B1AD22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单个活性炭层尺寸</w:t>
                  </w:r>
                </w:p>
              </w:tc>
              <w:tc>
                <w:tcPr>
                  <w:tcW w:w="2123" w:type="dxa"/>
                  <w:tcBorders>
                    <w:tl2br w:val="nil"/>
                    <w:tr2bl w:val="nil"/>
                  </w:tcBorders>
                  <w:noWrap/>
                  <w:vAlign w:val="center"/>
                </w:tcPr>
                <w:p w14:paraId="311D0201">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caps w:val="0"/>
                      <w:smallCaps w:val="0"/>
                      <w:color w:val="auto"/>
                      <w:spacing w:val="0"/>
                      <w:w w:val="100"/>
                      <w:position w:val="0"/>
                      <w:sz w:val="21"/>
                      <w:szCs w:val="21"/>
                      <w:u w:val="none" w:color="auto"/>
                      <w:lang w:val="en-US" w:eastAsia="zh-CN"/>
                    </w:rPr>
                    <w:t>1.8</w:t>
                  </w:r>
                  <w:r>
                    <w:rPr>
                      <w:rFonts w:hint="default" w:ascii="Times New Roman" w:hAnsi="Times New Roman" w:eastAsia="Times New Roman" w:cs="Times New Roman"/>
                      <w:caps w:val="0"/>
                      <w:smallCaps w:val="0"/>
                      <w:color w:val="auto"/>
                      <w:spacing w:val="0"/>
                      <w:w w:val="100"/>
                      <w:position w:val="0"/>
                      <w:sz w:val="21"/>
                      <w:szCs w:val="21"/>
                      <w:u w:val="none" w:color="auto"/>
                    </w:rPr>
                    <w:t>m×</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w:t>
                  </w:r>
                  <w:r>
                    <w:rPr>
                      <w:rFonts w:hint="eastAsia" w:cs="Times New Roman"/>
                      <w:caps w:val="0"/>
                      <w:smallCaps w:val="0"/>
                      <w:color w:val="auto"/>
                      <w:spacing w:val="0"/>
                      <w:w w:val="100"/>
                      <w:position w:val="0"/>
                      <w:sz w:val="21"/>
                      <w:szCs w:val="21"/>
                      <w:u w:val="none" w:color="auto"/>
                      <w:lang w:val="en-US" w:eastAsia="zh-CN"/>
                    </w:rPr>
                    <w:t>5</w:t>
                  </w:r>
                  <w:r>
                    <w:rPr>
                      <w:rFonts w:hint="default" w:ascii="Times New Roman" w:hAnsi="Times New Roman" w:eastAsia="Times New Roman" w:cs="Times New Roman"/>
                      <w:caps w:val="0"/>
                      <w:smallCaps w:val="0"/>
                      <w:color w:val="auto"/>
                      <w:spacing w:val="0"/>
                      <w:w w:val="100"/>
                      <w:position w:val="0"/>
                      <w:sz w:val="21"/>
                      <w:szCs w:val="21"/>
                      <w:u w:val="none" w:color="auto"/>
                    </w:rPr>
                    <w:t>m</w:t>
                  </w:r>
                </w:p>
              </w:tc>
            </w:tr>
            <w:tr w14:paraId="6D9C6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2CCA3E92">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3A81DB9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6BCFA77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单个活性炭层厚度×层数</w:t>
                  </w:r>
                </w:p>
              </w:tc>
              <w:tc>
                <w:tcPr>
                  <w:tcW w:w="2123" w:type="dxa"/>
                  <w:tcBorders>
                    <w:tl2br w:val="nil"/>
                    <w:tr2bl w:val="nil"/>
                  </w:tcBorders>
                  <w:noWrap/>
                  <w:vAlign w:val="center"/>
                </w:tcPr>
                <w:p w14:paraId="15C73EC7">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0.</w:t>
                  </w:r>
                  <w:r>
                    <w:rPr>
                      <w:rFonts w:hint="eastAsia"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3</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m×</w:t>
                  </w:r>
                  <w:r>
                    <w:rPr>
                      <w:rFonts w:hint="eastAsia"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3</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层</w:t>
                  </w:r>
                </w:p>
              </w:tc>
            </w:tr>
            <w:tr w14:paraId="31040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56D53CA6">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16DE9C8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6FF777A9">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蜂窝</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活性炭密度</w:t>
                  </w:r>
                </w:p>
              </w:tc>
              <w:tc>
                <w:tcPr>
                  <w:tcW w:w="2123" w:type="dxa"/>
                  <w:tcBorders>
                    <w:tl2br w:val="nil"/>
                    <w:tr2bl w:val="nil"/>
                  </w:tcBorders>
                  <w:noWrap/>
                  <w:vAlign w:val="center"/>
                </w:tcPr>
                <w:p w14:paraId="7368396A">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0.48g/cm</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vertAlign w:val="superscript"/>
                      <w:lang w:val="en-US" w:eastAsia="zh-CN" w:bidi="ar"/>
                    </w:rPr>
                    <w:t>3</w:t>
                  </w:r>
                </w:p>
              </w:tc>
            </w:tr>
            <w:tr w14:paraId="4197F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375D46B1">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199084C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12A27A87">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单级活性炭装填量</w:t>
                  </w:r>
                </w:p>
              </w:tc>
              <w:tc>
                <w:tcPr>
                  <w:tcW w:w="2123" w:type="dxa"/>
                  <w:tcBorders>
                    <w:tl2br w:val="nil"/>
                    <w:tr2bl w:val="nil"/>
                  </w:tcBorders>
                  <w:noWrap/>
                  <w:vAlign w:val="center"/>
                </w:tcPr>
                <w:p w14:paraId="5DD7B16D">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1.166</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t</w:t>
                  </w:r>
                </w:p>
              </w:tc>
            </w:tr>
            <w:tr w14:paraId="223EB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4BDCD9B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54CBF18D">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3AC277EF">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活性炭种类</w:t>
                  </w:r>
                </w:p>
              </w:tc>
              <w:tc>
                <w:tcPr>
                  <w:tcW w:w="2123" w:type="dxa"/>
                  <w:tcBorders>
                    <w:tl2br w:val="nil"/>
                    <w:tr2bl w:val="nil"/>
                  </w:tcBorders>
                  <w:noWrap/>
                  <w:vAlign w:val="center"/>
                </w:tcPr>
                <w:p w14:paraId="726D3311">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蜂窝</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状活性炭</w:t>
                  </w:r>
                </w:p>
              </w:tc>
            </w:tr>
            <w:tr w14:paraId="6427A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59164DAC">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6F8871E3">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01E36B49">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吸附风速</w:t>
                  </w:r>
                </w:p>
              </w:tc>
              <w:tc>
                <w:tcPr>
                  <w:tcW w:w="2123" w:type="dxa"/>
                  <w:tcBorders>
                    <w:tl2br w:val="nil"/>
                    <w:tr2bl w:val="nil"/>
                  </w:tcBorders>
                  <w:noWrap/>
                  <w:vAlign w:val="center"/>
                </w:tcPr>
                <w:p w14:paraId="04D5A0AA">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1.03</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m/s</w:t>
                  </w:r>
                </w:p>
              </w:tc>
            </w:tr>
            <w:tr w14:paraId="39E0A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0449F8A2">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117BDEDF">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004D6646">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停留时间</w:t>
                  </w:r>
                </w:p>
              </w:tc>
              <w:tc>
                <w:tcPr>
                  <w:tcW w:w="2123" w:type="dxa"/>
                  <w:tcBorders>
                    <w:tl2br w:val="nil"/>
                    <w:tr2bl w:val="nil"/>
                  </w:tcBorders>
                  <w:noWrap/>
                  <w:vAlign w:val="center"/>
                </w:tcPr>
                <w:p w14:paraId="0D0650C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0.87</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s</w:t>
                  </w:r>
                </w:p>
              </w:tc>
            </w:tr>
            <w:tr w14:paraId="07EE4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5C4DC9FD">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2CCD1A2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39DD22A9">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活性炭碘值</w:t>
                  </w:r>
                </w:p>
              </w:tc>
              <w:tc>
                <w:tcPr>
                  <w:tcW w:w="2123" w:type="dxa"/>
                  <w:tcBorders>
                    <w:tl2br w:val="nil"/>
                    <w:tr2bl w:val="nil"/>
                  </w:tcBorders>
                  <w:noWrap/>
                  <w:vAlign w:val="center"/>
                </w:tcPr>
                <w:p w14:paraId="1188A305">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cs="Times New Roman"/>
                      <w:caps w:val="0"/>
                      <w:smallCaps w:val="0"/>
                      <w:color w:val="auto"/>
                      <w:spacing w:val="0"/>
                      <w:w w:val="100"/>
                      <w:position w:val="0"/>
                      <w:sz w:val="21"/>
                      <w:szCs w:val="21"/>
                      <w:lang w:val="en-US" w:eastAsia="zh-CN"/>
                    </w:rPr>
                    <w:t>≥</w:t>
                  </w:r>
                  <w:r>
                    <w:rPr>
                      <w:rFonts w:hint="eastAsia" w:ascii="Times New Roman" w:hAnsi="Times New Roman" w:eastAsia="宋体" w:cs="Times New Roman"/>
                      <w:caps w:val="0"/>
                      <w:smallCaps w:val="0"/>
                      <w:color w:val="auto"/>
                      <w:spacing w:val="0"/>
                      <w:w w:val="100"/>
                      <w:position w:val="0"/>
                      <w:sz w:val="21"/>
                      <w:szCs w:val="21"/>
                      <w:lang w:val="en-US" w:eastAsia="zh-CN"/>
                    </w:rPr>
                    <w:t>650</w:t>
                  </w:r>
                  <w:r>
                    <w:rPr>
                      <w:rFonts w:hint="default" w:ascii="Times New Roman" w:hAnsi="Times New Roman" w:eastAsia="Times New Roman" w:cs="Times New Roman"/>
                      <w:caps w:val="0"/>
                      <w:smallCaps w:val="0"/>
                      <w:color w:val="auto"/>
                      <w:spacing w:val="0"/>
                      <w:w w:val="100"/>
                      <w:position w:val="0"/>
                      <w:sz w:val="21"/>
                      <w:szCs w:val="21"/>
                    </w:rPr>
                    <w:t>mg/g</w:t>
                  </w:r>
                </w:p>
              </w:tc>
            </w:tr>
            <w:tr w14:paraId="250E8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1A4B817F">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2A04E09A">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50294CF7">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lang w:val="en-US" w:eastAsia="zh-CN" w:bidi="ar-SA"/>
                    </w:rPr>
                  </w:pPr>
                  <w:r>
                    <w:rPr>
                      <w:rFonts w:hint="default" w:ascii="Times New Roman" w:hAnsi="Times New Roman" w:eastAsia="宋体" w:cs="Times New Roman"/>
                      <w:b w:val="0"/>
                      <w:bCs/>
                      <w:caps w:val="0"/>
                      <w:smallCaps w:val="0"/>
                      <w:color w:val="auto"/>
                      <w:spacing w:val="0"/>
                      <w:w w:val="100"/>
                      <w:position w:val="0"/>
                      <w:sz w:val="21"/>
                      <w:szCs w:val="21"/>
                    </w:rPr>
                    <w:t>介质温度</w:t>
                  </w:r>
                </w:p>
              </w:tc>
              <w:tc>
                <w:tcPr>
                  <w:tcW w:w="2123" w:type="dxa"/>
                  <w:tcBorders>
                    <w:tl2br w:val="nil"/>
                    <w:tr2bl w:val="nil"/>
                  </w:tcBorders>
                  <w:noWrap/>
                  <w:vAlign w:val="center"/>
                </w:tcPr>
                <w:p w14:paraId="6EA2000F">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b w:val="0"/>
                      <w:bCs/>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b w:val="0"/>
                      <w:bCs/>
                      <w:caps w:val="0"/>
                      <w:smallCaps w:val="0"/>
                      <w:color w:val="auto"/>
                      <w:spacing w:val="0"/>
                      <w:w w:val="100"/>
                      <w:position w:val="0"/>
                      <w:sz w:val="21"/>
                      <w:szCs w:val="21"/>
                    </w:rPr>
                    <w:t>＜40℃</w:t>
                  </w:r>
                </w:p>
              </w:tc>
            </w:tr>
            <w:tr w14:paraId="720EA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1F3E3287">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51083F8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47F659DF">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lang w:val="en-US" w:eastAsia="zh-CN" w:bidi="ar-SA"/>
                    </w:rPr>
                    <w:t>更换频次</w:t>
                  </w:r>
                </w:p>
              </w:tc>
              <w:tc>
                <w:tcPr>
                  <w:tcW w:w="2123" w:type="dxa"/>
                  <w:tcBorders>
                    <w:tl2br w:val="nil"/>
                    <w:tr2bl w:val="nil"/>
                  </w:tcBorders>
                  <w:noWrap/>
                  <w:vAlign w:val="center"/>
                </w:tcPr>
                <w:p w14:paraId="4E834EDD">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11</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次/年</w:t>
                  </w:r>
                </w:p>
              </w:tc>
            </w:tr>
            <w:tr w14:paraId="76DC7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jc w:val="center"/>
              </w:trPr>
              <w:tc>
                <w:tcPr>
                  <w:tcW w:w="1093" w:type="dxa"/>
                  <w:vMerge w:val="continue"/>
                  <w:tcBorders>
                    <w:tl2br w:val="nil"/>
                    <w:tr2bl w:val="nil"/>
                  </w:tcBorders>
                  <w:noWrap/>
                  <w:vAlign w:val="center"/>
                </w:tcPr>
                <w:p w14:paraId="66C096FB">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7953D126">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719C215A">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lang w:val="en-US" w:eastAsia="zh-CN" w:bidi="ar-SA"/>
                    </w:rPr>
                    <w:t>更换周期</w:t>
                  </w:r>
                </w:p>
              </w:tc>
              <w:tc>
                <w:tcPr>
                  <w:tcW w:w="2123" w:type="dxa"/>
                  <w:tcBorders>
                    <w:tl2br w:val="nil"/>
                    <w:tr2bl w:val="nil"/>
                  </w:tcBorders>
                  <w:noWrap/>
                  <w:vAlign w:val="center"/>
                </w:tcPr>
                <w:p w14:paraId="0B455744">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i w:val="0"/>
                      <w:iCs w:val="0"/>
                      <w:caps w:val="0"/>
                      <w:smallCaps w:val="0"/>
                      <w:color w:val="auto"/>
                      <w:spacing w:val="0"/>
                      <w:w w:val="100"/>
                      <w:kern w:val="0"/>
                      <w:position w:val="0"/>
                      <w:sz w:val="21"/>
                      <w:szCs w:val="21"/>
                      <w:u w:val="none" w:color="auto"/>
                      <w:lang w:val="en-US" w:eastAsia="zh-CN" w:bidi="ar"/>
                    </w:rPr>
                    <w:t>27</w:t>
                  </w: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天</w:t>
                  </w:r>
                </w:p>
              </w:tc>
            </w:tr>
            <w:tr w14:paraId="4B35F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jc w:val="center"/>
              </w:trPr>
              <w:tc>
                <w:tcPr>
                  <w:tcW w:w="1093" w:type="dxa"/>
                  <w:vMerge w:val="continue"/>
                  <w:tcBorders>
                    <w:tl2br w:val="nil"/>
                    <w:tr2bl w:val="nil"/>
                  </w:tcBorders>
                  <w:noWrap/>
                  <w:vAlign w:val="center"/>
                </w:tcPr>
                <w:p w14:paraId="2C04BA6F">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2237" w:type="dxa"/>
                  <w:vMerge w:val="continue"/>
                  <w:tcBorders>
                    <w:tl2br w:val="nil"/>
                    <w:tr2bl w:val="nil"/>
                  </w:tcBorders>
                  <w:noWrap/>
                  <w:vAlign w:val="center"/>
                </w:tcPr>
                <w:p w14:paraId="004DE600">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p>
              </w:tc>
              <w:tc>
                <w:tcPr>
                  <w:tcW w:w="3165" w:type="dxa"/>
                  <w:tcBorders>
                    <w:tl2br w:val="nil"/>
                    <w:tr2bl w:val="nil"/>
                  </w:tcBorders>
                  <w:noWrap/>
                  <w:vAlign w:val="center"/>
                </w:tcPr>
                <w:p w14:paraId="4C14C284">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bidi="ar-SA"/>
                    </w:rPr>
                  </w:pPr>
                  <w:r>
                    <w:rPr>
                      <w:rFonts w:hint="default" w:ascii="Times New Roman" w:hAnsi="Times New Roman" w:eastAsia="宋体" w:cs="Times New Roman"/>
                      <w:caps w:val="0"/>
                      <w:smallCaps w:val="0"/>
                      <w:color w:val="auto"/>
                      <w:spacing w:val="0"/>
                      <w:w w:val="100"/>
                      <w:position w:val="0"/>
                      <w:sz w:val="21"/>
                      <w:szCs w:val="21"/>
                      <w:lang w:val="en-US" w:eastAsia="zh-CN" w:bidi="ar-SA"/>
                    </w:rPr>
                    <w:t>废活性炭产生量</w:t>
                  </w:r>
                </w:p>
              </w:tc>
              <w:tc>
                <w:tcPr>
                  <w:tcW w:w="2123" w:type="dxa"/>
                  <w:tcBorders>
                    <w:tl2br w:val="nil"/>
                    <w:tr2bl w:val="nil"/>
                  </w:tcBorders>
                  <w:noWrap/>
                  <w:vAlign w:val="center"/>
                </w:tcPr>
                <w:p w14:paraId="28D3F716">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eastAsia" w:cs="Times New Roman"/>
                      <w:caps w:val="0"/>
                      <w:smallCaps w:val="0"/>
                      <w:color w:val="auto"/>
                      <w:spacing w:val="0"/>
                      <w:w w:val="100"/>
                      <w:kern w:val="0"/>
                      <w:position w:val="0"/>
                      <w:sz w:val="21"/>
                      <w:szCs w:val="21"/>
                      <w:lang w:val="en-US" w:eastAsia="zh-CN" w:bidi="ar"/>
                    </w:rPr>
                    <w:t>31.556</w:t>
                  </w:r>
                  <w:r>
                    <w:rPr>
                      <w:rFonts w:hint="default" w:ascii="Times New Roman" w:hAnsi="Times New Roman" w:eastAsia="宋体" w:cs="Times New Roman"/>
                      <w:caps w:val="0"/>
                      <w:smallCaps w:val="0"/>
                      <w:color w:val="auto"/>
                      <w:spacing w:val="0"/>
                      <w:w w:val="100"/>
                      <w:kern w:val="0"/>
                      <w:position w:val="0"/>
                      <w:sz w:val="21"/>
                      <w:szCs w:val="21"/>
                      <w:lang w:val="en-US" w:eastAsia="zh-CN" w:bidi="ar"/>
                    </w:rPr>
                    <w:t>t/a</w:t>
                  </w:r>
                </w:p>
              </w:tc>
            </w:tr>
            <w:tr w14:paraId="3163A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8618" w:type="dxa"/>
                  <w:gridSpan w:val="4"/>
                  <w:tcBorders>
                    <w:tl2br w:val="nil"/>
                    <w:tr2bl w:val="nil"/>
                  </w:tcBorders>
                  <w:noWrap/>
                  <w:vAlign w:val="center"/>
                </w:tcPr>
                <w:p w14:paraId="2E598E9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pPr>
                  <w:r>
                    <w:rPr>
                      <w:rFonts w:hint="default" w:ascii="Times New Roman" w:hAnsi="Times New Roman" w:eastAsia="宋体" w:cs="Times New Roman"/>
                      <w:i w:val="0"/>
                      <w:iCs w:val="0"/>
                      <w:caps w:val="0"/>
                      <w:smallCaps w:val="0"/>
                      <w:color w:val="auto"/>
                      <w:spacing w:val="0"/>
                      <w:w w:val="100"/>
                      <w:kern w:val="0"/>
                      <w:position w:val="0"/>
                      <w:sz w:val="21"/>
                      <w:szCs w:val="21"/>
                      <w:u w:val="none" w:color="auto"/>
                      <w:lang w:val="en-US" w:eastAsia="zh-CN" w:bidi="ar"/>
                    </w:rPr>
                    <w:t>注：</w:t>
                  </w:r>
                </w:p>
                <w:p w14:paraId="24A20C1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caps w:val="0"/>
                      <w:smallCaps w:val="0"/>
                      <w:color w:val="auto"/>
                      <w:spacing w:val="0"/>
                      <w:w w:val="100"/>
                      <w:position w:val="0"/>
                      <w:sz w:val="21"/>
                      <w:szCs w:val="21"/>
                      <w:u w:val="none" w:color="auto"/>
                      <w:lang w:val="en-US" w:eastAsia="zh-CN"/>
                    </w:rPr>
                  </w:pPr>
                  <w:r>
                    <w:rPr>
                      <w:rFonts w:hint="eastAsia"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lang w:val="en-US" w:eastAsia="zh-CN"/>
                    </w:rPr>
                    <w:t>1</w:t>
                  </w:r>
                  <w:r>
                    <w:rPr>
                      <w:rFonts w:hint="default" w:ascii="Times New Roman" w:hAnsi="Times New Roman" w:cs="Times New Roman"/>
                      <w:caps w:val="0"/>
                      <w:smallCaps w:val="0"/>
                      <w:color w:val="auto"/>
                      <w:spacing w:val="0"/>
                      <w:w w:val="100"/>
                      <w:position w:val="0"/>
                      <w:sz w:val="21"/>
                      <w:szCs w:val="21"/>
                      <w:u w:val="none" w:color="auto"/>
                      <w:lang w:eastAsia="zh-CN"/>
                    </w:rPr>
                    <w:t>）</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根据《现代涂装手册》</w:t>
                  </w:r>
                  <w:r>
                    <w:rPr>
                      <w:rFonts w:hint="eastAsia" w:cs="Times New Roman"/>
                      <w:b w:val="0"/>
                      <w:bCs w:val="0"/>
                      <w:caps w:val="0"/>
                      <w:smallCaps w:val="0"/>
                      <w:color w:val="auto"/>
                      <w:spacing w:val="0"/>
                      <w:w w:val="100"/>
                      <w:kern w:val="0"/>
                      <w:position w:val="0"/>
                      <w:sz w:val="21"/>
                      <w:szCs w:val="21"/>
                      <w:lang w:val="en-US" w:eastAsia="zh-CN"/>
                    </w:rPr>
                    <w:t>（</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化学工业出版社，陈治良主编），理论上活性炭吸附量为0.25gVOCs/g，活性炭吸附饱和率按90%计。根据前文核算，</w:t>
                  </w:r>
                  <w:r>
                    <w:rPr>
                      <w:rFonts w:hint="eastAsia" w:cs="Times New Roman"/>
                      <w:b w:val="0"/>
                      <w:bCs w:val="0"/>
                      <w:caps w:val="0"/>
                      <w:smallCaps w:val="0"/>
                      <w:color w:val="auto"/>
                      <w:spacing w:val="0"/>
                      <w:w w:val="100"/>
                      <w:kern w:val="0"/>
                      <w:position w:val="0"/>
                      <w:sz w:val="21"/>
                      <w:szCs w:val="21"/>
                      <w:lang w:val="en-US" w:eastAsia="zh-CN"/>
                    </w:rPr>
                    <w:t>DA003</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配套的二级活性炭吸附装置吸附有机废气量为</w:t>
                  </w:r>
                  <w:r>
                    <w:rPr>
                      <w:rFonts w:hint="eastAsia" w:cs="Times New Roman"/>
                      <w:b w:val="0"/>
                      <w:bCs w:val="0"/>
                      <w:caps w:val="0"/>
                      <w:smallCaps w:val="0"/>
                      <w:color w:val="auto"/>
                      <w:spacing w:val="0"/>
                      <w:w w:val="100"/>
                      <w:kern w:val="0"/>
                      <w:position w:val="0"/>
                      <w:sz w:val="21"/>
                      <w:szCs w:val="21"/>
                      <w:lang w:val="en-US" w:eastAsia="zh-CN"/>
                    </w:rPr>
                    <w:t>5.796</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t/a，则活性炭用量</w:t>
                  </w:r>
                  <w:r>
                    <w:rPr>
                      <w:rFonts w:hint="eastAsia" w:cs="Times New Roman"/>
                      <w:b w:val="0"/>
                      <w:bCs w:val="0"/>
                      <w:caps w:val="0"/>
                      <w:smallCaps w:val="0"/>
                      <w:color w:val="auto"/>
                      <w:spacing w:val="0"/>
                      <w:w w:val="100"/>
                      <w:kern w:val="0"/>
                      <w:position w:val="0"/>
                      <w:sz w:val="21"/>
                      <w:szCs w:val="21"/>
                      <w:lang w:val="en-US" w:eastAsia="zh-CN"/>
                    </w:rPr>
                    <w:t>25.76</w:t>
                  </w:r>
                  <w:r>
                    <w:rPr>
                      <w:rFonts w:hint="default" w:ascii="Times New Roman" w:hAnsi="Times New Roman" w:eastAsia="宋体" w:cs="Times New Roman"/>
                      <w:b w:val="0"/>
                      <w:bCs w:val="0"/>
                      <w:caps w:val="0"/>
                      <w:smallCaps w:val="0"/>
                      <w:color w:val="auto"/>
                      <w:spacing w:val="0"/>
                      <w:w w:val="100"/>
                      <w:kern w:val="0"/>
                      <w:position w:val="0"/>
                      <w:sz w:val="21"/>
                      <w:szCs w:val="21"/>
                      <w:lang w:val="en-US" w:eastAsia="zh-CN"/>
                    </w:rPr>
                    <w:t>t/a=</w:t>
                  </w:r>
                  <w:r>
                    <w:rPr>
                      <w:rFonts w:hint="eastAsia" w:cs="Times New Roman"/>
                      <w:b w:val="0"/>
                      <w:bCs w:val="0"/>
                      <w:caps w:val="0"/>
                      <w:smallCaps w:val="0"/>
                      <w:color w:val="auto"/>
                      <w:spacing w:val="0"/>
                      <w:w w:val="100"/>
                      <w:kern w:val="0"/>
                      <w:position w:val="0"/>
                      <w:sz w:val="21"/>
                      <w:szCs w:val="21"/>
                      <w:lang w:val="en-US" w:eastAsia="zh-CN"/>
                    </w:rPr>
                    <w:t>5.796</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default" w:ascii="Times New Roman" w:hAnsi="Times New Roman" w:cs="Times New Roman"/>
                      <w:caps w:val="0"/>
                      <w:smallCaps w:val="0"/>
                      <w:color w:val="auto"/>
                      <w:spacing w:val="0"/>
                      <w:w w:val="100"/>
                      <w:position w:val="0"/>
                      <w:sz w:val="21"/>
                      <w:szCs w:val="21"/>
                      <w:u w:val="none" w:color="auto"/>
                      <w:lang w:val="en-US" w:eastAsia="zh-CN"/>
                    </w:rPr>
                    <w:t>0.25</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default" w:ascii="Times New Roman" w:hAnsi="Times New Roman" w:cs="Times New Roman"/>
                      <w:caps w:val="0"/>
                      <w:smallCaps w:val="0"/>
                      <w:color w:val="auto"/>
                      <w:spacing w:val="0"/>
                      <w:w w:val="100"/>
                      <w:position w:val="0"/>
                      <w:sz w:val="21"/>
                      <w:szCs w:val="21"/>
                      <w:u w:val="none" w:color="auto"/>
                      <w:lang w:val="en-US" w:eastAsia="zh-CN"/>
                    </w:rPr>
                    <w:t>0.9</w:t>
                  </w:r>
                  <w:r>
                    <w:rPr>
                      <w:rFonts w:hint="eastAsia" w:cs="Times New Roman"/>
                      <w:caps w:val="0"/>
                      <w:smallCaps w:val="0"/>
                      <w:color w:val="auto"/>
                      <w:spacing w:val="0"/>
                      <w:w w:val="100"/>
                      <w:position w:val="0"/>
                      <w:sz w:val="21"/>
                      <w:szCs w:val="21"/>
                      <w:u w:val="none" w:color="auto"/>
                      <w:lang w:val="en-US" w:eastAsia="zh-CN"/>
                    </w:rPr>
                    <w:t>；</w:t>
                  </w:r>
                </w:p>
                <w:p w14:paraId="5E03564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cs="Times New Roman"/>
                      <w:caps w:val="0"/>
                      <w:smallCaps w:val="0"/>
                      <w:color w:val="auto"/>
                      <w:spacing w:val="0"/>
                      <w:w w:val="100"/>
                      <w:position w:val="0"/>
                      <w:sz w:val="21"/>
                      <w:szCs w:val="21"/>
                      <w:u w:val="none" w:color="auto"/>
                      <w:lang w:eastAsia="zh-CN"/>
                    </w:rPr>
                  </w:pPr>
                  <w:r>
                    <w:rPr>
                      <w:rFonts w:hint="eastAsia"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lang w:val="en-US" w:eastAsia="zh-CN"/>
                    </w:rPr>
                    <w:t>2</w:t>
                  </w:r>
                  <w:r>
                    <w:rPr>
                      <w:rFonts w:hint="default" w:ascii="Times New Roman" w:hAnsi="Times New Roman"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rPr>
                    <w:t>活性炭装填量为</w:t>
                  </w:r>
                  <w:r>
                    <w:rPr>
                      <w:rFonts w:hint="eastAsia" w:cs="Times New Roman"/>
                      <w:caps w:val="0"/>
                      <w:smallCaps w:val="0"/>
                      <w:color w:val="auto"/>
                      <w:spacing w:val="0"/>
                      <w:w w:val="100"/>
                      <w:position w:val="0"/>
                      <w:sz w:val="21"/>
                      <w:szCs w:val="21"/>
                      <w:u w:val="none" w:color="auto"/>
                      <w:lang w:val="en-US" w:eastAsia="zh-CN"/>
                    </w:rPr>
                    <w:t>1.166</w:t>
                  </w:r>
                  <w:r>
                    <w:rPr>
                      <w:rFonts w:hint="default" w:ascii="Times New Roman" w:hAnsi="Times New Roman" w:eastAsia="Times New Roman" w:cs="Times New Roman"/>
                      <w:caps w:val="0"/>
                      <w:smallCaps w:val="0"/>
                      <w:color w:val="auto"/>
                      <w:spacing w:val="0"/>
                      <w:w w:val="100"/>
                      <w:position w:val="0"/>
                      <w:sz w:val="21"/>
                      <w:szCs w:val="21"/>
                      <w:u w:val="none" w:color="auto"/>
                    </w:rPr>
                    <w:t>t=</w:t>
                  </w:r>
                  <w:r>
                    <w:rPr>
                      <w:rFonts w:hint="default" w:ascii="Times New Roman" w:hAnsi="Times New Roman" w:cs="Times New Roman"/>
                      <w:caps w:val="0"/>
                      <w:smallCaps w:val="0"/>
                      <w:color w:val="auto"/>
                      <w:spacing w:val="0"/>
                      <w:w w:val="100"/>
                      <w:position w:val="0"/>
                      <w:sz w:val="21"/>
                      <w:szCs w:val="21"/>
                      <w:u w:val="none" w:color="auto"/>
                    </w:rPr>
                    <w:t>活性炭层尺寸</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default" w:ascii="Times New Roman" w:hAnsi="Times New Roman" w:cs="Times New Roman"/>
                      <w:caps w:val="0"/>
                      <w:smallCaps w:val="0"/>
                      <w:color w:val="auto"/>
                      <w:spacing w:val="0"/>
                      <w:w w:val="100"/>
                      <w:position w:val="0"/>
                      <w:sz w:val="21"/>
                      <w:szCs w:val="21"/>
                      <w:u w:val="none" w:color="auto"/>
                    </w:rPr>
                    <w:t>层数</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default" w:ascii="Times New Roman" w:hAnsi="Times New Roman" w:cs="Times New Roman"/>
                      <w:caps w:val="0"/>
                      <w:smallCaps w:val="0"/>
                      <w:color w:val="auto"/>
                      <w:spacing w:val="0"/>
                      <w:w w:val="100"/>
                      <w:position w:val="0"/>
                      <w:sz w:val="21"/>
                      <w:szCs w:val="21"/>
                      <w:u w:val="none" w:color="auto"/>
                    </w:rPr>
                    <w:t>填充密度</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w:t>
                  </w:r>
                  <w:r>
                    <w:rPr>
                      <w:rFonts w:hint="eastAsia" w:ascii="Times New Roman" w:hAnsi="Times New Roman" w:cs="Times New Roman"/>
                      <w:caps w:val="0"/>
                      <w:smallCaps w:val="0"/>
                      <w:color w:val="auto"/>
                      <w:spacing w:val="0"/>
                      <w:w w:val="100"/>
                      <w:position w:val="0"/>
                      <w:sz w:val="21"/>
                      <w:szCs w:val="21"/>
                      <w:u w:val="none" w:color="auto"/>
                      <w:lang w:val="en-US" w:eastAsia="zh-CN"/>
                    </w:rPr>
                    <w:t>.8</w:t>
                  </w:r>
                  <w:r>
                    <w:rPr>
                      <w:rFonts w:hint="default" w:ascii="Times New Roman" w:hAnsi="Times New Roman" w:eastAsia="Times New Roman" w:cs="Times New Roman"/>
                      <w:caps w:val="0"/>
                      <w:smallCaps w:val="0"/>
                      <w:color w:val="auto"/>
                      <w:spacing w:val="0"/>
                      <w:w w:val="100"/>
                      <w:position w:val="0"/>
                      <w:sz w:val="21"/>
                      <w:szCs w:val="21"/>
                      <w:u w:val="none" w:color="auto"/>
                    </w:rPr>
                    <w:t>m×</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w:t>
                  </w:r>
                  <w:r>
                    <w:rPr>
                      <w:rFonts w:hint="eastAsia" w:cs="Times New Roman"/>
                      <w:caps w:val="0"/>
                      <w:smallCaps w:val="0"/>
                      <w:color w:val="auto"/>
                      <w:spacing w:val="0"/>
                      <w:w w:val="100"/>
                      <w:position w:val="0"/>
                      <w:sz w:val="21"/>
                      <w:szCs w:val="21"/>
                      <w:u w:val="none" w:color="auto"/>
                      <w:lang w:val="en-US" w:eastAsia="zh-CN"/>
                    </w:rPr>
                    <w:t>5</w:t>
                  </w:r>
                  <w:r>
                    <w:rPr>
                      <w:rFonts w:hint="default" w:ascii="Times New Roman" w:hAnsi="Times New Roman" w:eastAsia="Times New Roman" w:cs="Times New Roman"/>
                      <w:caps w:val="0"/>
                      <w:smallCaps w:val="0"/>
                      <w:color w:val="auto"/>
                      <w:spacing w:val="0"/>
                      <w:w w:val="100"/>
                      <w:position w:val="0"/>
                      <w:sz w:val="21"/>
                      <w:szCs w:val="21"/>
                      <w:u w:val="none" w:color="auto"/>
                    </w:rPr>
                    <w:t>m×0.3m/</w:t>
                  </w:r>
                  <w:r>
                    <w:rPr>
                      <w:rFonts w:hint="default" w:ascii="Times New Roman" w:hAnsi="Times New Roman" w:cs="Times New Roman"/>
                      <w:caps w:val="0"/>
                      <w:smallCaps w:val="0"/>
                      <w:color w:val="auto"/>
                      <w:spacing w:val="0"/>
                      <w:w w:val="100"/>
                      <w:position w:val="0"/>
                      <w:sz w:val="21"/>
                      <w:szCs w:val="21"/>
                      <w:u w:val="none" w:color="auto"/>
                    </w:rPr>
                    <w:t>层</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3</w:t>
                  </w:r>
                  <w:r>
                    <w:rPr>
                      <w:rFonts w:hint="default" w:ascii="Times New Roman" w:hAnsi="Times New Roman" w:cs="Times New Roman"/>
                      <w:caps w:val="0"/>
                      <w:smallCaps w:val="0"/>
                      <w:color w:val="auto"/>
                      <w:spacing w:val="0"/>
                      <w:w w:val="100"/>
                      <w:position w:val="0"/>
                      <w:sz w:val="21"/>
                      <w:szCs w:val="21"/>
                      <w:u w:val="none" w:color="auto"/>
                    </w:rPr>
                    <w:t>层</w:t>
                  </w:r>
                  <w:r>
                    <w:rPr>
                      <w:rFonts w:hint="default" w:ascii="Times New Roman" w:hAnsi="Times New Roman" w:eastAsia="Times New Roman" w:cs="Times New Roman"/>
                      <w:caps w:val="0"/>
                      <w:smallCaps w:val="0"/>
                      <w:color w:val="auto"/>
                      <w:spacing w:val="0"/>
                      <w:w w:val="100"/>
                      <w:position w:val="0"/>
                      <w:sz w:val="21"/>
                      <w:szCs w:val="21"/>
                      <w:u w:val="none" w:color="auto"/>
                    </w:rPr>
                    <w:t>×0.4</w:t>
                  </w:r>
                  <w:r>
                    <w:rPr>
                      <w:rFonts w:hint="default" w:ascii="Times New Roman" w:hAnsi="Times New Roman" w:cs="Times New Roman"/>
                      <w:caps w:val="0"/>
                      <w:smallCaps w:val="0"/>
                      <w:color w:val="auto"/>
                      <w:spacing w:val="0"/>
                      <w:w w:val="100"/>
                      <w:position w:val="0"/>
                      <w:sz w:val="21"/>
                      <w:szCs w:val="21"/>
                      <w:u w:val="none" w:color="auto"/>
                      <w:lang w:val="en-US" w:eastAsia="zh-CN"/>
                    </w:rPr>
                    <w:t>8</w:t>
                  </w:r>
                  <w:r>
                    <w:rPr>
                      <w:rFonts w:hint="default" w:ascii="Times New Roman" w:hAnsi="Times New Roman" w:eastAsia="Times New Roman" w:cs="Times New Roman"/>
                      <w:caps w:val="0"/>
                      <w:smallCaps w:val="0"/>
                      <w:color w:val="auto"/>
                      <w:spacing w:val="0"/>
                      <w:w w:val="100"/>
                      <w:position w:val="0"/>
                      <w:sz w:val="21"/>
                      <w:szCs w:val="21"/>
                      <w:u w:val="none" w:color="auto"/>
                    </w:rPr>
                    <w:t>g/cm</w:t>
                  </w:r>
                  <w:r>
                    <w:rPr>
                      <w:rFonts w:hint="default" w:ascii="Times New Roman" w:hAnsi="Times New Roman" w:cs="Times New Roman"/>
                      <w:caps w:val="0"/>
                      <w:smallCaps w:val="0"/>
                      <w:color w:val="auto"/>
                      <w:spacing w:val="0"/>
                      <w:w w:val="100"/>
                      <w:position w:val="0"/>
                      <w:sz w:val="21"/>
                      <w:szCs w:val="21"/>
                      <w:u w:val="none" w:color="auto"/>
                      <w:vertAlign w:val="superscript"/>
                      <w:lang w:val="en-US" w:eastAsia="zh-CN"/>
                    </w:rPr>
                    <w:t>3</w:t>
                  </w:r>
                  <w:r>
                    <w:rPr>
                      <w:rFonts w:hint="eastAsia" w:cs="Times New Roman"/>
                      <w:caps w:val="0"/>
                      <w:smallCaps w:val="0"/>
                      <w:color w:val="auto"/>
                      <w:spacing w:val="0"/>
                      <w:w w:val="100"/>
                      <w:position w:val="0"/>
                      <w:sz w:val="21"/>
                      <w:szCs w:val="21"/>
                      <w:u w:val="none" w:color="auto"/>
                      <w:lang w:eastAsia="zh-CN"/>
                    </w:rPr>
                    <w:t>；</w:t>
                  </w:r>
                </w:p>
                <w:p w14:paraId="6C83B64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caps w:val="0"/>
                      <w:smallCaps w:val="0"/>
                      <w:color w:val="auto"/>
                      <w:spacing w:val="0"/>
                      <w:w w:val="100"/>
                      <w:position w:val="0"/>
                      <w:sz w:val="21"/>
                      <w:szCs w:val="21"/>
                      <w:u w:val="none" w:color="auto"/>
                      <w:lang w:eastAsia="zh-CN"/>
                    </w:rPr>
                  </w:pPr>
                  <w:r>
                    <w:rPr>
                      <w:rFonts w:hint="eastAsia"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lang w:val="en-US" w:eastAsia="zh-CN"/>
                    </w:rPr>
                    <w:t>3</w:t>
                  </w:r>
                  <w:r>
                    <w:rPr>
                      <w:rFonts w:hint="default" w:ascii="Times New Roman" w:hAnsi="Times New Roman"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rPr>
                    <w:t>吸附风速为</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1.03</w:t>
                  </w:r>
                  <w:r>
                    <w:rPr>
                      <w:rFonts w:hint="default" w:ascii="Times New Roman" w:hAnsi="Times New Roman" w:eastAsia="Times New Roman" w:cs="Times New Roman"/>
                      <w:caps w:val="0"/>
                      <w:smallCaps w:val="0"/>
                      <w:color w:val="auto"/>
                      <w:spacing w:val="0"/>
                      <w:w w:val="100"/>
                      <w:position w:val="0"/>
                      <w:sz w:val="21"/>
                      <w:szCs w:val="21"/>
                      <w:u w:val="none" w:color="auto"/>
                    </w:rPr>
                    <w:t>m/s=</w:t>
                  </w:r>
                  <w:r>
                    <w:rPr>
                      <w:rFonts w:hint="default" w:ascii="Times New Roman" w:hAnsi="Times New Roman" w:cs="Times New Roman"/>
                      <w:caps w:val="0"/>
                      <w:smallCaps w:val="0"/>
                      <w:color w:val="auto"/>
                      <w:spacing w:val="0"/>
                      <w:w w:val="100"/>
                      <w:position w:val="0"/>
                      <w:sz w:val="21"/>
                      <w:szCs w:val="21"/>
                      <w:u w:val="none" w:color="auto"/>
                    </w:rPr>
                    <w:t>处理风量</w:t>
                  </w:r>
                  <w:r>
                    <w:rPr>
                      <w:rFonts w:hint="default" w:ascii="Times New Roman" w:hAnsi="Times New Roman" w:eastAsia="Times New Roman" w:cs="Times New Roman"/>
                      <w:caps w:val="0"/>
                      <w:smallCaps w:val="0"/>
                      <w:color w:val="auto"/>
                      <w:spacing w:val="0"/>
                      <w:w w:val="100"/>
                      <w:position w:val="0"/>
                      <w:sz w:val="21"/>
                      <w:szCs w:val="21"/>
                      <w:u w:val="none" w:color="auto"/>
                    </w:rPr>
                    <w:t>÷3600s÷</w:t>
                  </w:r>
                  <w:r>
                    <w:rPr>
                      <w:rFonts w:hint="default" w:ascii="Times New Roman" w:hAnsi="Times New Roman" w:cs="Times New Roman"/>
                      <w:caps w:val="0"/>
                      <w:smallCaps w:val="0"/>
                      <w:color w:val="auto"/>
                      <w:spacing w:val="0"/>
                      <w:w w:val="100"/>
                      <w:position w:val="0"/>
                      <w:sz w:val="21"/>
                      <w:szCs w:val="21"/>
                      <w:u w:val="none" w:color="auto"/>
                      <w:lang w:val="en-US" w:eastAsia="zh-CN"/>
                    </w:rPr>
                    <w:t>单层活性炭横截面积</w:t>
                  </w:r>
                  <w:r>
                    <w:rPr>
                      <w:rFonts w:hint="default" w:ascii="Times New Roman" w:hAnsi="Times New Roman" w:cs="Times New Roman"/>
                      <w:caps w:val="0"/>
                      <w:smallCaps w:val="0"/>
                      <w:color w:val="auto"/>
                      <w:spacing w:val="0"/>
                      <w:w w:val="100"/>
                      <w:position w:val="0"/>
                      <w:sz w:val="21"/>
                      <w:szCs w:val="21"/>
                      <w:u w:val="none" w:color="auto"/>
                    </w:rPr>
                    <w:t xml:space="preserve"> </w:t>
                  </w:r>
                  <w:r>
                    <w:rPr>
                      <w:rFonts w:hint="default" w:ascii="Times New Roman" w:hAnsi="Times New Roman" w:eastAsia="Times New Roman" w:cs="Times New Roman"/>
                      <w:caps w:val="0"/>
                      <w:smallCaps w:val="0"/>
                      <w:color w:val="auto"/>
                      <w:spacing w:val="0"/>
                      <w:w w:val="100"/>
                      <w:position w:val="0"/>
                      <w:sz w:val="21"/>
                      <w:szCs w:val="21"/>
                      <w:u w:val="none" w:color="auto"/>
                    </w:rPr>
                    <w:t>=</w:t>
                  </w:r>
                  <w:r>
                    <w:rPr>
                      <w:rFonts w:hint="eastAsia" w:cs="Times New Roman"/>
                      <w:caps w:val="0"/>
                      <w:smallCaps w:val="0"/>
                      <w:color w:val="auto"/>
                      <w:spacing w:val="0"/>
                      <w:w w:val="100"/>
                      <w:position w:val="0"/>
                      <w:sz w:val="21"/>
                      <w:szCs w:val="21"/>
                      <w:u w:val="none" w:color="auto"/>
                      <w:lang w:val="en-US" w:eastAsia="zh-CN"/>
                    </w:rPr>
                    <w:t>10</w:t>
                  </w:r>
                  <w:r>
                    <w:rPr>
                      <w:rFonts w:hint="default" w:ascii="Times New Roman" w:hAnsi="Times New Roman" w:eastAsia="Times New Roman" w:cs="Times New Roman"/>
                      <w:caps w:val="0"/>
                      <w:smallCaps w:val="0"/>
                      <w:color w:val="auto"/>
                      <w:spacing w:val="0"/>
                      <w:w w:val="100"/>
                      <w:position w:val="0"/>
                      <w:sz w:val="21"/>
                      <w:szCs w:val="21"/>
                      <w:u w:val="none" w:color="auto"/>
                    </w:rPr>
                    <w:t>000m</w:t>
                  </w:r>
                  <w:r>
                    <w:rPr>
                      <w:rFonts w:hint="default" w:ascii="Times New Roman" w:hAnsi="Times New Roman" w:cs="Times New Roman"/>
                      <w:caps w:val="0"/>
                      <w:smallCaps w:val="0"/>
                      <w:color w:val="auto"/>
                      <w:spacing w:val="0"/>
                      <w:w w:val="100"/>
                      <w:position w:val="0"/>
                      <w:sz w:val="21"/>
                      <w:szCs w:val="21"/>
                      <w:u w:val="none" w:color="auto"/>
                      <w:vertAlign w:val="superscript"/>
                      <w:lang w:val="en-US" w:eastAsia="zh-CN"/>
                    </w:rPr>
                    <w:t>3</w:t>
                  </w:r>
                  <w:r>
                    <w:rPr>
                      <w:rFonts w:hint="default" w:ascii="Times New Roman" w:hAnsi="Times New Roman" w:eastAsia="Times New Roman" w:cs="Times New Roman"/>
                      <w:caps w:val="0"/>
                      <w:smallCaps w:val="0"/>
                      <w:color w:val="auto"/>
                      <w:spacing w:val="0"/>
                      <w:w w:val="100"/>
                      <w:position w:val="0"/>
                      <w:sz w:val="21"/>
                      <w:szCs w:val="21"/>
                      <w:u w:val="none" w:color="auto"/>
                    </w:rPr>
                    <w:t>/h÷3600s÷</w:t>
                  </w:r>
                  <w:r>
                    <w:rPr>
                      <w:rFonts w:hint="eastAsia" w:eastAsia="宋体" w:cs="Times New Roman"/>
                      <w:caps w:val="0"/>
                      <w:smallCaps w:val="0"/>
                      <w:color w:val="auto"/>
                      <w:spacing w:val="0"/>
                      <w:w w:val="100"/>
                      <w:position w:val="0"/>
                      <w:sz w:val="21"/>
                      <w:szCs w:val="21"/>
                      <w:u w:val="none" w:color="auto"/>
                      <w:lang w:eastAsia="zh-CN"/>
                    </w:rPr>
                    <w:t>（</w:t>
                  </w:r>
                  <w:r>
                    <w:rPr>
                      <w:rFonts w:hint="eastAsia" w:cs="Times New Roman"/>
                      <w:caps w:val="0"/>
                      <w:smallCaps w:val="0"/>
                      <w:color w:val="auto"/>
                      <w:spacing w:val="0"/>
                      <w:w w:val="100"/>
                      <w:position w:val="0"/>
                      <w:sz w:val="21"/>
                      <w:szCs w:val="21"/>
                      <w:u w:val="none" w:color="auto"/>
                      <w:lang w:val="en-US" w:eastAsia="zh-CN"/>
                    </w:rPr>
                    <w:t>1.8</w:t>
                  </w:r>
                  <w:r>
                    <w:rPr>
                      <w:rFonts w:hint="default" w:ascii="Times New Roman" w:hAnsi="Times New Roman" w:eastAsia="Times New Roman" w:cs="Times New Roman"/>
                      <w:caps w:val="0"/>
                      <w:smallCaps w:val="0"/>
                      <w:color w:val="auto"/>
                      <w:spacing w:val="0"/>
                      <w:w w:val="100"/>
                      <w:position w:val="0"/>
                      <w:sz w:val="21"/>
                      <w:szCs w:val="21"/>
                      <w:u w:val="none" w:color="auto"/>
                    </w:rPr>
                    <w:t>m×</w:t>
                  </w:r>
                  <w:r>
                    <w:rPr>
                      <w:rFonts w:hint="eastAsia" w:ascii="Times New Roman" w:hAnsi="Times New Roman" w:eastAsia="宋体" w:cs="Times New Roman"/>
                      <w:caps w:val="0"/>
                      <w:smallCaps w:val="0"/>
                      <w:color w:val="auto"/>
                      <w:spacing w:val="0"/>
                      <w:w w:val="100"/>
                      <w:position w:val="0"/>
                      <w:sz w:val="21"/>
                      <w:szCs w:val="21"/>
                      <w:u w:val="none" w:color="auto"/>
                      <w:lang w:val="en-US" w:eastAsia="zh-CN"/>
                    </w:rPr>
                    <w:t>1.</w:t>
                  </w:r>
                  <w:r>
                    <w:rPr>
                      <w:rFonts w:hint="eastAsia" w:cs="Times New Roman"/>
                      <w:caps w:val="0"/>
                      <w:smallCaps w:val="0"/>
                      <w:color w:val="auto"/>
                      <w:spacing w:val="0"/>
                      <w:w w:val="100"/>
                      <w:position w:val="0"/>
                      <w:sz w:val="21"/>
                      <w:szCs w:val="21"/>
                      <w:u w:val="none" w:color="auto"/>
                      <w:lang w:val="en-US" w:eastAsia="zh-CN"/>
                    </w:rPr>
                    <w:t>5</w:t>
                  </w:r>
                  <w:r>
                    <w:rPr>
                      <w:rFonts w:hint="default" w:ascii="Times New Roman" w:hAnsi="Times New Roman" w:eastAsia="Times New Roman" w:cs="Times New Roman"/>
                      <w:caps w:val="0"/>
                      <w:smallCaps w:val="0"/>
                      <w:color w:val="auto"/>
                      <w:spacing w:val="0"/>
                      <w:w w:val="100"/>
                      <w:position w:val="0"/>
                      <w:sz w:val="21"/>
                      <w:szCs w:val="21"/>
                      <w:u w:val="none" w:color="auto"/>
                    </w:rPr>
                    <w:t>m</w:t>
                  </w:r>
                  <w:r>
                    <w:rPr>
                      <w:rFonts w:hint="default" w:ascii="Times New Roman" w:hAnsi="Times New Roman" w:cs="Times New Roman"/>
                      <w:caps w:val="0"/>
                      <w:smallCaps w:val="0"/>
                      <w:color w:val="auto"/>
                      <w:spacing w:val="0"/>
                      <w:w w:val="100"/>
                      <w:position w:val="0"/>
                      <w:sz w:val="21"/>
                      <w:szCs w:val="21"/>
                      <w:u w:val="none" w:color="auto"/>
                    </w:rPr>
                    <w:t>）</w:t>
                  </w:r>
                  <w:r>
                    <w:rPr>
                      <w:rFonts w:hint="eastAsia" w:cs="Times New Roman"/>
                      <w:caps w:val="0"/>
                      <w:smallCaps w:val="0"/>
                      <w:color w:val="auto"/>
                      <w:spacing w:val="0"/>
                      <w:w w:val="100"/>
                      <w:position w:val="0"/>
                      <w:sz w:val="21"/>
                      <w:szCs w:val="21"/>
                      <w:u w:val="none" w:color="auto"/>
                      <w:lang w:eastAsia="zh-CN"/>
                    </w:rPr>
                    <w:t>；</w:t>
                  </w:r>
                </w:p>
                <w:p w14:paraId="41AF1DA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caps w:val="0"/>
                      <w:smallCaps w:val="0"/>
                      <w:color w:val="auto"/>
                      <w:spacing w:val="0"/>
                      <w:w w:val="100"/>
                      <w:position w:val="0"/>
                      <w:sz w:val="21"/>
                      <w:szCs w:val="21"/>
                      <w:u w:val="none" w:color="auto"/>
                      <w:lang w:eastAsia="zh-CN"/>
                    </w:rPr>
                  </w:pPr>
                  <w:r>
                    <w:rPr>
                      <w:rFonts w:hint="eastAsia"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4</w:t>
                  </w:r>
                  <w:r>
                    <w:rPr>
                      <w:rFonts w:hint="default"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rPr>
                    <w:t>停留时间为</w:t>
                  </w:r>
                  <w:r>
                    <w:rPr>
                      <w:rFonts w:hint="eastAsia" w:cs="Times New Roman"/>
                      <w:caps w:val="0"/>
                      <w:smallCaps w:val="0"/>
                      <w:color w:val="auto"/>
                      <w:spacing w:val="0"/>
                      <w:w w:val="100"/>
                      <w:position w:val="0"/>
                      <w:sz w:val="21"/>
                      <w:szCs w:val="21"/>
                      <w:lang w:val="en-US" w:eastAsia="zh-CN"/>
                    </w:rPr>
                    <w:t>0.87</w:t>
                  </w:r>
                  <w:r>
                    <w:rPr>
                      <w:rFonts w:hint="default" w:ascii="Times New Roman" w:hAnsi="Times New Roman" w:eastAsia="Times New Roman" w:cs="Times New Roman"/>
                      <w:caps w:val="0"/>
                      <w:smallCaps w:val="0"/>
                      <w:color w:val="auto"/>
                      <w:spacing w:val="0"/>
                      <w:w w:val="100"/>
                      <w:position w:val="0"/>
                      <w:sz w:val="21"/>
                      <w:szCs w:val="21"/>
                    </w:rPr>
                    <w:t>s=</w:t>
                  </w:r>
                  <w:r>
                    <w:rPr>
                      <w:rFonts w:hint="default" w:ascii="Times New Roman" w:hAnsi="Times New Roman" w:cs="Times New Roman"/>
                      <w:caps w:val="0"/>
                      <w:smallCaps w:val="0"/>
                      <w:color w:val="auto"/>
                      <w:spacing w:val="0"/>
                      <w:w w:val="100"/>
                      <w:position w:val="0"/>
                      <w:sz w:val="21"/>
                      <w:szCs w:val="21"/>
                    </w:rPr>
                    <w:t>炭层厚度</w:t>
                  </w:r>
                  <w:r>
                    <w:rPr>
                      <w:rFonts w:hint="default" w:ascii="Times New Roman" w:hAnsi="Times New Roman" w:eastAsia="Times New Roman" w:cs="Times New Roman"/>
                      <w:caps w:val="0"/>
                      <w:smallCaps w:val="0"/>
                      <w:color w:val="auto"/>
                      <w:spacing w:val="0"/>
                      <w:w w:val="100"/>
                      <w:position w:val="0"/>
                      <w:sz w:val="21"/>
                      <w:szCs w:val="21"/>
                    </w:rPr>
                    <w:t xml:space="preserve">÷ </w:t>
                  </w:r>
                  <w:r>
                    <w:rPr>
                      <w:rFonts w:hint="default" w:ascii="Times New Roman" w:hAnsi="Times New Roman" w:cs="Times New Roman"/>
                      <w:caps w:val="0"/>
                      <w:smallCaps w:val="0"/>
                      <w:color w:val="auto"/>
                      <w:spacing w:val="0"/>
                      <w:w w:val="100"/>
                      <w:position w:val="0"/>
                      <w:sz w:val="21"/>
                      <w:szCs w:val="21"/>
                    </w:rPr>
                    <w:t>吸附风速</w:t>
                  </w:r>
                  <w:r>
                    <w:rPr>
                      <w:rFonts w:hint="default" w:ascii="Times New Roman" w:hAnsi="Times New Roman" w:eastAsia="Times New Roman" w:cs="Times New Roman"/>
                      <w:caps w:val="0"/>
                      <w:smallCaps w:val="0"/>
                      <w:color w:val="auto"/>
                      <w:spacing w:val="0"/>
                      <w:w w:val="100"/>
                      <w:position w:val="0"/>
                      <w:sz w:val="21"/>
                      <w:szCs w:val="21"/>
                    </w:rPr>
                    <w:t>=</w:t>
                  </w:r>
                  <w:r>
                    <w:rPr>
                      <w:rFonts w:hint="eastAsia" w:ascii="Times New Roman" w:hAnsi="Times New Roman" w:eastAsia="宋体" w:cs="Times New Roman"/>
                      <w:caps w:val="0"/>
                      <w:smallCaps w:val="0"/>
                      <w:color w:val="auto"/>
                      <w:spacing w:val="0"/>
                      <w:w w:val="100"/>
                      <w:position w:val="0"/>
                      <w:sz w:val="21"/>
                      <w:szCs w:val="21"/>
                      <w:lang w:val="en-US" w:eastAsia="zh-CN"/>
                    </w:rPr>
                    <w:t>0.9</w:t>
                  </w:r>
                  <w:r>
                    <w:rPr>
                      <w:rFonts w:hint="default" w:ascii="Times New Roman" w:hAnsi="Times New Roman" w:eastAsia="Times New Roman" w:cs="Times New Roman"/>
                      <w:caps w:val="0"/>
                      <w:smallCaps w:val="0"/>
                      <w:color w:val="auto"/>
                      <w:spacing w:val="0"/>
                      <w:w w:val="100"/>
                      <w:position w:val="0"/>
                      <w:sz w:val="21"/>
                      <w:szCs w:val="21"/>
                    </w:rPr>
                    <w:t>m÷</w:t>
                  </w:r>
                  <w:r>
                    <w:rPr>
                      <w:rFonts w:hint="eastAsia" w:ascii="Times New Roman" w:hAnsi="Times New Roman" w:eastAsia="宋体" w:cs="Times New Roman"/>
                      <w:caps w:val="0"/>
                      <w:smallCaps w:val="0"/>
                      <w:color w:val="auto"/>
                      <w:spacing w:val="0"/>
                      <w:w w:val="100"/>
                      <w:position w:val="0"/>
                      <w:sz w:val="21"/>
                      <w:szCs w:val="21"/>
                      <w:lang w:val="en-US" w:eastAsia="zh-CN"/>
                    </w:rPr>
                    <w:t>1.03</w:t>
                  </w:r>
                  <w:r>
                    <w:rPr>
                      <w:rFonts w:hint="default" w:ascii="Times New Roman" w:hAnsi="Times New Roman" w:eastAsia="Times New Roman" w:cs="Times New Roman"/>
                      <w:caps w:val="0"/>
                      <w:smallCaps w:val="0"/>
                      <w:color w:val="auto"/>
                      <w:spacing w:val="0"/>
                      <w:w w:val="100"/>
                      <w:position w:val="0"/>
                      <w:sz w:val="21"/>
                      <w:szCs w:val="21"/>
                    </w:rPr>
                    <w:t>m/s</w:t>
                  </w:r>
                  <w:r>
                    <w:rPr>
                      <w:rFonts w:hint="eastAsia" w:cs="Times New Roman"/>
                      <w:caps w:val="0"/>
                      <w:smallCaps w:val="0"/>
                      <w:color w:val="auto"/>
                      <w:spacing w:val="0"/>
                      <w:w w:val="100"/>
                      <w:position w:val="0"/>
                      <w:sz w:val="21"/>
                      <w:szCs w:val="21"/>
                      <w:lang w:eastAsia="zh-CN"/>
                    </w:rPr>
                    <w:t>；</w:t>
                  </w:r>
                </w:p>
                <w:p w14:paraId="70DDD3E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eastAsia="宋体" w:cs="Times New Roman"/>
                      <w:caps w:val="0"/>
                      <w:smallCaps w:val="0"/>
                      <w:color w:val="auto"/>
                      <w:spacing w:val="0"/>
                      <w:w w:val="100"/>
                      <w:position w:val="0"/>
                      <w:sz w:val="21"/>
                      <w:szCs w:val="21"/>
                      <w:lang w:eastAsia="zh-CN"/>
                    </w:rPr>
                  </w:pPr>
                  <w:r>
                    <w:rPr>
                      <w:rFonts w:hint="eastAsia"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u w:val="none" w:color="auto"/>
                      <w:lang w:val="en-US" w:eastAsia="zh-CN"/>
                    </w:rPr>
                    <w:t>5</w:t>
                  </w:r>
                  <w:r>
                    <w:rPr>
                      <w:rFonts w:hint="default" w:ascii="Times New Roman" w:hAnsi="Times New Roman" w:cs="Times New Roman"/>
                      <w:caps w:val="0"/>
                      <w:smallCaps w:val="0"/>
                      <w:color w:val="auto"/>
                      <w:spacing w:val="0"/>
                      <w:w w:val="100"/>
                      <w:position w:val="0"/>
                      <w:sz w:val="21"/>
                      <w:szCs w:val="21"/>
                      <w:u w:val="none" w:color="auto"/>
                      <w:lang w:eastAsia="zh-CN"/>
                    </w:rPr>
                    <w:t>）</w:t>
                  </w:r>
                  <w:r>
                    <w:rPr>
                      <w:rFonts w:hint="default" w:ascii="Times New Roman" w:hAnsi="Times New Roman" w:cs="Times New Roman"/>
                      <w:caps w:val="0"/>
                      <w:smallCaps w:val="0"/>
                      <w:color w:val="auto"/>
                      <w:spacing w:val="0"/>
                      <w:w w:val="100"/>
                      <w:position w:val="0"/>
                      <w:sz w:val="21"/>
                      <w:szCs w:val="21"/>
                    </w:rPr>
                    <w:t>本项目使用</w:t>
                  </w:r>
                  <w:r>
                    <w:rPr>
                      <w:rFonts w:hint="eastAsia" w:ascii="Times New Roman" w:hAnsi="Times New Roman" w:cs="Times New Roman"/>
                      <w:caps w:val="0"/>
                      <w:smallCaps w:val="0"/>
                      <w:color w:val="auto"/>
                      <w:spacing w:val="0"/>
                      <w:w w:val="100"/>
                      <w:position w:val="0"/>
                      <w:sz w:val="21"/>
                      <w:szCs w:val="21"/>
                      <w:lang w:val="en-US" w:eastAsia="zh-CN"/>
                    </w:rPr>
                    <w:t>蜂窝</w:t>
                  </w:r>
                  <w:r>
                    <w:rPr>
                      <w:rFonts w:hint="default" w:ascii="Times New Roman" w:hAnsi="Times New Roman" w:cs="Times New Roman"/>
                      <w:caps w:val="0"/>
                      <w:smallCaps w:val="0"/>
                      <w:color w:val="auto"/>
                      <w:spacing w:val="0"/>
                      <w:w w:val="100"/>
                      <w:position w:val="0"/>
                      <w:sz w:val="21"/>
                      <w:szCs w:val="21"/>
                      <w:lang w:val="en-US" w:eastAsia="zh-CN"/>
                    </w:rPr>
                    <w:t>状</w:t>
                  </w:r>
                  <w:r>
                    <w:rPr>
                      <w:rFonts w:hint="default" w:ascii="Times New Roman" w:hAnsi="Times New Roman" w:cs="Times New Roman"/>
                      <w:caps w:val="0"/>
                      <w:smallCaps w:val="0"/>
                      <w:color w:val="auto"/>
                      <w:spacing w:val="0"/>
                      <w:w w:val="100"/>
                      <w:position w:val="0"/>
                      <w:sz w:val="21"/>
                      <w:szCs w:val="21"/>
                    </w:rPr>
                    <w:t>活性炭，其碘值不低于</w:t>
                  </w:r>
                  <w:r>
                    <w:rPr>
                      <w:rFonts w:hint="eastAsia" w:ascii="Times New Roman" w:hAnsi="Times New Roman" w:eastAsia="宋体" w:cs="Times New Roman"/>
                      <w:caps w:val="0"/>
                      <w:smallCaps w:val="0"/>
                      <w:color w:val="auto"/>
                      <w:spacing w:val="0"/>
                      <w:w w:val="100"/>
                      <w:position w:val="0"/>
                      <w:sz w:val="21"/>
                      <w:szCs w:val="21"/>
                      <w:lang w:val="en-US" w:eastAsia="zh-CN"/>
                    </w:rPr>
                    <w:t>650</w:t>
                  </w:r>
                  <w:r>
                    <w:rPr>
                      <w:rFonts w:hint="default" w:ascii="Times New Roman" w:hAnsi="Times New Roman" w:eastAsia="Times New Roman" w:cs="Times New Roman"/>
                      <w:caps w:val="0"/>
                      <w:smallCaps w:val="0"/>
                      <w:color w:val="auto"/>
                      <w:spacing w:val="0"/>
                      <w:w w:val="100"/>
                      <w:position w:val="0"/>
                      <w:sz w:val="21"/>
                      <w:szCs w:val="21"/>
                    </w:rPr>
                    <w:t>mg/g</w:t>
                  </w:r>
                  <w:r>
                    <w:rPr>
                      <w:rFonts w:hint="eastAsia" w:cs="Times New Roman"/>
                      <w:caps w:val="0"/>
                      <w:smallCaps w:val="0"/>
                      <w:color w:val="auto"/>
                      <w:spacing w:val="0"/>
                      <w:w w:val="100"/>
                      <w:position w:val="0"/>
                      <w:sz w:val="21"/>
                      <w:szCs w:val="21"/>
                      <w:lang w:eastAsia="zh-CN"/>
                    </w:rPr>
                    <w:t>；</w:t>
                  </w:r>
                </w:p>
                <w:p w14:paraId="3074563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20" w:firstLineChars="200"/>
                    <w:jc w:val="both"/>
                    <w:textAlignment w:val="center"/>
                    <w:rPr>
                      <w:rFonts w:hint="default" w:ascii="Times New Roman" w:hAnsi="Times New Roman" w:cs="Times New Roman"/>
                      <w:caps w:val="0"/>
                      <w:smallCaps w:val="0"/>
                      <w:color w:val="auto"/>
                      <w:spacing w:val="0"/>
                      <w:w w:val="100"/>
                      <w:position w:val="0"/>
                      <w:sz w:val="21"/>
                      <w:szCs w:val="21"/>
                      <w:lang w:val="en-US" w:eastAsia="zh-CN"/>
                    </w:rPr>
                  </w:pPr>
                  <w:r>
                    <w:rPr>
                      <w:rFonts w:hint="eastAsia"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6</w:t>
                  </w:r>
                  <w:r>
                    <w:rPr>
                      <w:rFonts w:hint="default"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活性炭年更换频次</w:t>
                  </w:r>
                  <w:r>
                    <w:rPr>
                      <w:rFonts w:hint="eastAsia" w:cs="Times New Roman"/>
                      <w:caps w:val="0"/>
                      <w:smallCaps w:val="0"/>
                      <w:color w:val="auto"/>
                      <w:spacing w:val="0"/>
                      <w:w w:val="100"/>
                      <w:position w:val="0"/>
                      <w:sz w:val="21"/>
                      <w:szCs w:val="21"/>
                      <w:lang w:val="en-US" w:eastAsia="zh-CN"/>
                    </w:rPr>
                    <w:t>11</w:t>
                  </w:r>
                  <w:r>
                    <w:rPr>
                      <w:rFonts w:hint="default" w:ascii="Times New Roman" w:hAnsi="Times New Roman" w:cs="Times New Roman"/>
                      <w:caps w:val="0"/>
                      <w:smallCaps w:val="0"/>
                      <w:color w:val="auto"/>
                      <w:spacing w:val="0"/>
                      <w:w w:val="100"/>
                      <w:position w:val="0"/>
                      <w:sz w:val="21"/>
                      <w:szCs w:val="21"/>
                      <w:lang w:val="en-US" w:eastAsia="zh-CN"/>
                    </w:rPr>
                    <w:t>次=活性炭用量</w:t>
                  </w:r>
                  <w:r>
                    <w:rPr>
                      <w:rFonts w:hint="default" w:ascii="Times New Roman" w:hAnsi="Times New Roman" w:eastAsia="Times New Roman" w:cs="Times New Roman"/>
                      <w:caps w:val="0"/>
                      <w:smallCaps w:val="0"/>
                      <w:color w:val="auto"/>
                      <w:spacing w:val="0"/>
                      <w:w w:val="100"/>
                      <w:position w:val="0"/>
                      <w:sz w:val="21"/>
                      <w:szCs w:val="21"/>
                    </w:rPr>
                    <w:t>÷</w:t>
                  </w:r>
                  <w:r>
                    <w:rPr>
                      <w:rFonts w:hint="default" w:ascii="Times New Roman" w:hAnsi="Times New Roman" w:cs="Times New Roman"/>
                      <w:caps w:val="0"/>
                      <w:smallCaps w:val="0"/>
                      <w:color w:val="auto"/>
                      <w:spacing w:val="0"/>
                      <w:w w:val="100"/>
                      <w:position w:val="0"/>
                      <w:sz w:val="21"/>
                      <w:szCs w:val="21"/>
                      <w:lang w:val="en-US" w:eastAsia="zh-CN"/>
                    </w:rPr>
                    <w:t>二级活性炭装填量</w:t>
                  </w:r>
                  <w:r>
                    <w:rPr>
                      <w:rFonts w:hint="eastAsia" w:cs="Times New Roman"/>
                      <w:caps w:val="0"/>
                      <w:smallCaps w:val="0"/>
                      <w:color w:val="auto"/>
                      <w:spacing w:val="0"/>
                      <w:w w:val="100"/>
                      <w:position w:val="0"/>
                      <w:sz w:val="21"/>
                      <w:szCs w:val="21"/>
                      <w:lang w:val="en-US" w:eastAsia="zh-CN"/>
                    </w:rPr>
                    <w:t>；</w:t>
                  </w:r>
                </w:p>
                <w:p w14:paraId="0BCB3B16">
                  <w:pPr>
                    <w:keepNext w:val="0"/>
                    <w:keepLines w:val="0"/>
                    <w:pageBreakBefore w:val="0"/>
                    <w:widowControl/>
                    <w:suppressLineNumbers w:val="0"/>
                    <w:kinsoku/>
                    <w:wordWrap/>
                    <w:overflowPunct/>
                    <w:topLinePunct w:val="0"/>
                    <w:autoSpaceDE/>
                    <w:autoSpaceDN/>
                    <w:bidi w:val="0"/>
                    <w:adjustRightInd w:val="0"/>
                    <w:spacing w:line="240" w:lineRule="auto"/>
                    <w:ind w:firstLine="420" w:firstLineChars="200"/>
                    <w:jc w:val="left"/>
                    <w:textAlignment w:val="center"/>
                    <w:rPr>
                      <w:rFonts w:hint="default" w:ascii="Times New Roman" w:hAnsi="Times New Roman" w:eastAsia="宋体" w:cs="Times New Roman"/>
                      <w:caps w:val="0"/>
                      <w:smallCaps w:val="0"/>
                      <w:color w:val="auto"/>
                      <w:spacing w:val="0"/>
                      <w:w w:val="100"/>
                      <w:kern w:val="0"/>
                      <w:position w:val="0"/>
                      <w:sz w:val="21"/>
                      <w:szCs w:val="21"/>
                      <w:lang w:val="en-US" w:eastAsia="zh-CN" w:bidi="ar"/>
                    </w:rPr>
                  </w:pPr>
                  <w:r>
                    <w:rPr>
                      <w:rFonts w:hint="eastAsia"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7</w:t>
                  </w:r>
                  <w:r>
                    <w:rPr>
                      <w:rFonts w:hint="default" w:ascii="Times New Roman" w:hAnsi="Times New Roman" w:cs="Times New Roman"/>
                      <w:caps w:val="0"/>
                      <w:smallCaps w:val="0"/>
                      <w:color w:val="auto"/>
                      <w:spacing w:val="0"/>
                      <w:w w:val="100"/>
                      <w:position w:val="0"/>
                      <w:sz w:val="21"/>
                      <w:szCs w:val="21"/>
                      <w:lang w:eastAsia="zh-CN"/>
                    </w:rPr>
                    <w:t>）</w:t>
                  </w:r>
                  <w:r>
                    <w:rPr>
                      <w:rFonts w:hint="default" w:ascii="Times New Roman" w:hAnsi="Times New Roman" w:cs="Times New Roman"/>
                      <w:caps w:val="0"/>
                      <w:smallCaps w:val="0"/>
                      <w:color w:val="auto"/>
                      <w:spacing w:val="0"/>
                      <w:w w:val="100"/>
                      <w:position w:val="0"/>
                      <w:sz w:val="21"/>
                      <w:szCs w:val="21"/>
                      <w:lang w:val="en-US" w:eastAsia="zh-CN"/>
                    </w:rPr>
                    <w:t>更换周期</w:t>
                  </w:r>
                  <w:r>
                    <w:rPr>
                      <w:rFonts w:hint="eastAsia" w:cs="Times New Roman"/>
                      <w:caps w:val="0"/>
                      <w:smallCaps w:val="0"/>
                      <w:color w:val="auto"/>
                      <w:spacing w:val="0"/>
                      <w:w w:val="100"/>
                      <w:position w:val="0"/>
                      <w:sz w:val="21"/>
                      <w:szCs w:val="21"/>
                      <w:lang w:val="en-US" w:eastAsia="zh-CN"/>
                    </w:rPr>
                    <w:t>27</w:t>
                  </w:r>
                  <w:r>
                    <w:rPr>
                      <w:rFonts w:hint="default" w:ascii="Times New Roman" w:hAnsi="Times New Roman" w:cs="Times New Roman"/>
                      <w:caps w:val="0"/>
                      <w:smallCaps w:val="0"/>
                      <w:color w:val="auto"/>
                      <w:spacing w:val="0"/>
                      <w:w w:val="100"/>
                      <w:position w:val="0"/>
                      <w:sz w:val="21"/>
                      <w:szCs w:val="21"/>
                      <w:lang w:val="en-US" w:eastAsia="zh-CN"/>
                    </w:rPr>
                    <w:t>天=年工作时间</w:t>
                  </w:r>
                  <w:r>
                    <w:rPr>
                      <w:rFonts w:hint="default" w:ascii="Times New Roman" w:hAnsi="Times New Roman" w:eastAsia="Times New Roman" w:cs="Times New Roman"/>
                      <w:caps w:val="0"/>
                      <w:smallCaps w:val="0"/>
                      <w:color w:val="auto"/>
                      <w:spacing w:val="0"/>
                      <w:w w:val="100"/>
                      <w:position w:val="0"/>
                      <w:sz w:val="21"/>
                      <w:szCs w:val="21"/>
                    </w:rPr>
                    <w:t>÷</w:t>
                  </w:r>
                  <w:r>
                    <w:rPr>
                      <w:rFonts w:hint="default" w:ascii="Times New Roman" w:hAnsi="Times New Roman" w:cs="Times New Roman"/>
                      <w:caps w:val="0"/>
                      <w:smallCaps w:val="0"/>
                      <w:color w:val="auto"/>
                      <w:spacing w:val="0"/>
                      <w:w w:val="100"/>
                      <w:position w:val="0"/>
                      <w:sz w:val="21"/>
                      <w:szCs w:val="21"/>
                      <w:lang w:val="en-US" w:eastAsia="zh-CN"/>
                    </w:rPr>
                    <w:t>更换频次</w:t>
                  </w:r>
                  <w:r>
                    <w:rPr>
                      <w:rFonts w:hint="default" w:ascii="Times New Roman" w:hAnsi="Times New Roman" w:cs="Times New Roman"/>
                      <w:caps w:val="0"/>
                      <w:smallCaps w:val="0"/>
                      <w:color w:val="auto"/>
                      <w:spacing w:val="0"/>
                      <w:w w:val="100"/>
                      <w:position w:val="0"/>
                      <w:sz w:val="21"/>
                      <w:szCs w:val="21"/>
                      <w:lang w:eastAsia="zh-CN"/>
                    </w:rPr>
                    <w:t>。</w:t>
                  </w:r>
                </w:p>
              </w:tc>
            </w:tr>
          </w:tbl>
          <w:p w14:paraId="72C62DE9">
            <w:pPr>
              <w:keepNext w:val="0"/>
              <w:keepLines w:val="0"/>
              <w:pageBreakBefore w:val="0"/>
              <w:widowControl w:val="0"/>
              <w:kinsoku/>
              <w:wordWrap/>
              <w:overflowPunct/>
              <w:topLinePunct w:val="0"/>
              <w:autoSpaceDE/>
              <w:autoSpaceDN/>
              <w:bidi w:val="0"/>
              <w:adjustRightInd/>
              <w:snapToGrid/>
              <w:spacing w:line="480" w:lineRule="atLeast"/>
              <w:jc w:val="both"/>
              <w:textAlignment w:val="auto"/>
              <w:rPr>
                <w:rFonts w:hint="default" w:ascii="Times New Roman" w:hAnsi="Times New Roman" w:eastAsia="宋体" w:cs="Times New Roman"/>
                <w:b/>
                <w:bCs/>
                <w:color w:val="auto"/>
                <w:spacing w:val="0"/>
                <w:sz w:val="24"/>
                <w:szCs w:val="24"/>
              </w:rPr>
            </w:pPr>
            <w:r>
              <w:rPr>
                <w:rFonts w:hint="eastAsia" w:cs="Times New Roman"/>
                <w:b/>
                <w:bCs w:val="0"/>
                <w:color w:val="auto"/>
                <w:spacing w:val="0"/>
                <w:sz w:val="24"/>
                <w:szCs w:val="24"/>
                <w:lang w:val="en-US" w:eastAsia="zh-CN"/>
              </w:rPr>
              <w:t>4.1.4</w:t>
            </w:r>
            <w:r>
              <w:rPr>
                <w:rFonts w:hint="default" w:ascii="Times New Roman" w:hAnsi="Times New Roman" w:eastAsia="宋体" w:cs="Times New Roman"/>
                <w:b/>
                <w:bCs w:val="0"/>
                <w:color w:val="auto"/>
                <w:spacing w:val="0"/>
                <w:sz w:val="24"/>
                <w:szCs w:val="24"/>
              </w:rPr>
              <w:t>非正常</w:t>
            </w:r>
            <w:r>
              <w:rPr>
                <w:rFonts w:hint="default" w:ascii="Times New Roman" w:hAnsi="Times New Roman" w:eastAsia="宋体" w:cs="Times New Roman"/>
                <w:b/>
                <w:bCs/>
                <w:color w:val="auto"/>
                <w:spacing w:val="0"/>
                <w:sz w:val="24"/>
                <w:szCs w:val="24"/>
              </w:rPr>
              <w:t>工况分析</w:t>
            </w:r>
          </w:p>
          <w:p w14:paraId="75B106D9">
            <w:pPr>
              <w:keepNext w:val="0"/>
              <w:keepLines w:val="0"/>
              <w:pageBreakBefore w:val="0"/>
              <w:widowControl w:val="0"/>
              <w:kinsoku/>
              <w:wordWrap/>
              <w:overflowPunct/>
              <w:topLinePunct w:val="0"/>
              <w:autoSpaceDE/>
              <w:autoSpaceDN/>
              <w:bidi w:val="0"/>
              <w:adjustRightInd/>
              <w:snapToGrid/>
              <w:spacing w:line="480" w:lineRule="atLeast"/>
              <w:ind w:firstLine="480" w:firstLineChars="200"/>
              <w:jc w:val="both"/>
              <w:textAlignment w:val="auto"/>
              <w:rPr>
                <w:rFonts w:hint="default" w:ascii="Times New Roman" w:hAnsi="Times New Roman" w:eastAsia="宋体" w:cs="Times New Roman"/>
                <w:b/>
                <w:color w:val="auto"/>
                <w:spacing w:val="0"/>
                <w:sz w:val="24"/>
                <w:szCs w:val="24"/>
              </w:rPr>
            </w:pPr>
            <w:r>
              <w:rPr>
                <w:rFonts w:hint="default" w:ascii="Times New Roman" w:hAnsi="Times New Roman" w:eastAsia="宋体" w:cs="Times New Roman"/>
                <w:bCs/>
                <w:color w:val="auto"/>
                <w:spacing w:val="0"/>
                <w:sz w:val="24"/>
                <w:szCs w:val="24"/>
              </w:rPr>
              <w:t>非正常排放是指生产过程中开停车</w:t>
            </w:r>
            <w:r>
              <w:rPr>
                <w:rFonts w:hint="eastAsia" w:cs="Times New Roman"/>
                <w:bCs/>
                <w:color w:val="auto"/>
                <w:spacing w:val="0"/>
                <w:sz w:val="24"/>
                <w:szCs w:val="24"/>
                <w:lang w:eastAsia="zh-CN"/>
              </w:rPr>
              <w:t>（</w:t>
            </w:r>
            <w:r>
              <w:rPr>
                <w:rFonts w:hint="default" w:ascii="Times New Roman" w:hAnsi="Times New Roman" w:eastAsia="宋体" w:cs="Times New Roman"/>
                <w:bCs/>
                <w:color w:val="auto"/>
                <w:spacing w:val="0"/>
                <w:sz w:val="24"/>
                <w:szCs w:val="24"/>
              </w:rPr>
              <w:t>工、炉</w:t>
            </w:r>
            <w:r>
              <w:rPr>
                <w:rFonts w:hint="eastAsia" w:cs="Times New Roman"/>
                <w:bCs/>
                <w:color w:val="auto"/>
                <w:spacing w:val="0"/>
                <w:sz w:val="24"/>
                <w:szCs w:val="24"/>
                <w:lang w:eastAsia="zh-CN"/>
              </w:rPr>
              <w:t>）</w:t>
            </w:r>
            <w:r>
              <w:rPr>
                <w:rFonts w:hint="default" w:ascii="Times New Roman" w:hAnsi="Times New Roman" w:eastAsia="宋体" w:cs="Times New Roman"/>
                <w:bCs/>
                <w:color w:val="auto"/>
                <w:spacing w:val="0"/>
                <w:sz w:val="24"/>
                <w:szCs w:val="24"/>
              </w:rPr>
              <w:t>、设备检修、工艺设备运转异常等非正常工况下的污染物排放，以及污染物排放控制措施达不到应有效率等情况下的排放。项目废气非正常工况排放主要为废气处理设施无法正常发挥作用，本项目以最坏情况考虑，废气治理效率下降为0%的状态进行估算，但废气收集系统可以正常运行，废气通过排气筒排放等情况，此时项目废气将超标排放，对大气环境造成不良影响。废气处理设施出现故障不能正常运行时，应立即停产进行维修，避免对周围环境造成污染，废气非正常工况源强情况见下：</w:t>
            </w:r>
          </w:p>
          <w:p w14:paraId="5F443AF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宋体" w:cs="Times New Roman"/>
                <w:b/>
                <w:color w:val="auto"/>
                <w:spacing w:val="0"/>
                <w:szCs w:val="21"/>
              </w:rPr>
            </w:pPr>
          </w:p>
          <w:p w14:paraId="6C85FD22">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宋体" w:cs="Times New Roman"/>
                <w:b/>
                <w:color w:val="auto"/>
                <w:spacing w:val="0"/>
                <w:szCs w:val="21"/>
              </w:rPr>
            </w:pPr>
          </w:p>
          <w:p w14:paraId="12FD2FE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表4-</w:t>
            </w:r>
            <w:r>
              <w:rPr>
                <w:rFonts w:hint="eastAsia" w:cs="Times New Roman"/>
                <w:b/>
                <w:color w:val="auto"/>
                <w:spacing w:val="0"/>
                <w:szCs w:val="21"/>
                <w:lang w:val="en-US" w:eastAsia="zh-CN"/>
              </w:rPr>
              <w:t>22</w:t>
            </w:r>
            <w:r>
              <w:rPr>
                <w:rFonts w:hint="default" w:ascii="Times New Roman" w:hAnsi="Times New Roman" w:eastAsia="宋体" w:cs="Times New Roman"/>
                <w:b/>
                <w:color w:val="auto"/>
                <w:spacing w:val="0"/>
                <w:szCs w:val="21"/>
              </w:rPr>
              <w:t xml:space="preserve">  污染源非正常排放量情况</w:t>
            </w:r>
          </w:p>
          <w:tbl>
            <w:tblPr>
              <w:tblStyle w:val="26"/>
              <w:tblW w:w="85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8"/>
              <w:gridCol w:w="762"/>
              <w:gridCol w:w="1028"/>
              <w:gridCol w:w="1464"/>
              <w:gridCol w:w="1025"/>
              <w:gridCol w:w="1008"/>
              <w:gridCol w:w="899"/>
              <w:gridCol w:w="671"/>
              <w:gridCol w:w="1223"/>
            </w:tblGrid>
            <w:tr w14:paraId="53596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jc w:val="center"/>
              </w:trPr>
              <w:tc>
                <w:tcPr>
                  <w:tcW w:w="4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87876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C2FA8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排气筒</w:t>
                  </w:r>
                </w:p>
              </w:tc>
              <w:tc>
                <w:tcPr>
                  <w:tcW w:w="10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1BD23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非正常排放原因</w:t>
                  </w: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14166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污染物</w:t>
                  </w:r>
                </w:p>
              </w:tc>
              <w:tc>
                <w:tcPr>
                  <w:tcW w:w="293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2E9E4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非正常排放状况</w:t>
                  </w:r>
                </w:p>
              </w:tc>
              <w:tc>
                <w:tcPr>
                  <w:tcW w:w="18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DBEB4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标准限值</w:t>
                  </w:r>
                </w:p>
              </w:tc>
            </w:tr>
            <w:tr w14:paraId="2DB24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A36A5">
                  <w:pPr>
                    <w:jc w:val="center"/>
                    <w:rPr>
                      <w:rFonts w:hint="eastAsia" w:ascii="宋体" w:hAnsi="宋体" w:eastAsia="宋体" w:cs="宋体"/>
                      <w:b/>
                      <w:bCs/>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F3D0B">
                  <w:pPr>
                    <w:jc w:val="center"/>
                    <w:rPr>
                      <w:rFonts w:hint="eastAsia" w:ascii="宋体" w:hAnsi="宋体" w:eastAsia="宋体" w:cs="宋体"/>
                      <w:b/>
                      <w:bCs/>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1D871">
                  <w:pPr>
                    <w:jc w:val="center"/>
                    <w:rPr>
                      <w:rFonts w:hint="eastAsia" w:ascii="宋体" w:hAnsi="宋体" w:eastAsia="宋体" w:cs="宋体"/>
                      <w:b/>
                      <w:bCs/>
                      <w:i w:val="0"/>
                      <w:iCs w:val="0"/>
                      <w:color w:val="000000"/>
                      <w:sz w:val="18"/>
                      <w:szCs w:val="18"/>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6FDE1">
                  <w:pPr>
                    <w:jc w:val="center"/>
                    <w:rPr>
                      <w:rFonts w:hint="eastAsia" w:ascii="宋体" w:hAnsi="宋体" w:eastAsia="宋体" w:cs="宋体"/>
                      <w:b/>
                      <w:bCs/>
                      <w:i w:val="0"/>
                      <w:iCs w:val="0"/>
                      <w:color w:val="000000"/>
                      <w:sz w:val="18"/>
                      <w:szCs w:val="18"/>
                      <w:u w:val="none"/>
                    </w:rPr>
                  </w:pP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3AB5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浓度（</w:t>
                  </w:r>
                  <w:r>
                    <w:rPr>
                      <w:rFonts w:hint="default" w:ascii="Times New Roman" w:hAnsi="Times New Roman" w:eastAsia="宋体" w:cs="Times New Roman"/>
                      <w:b/>
                      <w:bCs/>
                      <w:i w:val="0"/>
                      <w:iCs w:val="0"/>
                      <w:color w:val="000000"/>
                      <w:kern w:val="0"/>
                      <w:sz w:val="18"/>
                      <w:szCs w:val="18"/>
                      <w:u w:val="none"/>
                      <w:lang w:val="en-US" w:eastAsia="zh-CN" w:bidi="ar"/>
                    </w:rPr>
                    <w:t>mg/m</w:t>
                  </w:r>
                  <w:r>
                    <w:rPr>
                      <w:rFonts w:hint="default" w:ascii="Times New Roman" w:hAnsi="Times New Roman" w:eastAsia="宋体" w:cs="Times New Roman"/>
                      <w:b/>
                      <w:bCs/>
                      <w:i w:val="0"/>
                      <w:iCs w:val="0"/>
                      <w:color w:val="000000"/>
                      <w:kern w:val="0"/>
                      <w:sz w:val="18"/>
                      <w:szCs w:val="18"/>
                      <w:u w:val="none"/>
                      <w:vertAlign w:val="superscript"/>
                      <w:lang w:val="en-US" w:eastAsia="zh-CN" w:bidi="ar"/>
                    </w:rPr>
                    <w:t>3</w:t>
                  </w:r>
                  <w:r>
                    <w:rPr>
                      <w:rFonts w:hint="eastAsia" w:ascii="宋体" w:hAnsi="宋体" w:eastAsia="宋体" w:cs="宋体"/>
                      <w:b/>
                      <w:bCs/>
                      <w:i w:val="0"/>
                      <w:iCs w:val="0"/>
                      <w:color w:val="000000"/>
                      <w:kern w:val="0"/>
                      <w:sz w:val="18"/>
                      <w:szCs w:val="18"/>
                      <w:u w:val="none"/>
                      <w:lang w:val="en-US" w:eastAsia="zh-CN" w:bidi="ar"/>
                    </w:rPr>
                    <w:t>）</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BD2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速率（kg/h）</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EE8F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频次及持续时间</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2BDA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浓度（</w:t>
                  </w:r>
                  <w:r>
                    <w:rPr>
                      <w:rFonts w:hint="default" w:ascii="Times New Roman" w:hAnsi="Times New Roman" w:eastAsia="宋体" w:cs="Times New Roman"/>
                      <w:b/>
                      <w:bCs/>
                      <w:i w:val="0"/>
                      <w:iCs w:val="0"/>
                      <w:color w:val="000000"/>
                      <w:kern w:val="0"/>
                      <w:sz w:val="18"/>
                      <w:szCs w:val="18"/>
                      <w:u w:val="none"/>
                      <w:lang w:val="en-US" w:eastAsia="zh-CN" w:bidi="ar"/>
                    </w:rPr>
                    <w:t>mg/m</w:t>
                  </w:r>
                  <w:r>
                    <w:rPr>
                      <w:rFonts w:hint="default" w:ascii="Times New Roman" w:hAnsi="Times New Roman" w:eastAsia="宋体" w:cs="Times New Roman"/>
                      <w:b/>
                      <w:bCs/>
                      <w:i w:val="0"/>
                      <w:iCs w:val="0"/>
                      <w:color w:val="000000"/>
                      <w:kern w:val="0"/>
                      <w:sz w:val="18"/>
                      <w:szCs w:val="18"/>
                      <w:u w:val="none"/>
                      <w:vertAlign w:val="superscript"/>
                      <w:lang w:val="en-US" w:eastAsia="zh-CN" w:bidi="ar"/>
                    </w:rPr>
                    <w:t>3</w:t>
                  </w:r>
                  <w:r>
                    <w:rPr>
                      <w:rFonts w:hint="eastAsia" w:ascii="宋体" w:hAnsi="宋体" w:eastAsia="宋体" w:cs="宋体"/>
                      <w:b/>
                      <w:bCs/>
                      <w:i w:val="0"/>
                      <w:iCs w:val="0"/>
                      <w:color w:val="000000"/>
                      <w:kern w:val="0"/>
                      <w:sz w:val="18"/>
                      <w:szCs w:val="18"/>
                      <w:u w:val="none"/>
                      <w:lang w:val="en-US" w:eastAsia="zh-CN" w:bidi="ar"/>
                    </w:rPr>
                    <w:t>）</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927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速率（kg/h）</w:t>
                  </w:r>
                </w:p>
              </w:tc>
            </w:tr>
            <w:tr w14:paraId="658AD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jc w:val="center"/>
              </w:trPr>
              <w:tc>
                <w:tcPr>
                  <w:tcW w:w="4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04127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A552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DA001</w:t>
                  </w:r>
                </w:p>
              </w:tc>
              <w:tc>
                <w:tcPr>
                  <w:tcW w:w="10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E5C0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处理设施故障，处理效率为</w:t>
                  </w:r>
                  <w:r>
                    <w:rPr>
                      <w:rFonts w:hint="default" w:ascii="Times New Roman" w:hAnsi="Times New Roman" w:eastAsia="宋体" w:cs="Times New Roman"/>
                      <w:i w:val="0"/>
                      <w:iCs w:val="0"/>
                      <w:color w:val="000000"/>
                      <w:kern w:val="0"/>
                      <w:sz w:val="18"/>
                      <w:szCs w:val="18"/>
                      <w:u w:val="none"/>
                      <w:lang w:val="en-US" w:eastAsia="zh-CN" w:bidi="ar"/>
                    </w:rPr>
                    <w:t>0</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A32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二氧化硫</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C7A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4.18E-05</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5D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4.18E-07</w:t>
                  </w:r>
                </w:p>
              </w:tc>
              <w:tc>
                <w:tcPr>
                  <w:tcW w:w="8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5215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2</w:t>
                  </w:r>
                  <w:r>
                    <w:rPr>
                      <w:rFonts w:hint="eastAsia" w:ascii="宋体" w:hAnsi="宋体" w:eastAsia="宋体" w:cs="宋体"/>
                      <w:i w:val="0"/>
                      <w:iCs w:val="0"/>
                      <w:color w:val="000000"/>
                      <w:kern w:val="0"/>
                      <w:sz w:val="18"/>
                      <w:szCs w:val="18"/>
                      <w:u w:val="none"/>
                      <w:lang w:val="en-US" w:eastAsia="zh-CN" w:bidi="ar"/>
                    </w:rPr>
                    <w:t>次</w:t>
                  </w:r>
                  <w:r>
                    <w:rPr>
                      <w:rFonts w:hint="default" w:ascii="Times New Roman" w:hAnsi="Times New Roman" w:eastAsia="宋体" w:cs="Times New Roman"/>
                      <w:i w:val="0"/>
                      <w:iCs w:val="0"/>
                      <w:color w:val="000000"/>
                      <w:kern w:val="0"/>
                      <w:sz w:val="18"/>
                      <w:szCs w:val="18"/>
                      <w:u w:val="none"/>
                      <w:lang w:val="en-US" w:eastAsia="zh-CN" w:bidi="ar"/>
                    </w:rPr>
                    <w:t>/a</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br w:type="textWrapping"/>
                  </w:r>
                  <w:r>
                    <w:rPr>
                      <w:rFonts w:hint="default" w:ascii="Times New Roman" w:hAnsi="Times New Roman" w:eastAsia="宋体" w:cs="Times New Roman"/>
                      <w:i w:val="0"/>
                      <w:iCs w:val="0"/>
                      <w:color w:val="000000"/>
                      <w:kern w:val="0"/>
                      <w:sz w:val="18"/>
                      <w:szCs w:val="18"/>
                      <w:u w:val="none"/>
                      <w:lang w:val="en-US" w:eastAsia="zh-CN" w:bidi="ar"/>
                    </w:rPr>
                    <w:t>0.5h/</w:t>
                  </w:r>
                  <w:r>
                    <w:rPr>
                      <w:rFonts w:hint="eastAsia" w:ascii="宋体" w:hAnsi="宋体" w:eastAsia="宋体" w:cs="宋体"/>
                      <w:i w:val="0"/>
                      <w:iCs w:val="0"/>
                      <w:color w:val="000000"/>
                      <w:kern w:val="0"/>
                      <w:sz w:val="18"/>
                      <w:szCs w:val="18"/>
                      <w:u w:val="none"/>
                      <w:lang w:val="en-US" w:eastAsia="zh-CN" w:bidi="ar"/>
                    </w:rPr>
                    <w:t>次</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FB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529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r>
            <w:tr w14:paraId="4BABD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13B8A">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E8B41">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16EAD">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C2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氮氧化物</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F55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25.586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B44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0.256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EAF27">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C5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7C2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r>
            <w:tr w14:paraId="23AF9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76817">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5D562">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A31FE">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FD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w:t>
                  </w:r>
                  <w:r>
                    <w:rPr>
                      <w:rFonts w:hint="eastAsia" w:cs="Times New Roman"/>
                      <w:i w:val="0"/>
                      <w:iCs w:val="0"/>
                      <w:color w:val="000000"/>
                      <w:kern w:val="0"/>
                      <w:sz w:val="18"/>
                      <w:szCs w:val="18"/>
                      <w:u w:val="none"/>
                      <w:lang w:val="en-US" w:eastAsia="zh-CN" w:bidi="ar"/>
                    </w:rPr>
                    <w:t>含炭黑尘、铜、锡等</w:t>
                  </w:r>
                  <w:r>
                    <w:rPr>
                      <w:rFonts w:hint="default" w:ascii="Times New Roman" w:hAnsi="Times New Roman" w:eastAsia="宋体" w:cs="Times New Roman"/>
                      <w:i w:val="0"/>
                      <w:iCs w:val="0"/>
                      <w:color w:val="000000"/>
                      <w:kern w:val="0"/>
                      <w:sz w:val="18"/>
                      <w:szCs w:val="18"/>
                      <w:u w:val="none"/>
                      <w:lang w:val="en-US" w:eastAsia="zh-CN" w:bidi="ar"/>
                    </w:rPr>
                    <w:t>）</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C5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6.344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5E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0.063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FE5BA">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7C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DC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0.255</w:t>
                  </w:r>
                </w:p>
              </w:tc>
            </w:tr>
            <w:tr w14:paraId="2ABD3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B2423">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E316D">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69BA8">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012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锡及其化合物</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59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0.055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5E5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83213">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7B5AA">
                  <w:pPr>
                    <w:jc w:val="center"/>
                    <w:rPr>
                      <w:rFonts w:hint="default" w:ascii="Times New Roman" w:hAnsi="Times New Roman" w:eastAsia="宋体" w:cs="Times New Roman"/>
                      <w:i w:val="0"/>
                      <w:iCs w:val="0"/>
                      <w:color w:val="000000"/>
                      <w:sz w:val="18"/>
                      <w:szCs w:val="18"/>
                      <w:u w:val="none"/>
                      <w:lang w:val="en-US" w:eastAsia="zh-CN"/>
                    </w:rPr>
                  </w:pPr>
                  <w:r>
                    <w:rPr>
                      <w:rFonts w:hint="eastAsia" w:cs="Times New Roman"/>
                      <w:i w:val="0"/>
                      <w:iCs w:val="0"/>
                      <w:color w:val="000000"/>
                      <w:sz w:val="18"/>
                      <w:szCs w:val="18"/>
                      <w:u w:val="none"/>
                      <w:lang w:val="en-US" w:eastAsia="zh-CN"/>
                    </w:rPr>
                    <w:t>2.0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944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r>
            <w:tr w14:paraId="70C4F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BA421">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3FD52">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E774E">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7444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铜及其化合物</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70BB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1.031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443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C5169">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89B10">
                  <w:pPr>
                    <w:jc w:val="center"/>
                    <w:rPr>
                      <w:rFonts w:hint="default" w:ascii="Times New Roman" w:hAnsi="Times New Roman" w:eastAsia="宋体" w:cs="Times New Roman"/>
                      <w:i w:val="0"/>
                      <w:iCs w:val="0"/>
                      <w:color w:val="000000"/>
                      <w:sz w:val="18"/>
                      <w:szCs w:val="18"/>
                      <w:u w:val="none"/>
                      <w:lang w:val="en-US" w:eastAsia="zh-CN"/>
                    </w:rPr>
                  </w:pPr>
                  <w:r>
                    <w:rPr>
                      <w:rFonts w:hint="eastAsia" w:cs="Times New Roman"/>
                      <w:i w:val="0"/>
                      <w:iCs w:val="0"/>
                      <w:color w:val="000000"/>
                      <w:sz w:val="18"/>
                      <w:szCs w:val="18"/>
                      <w:u w:val="none"/>
                      <w:lang w:val="en-US" w:eastAsia="zh-CN"/>
                    </w:rPr>
                    <w:t>2.0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2651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w:t>
                  </w:r>
                </w:p>
              </w:tc>
            </w:tr>
            <w:tr w14:paraId="26AC6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8F7D8">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71B63">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24CF4">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429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氟化物</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2E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19.250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B6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0.193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4457A">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E3E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58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r>
            <w:tr w14:paraId="0E83F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1B2EC">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45F85">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77EE7">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58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非甲烷总烃</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452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89.443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6F7A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0.894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85F9D">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58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9E2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5</w:t>
                  </w:r>
                </w:p>
              </w:tc>
            </w:tr>
            <w:tr w14:paraId="3014B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jc w:val="center"/>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E10B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E08E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DA002</w:t>
                  </w: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D5039">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026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颗粒物（含炭黑尘）</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EAF3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80.752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3B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1.373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B8C42">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953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B0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0.255</w:t>
                  </w:r>
                </w:p>
              </w:tc>
            </w:tr>
            <w:tr w14:paraId="4B1C6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jc w:val="center"/>
              </w:trPr>
              <w:tc>
                <w:tcPr>
                  <w:tcW w:w="4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DA7F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3</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E241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DA003</w:t>
                  </w: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F2341">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4F3F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二氧化硫</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F8F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4.18E-05</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04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4.18E-07</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8868A">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44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E3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r>
            <w:tr w14:paraId="78AFC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9680E">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78DDA">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04555">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72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氮氧化物</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2AFC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25.586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AD94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0.256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0F774">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C97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0C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r>
            <w:tr w14:paraId="7F701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14C0A">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B23A8">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F7AEB">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F4B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w:t>
                  </w:r>
                  <w:r>
                    <w:rPr>
                      <w:rFonts w:hint="eastAsia" w:cs="Times New Roman"/>
                      <w:i w:val="0"/>
                      <w:iCs w:val="0"/>
                      <w:color w:val="000000"/>
                      <w:kern w:val="0"/>
                      <w:sz w:val="18"/>
                      <w:szCs w:val="18"/>
                      <w:u w:val="none"/>
                      <w:lang w:val="en-US" w:eastAsia="zh-CN" w:bidi="ar"/>
                    </w:rPr>
                    <w:t>含炭黑尘、铜、锡等</w:t>
                  </w:r>
                  <w:r>
                    <w:rPr>
                      <w:rFonts w:hint="default" w:ascii="Times New Roman" w:hAnsi="Times New Roman" w:eastAsia="宋体" w:cs="Times New Roman"/>
                      <w:i w:val="0"/>
                      <w:iCs w:val="0"/>
                      <w:color w:val="000000"/>
                      <w:kern w:val="0"/>
                      <w:sz w:val="18"/>
                      <w:szCs w:val="18"/>
                      <w:u w:val="none"/>
                      <w:lang w:val="en-US" w:eastAsia="zh-CN" w:bidi="ar"/>
                    </w:rPr>
                    <w:t>）</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F5D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6.344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01E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0.063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294EF">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C0E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CE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0.255</w:t>
                  </w:r>
                </w:p>
              </w:tc>
            </w:tr>
            <w:tr w14:paraId="31A48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8BC58">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9FC3B">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4C9A4">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20C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锡及其化合物</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57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0.055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8D8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0.001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221EC">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5399">
                  <w:pPr>
                    <w:jc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sz w:val="18"/>
                      <w:szCs w:val="18"/>
                      <w:u w:val="none"/>
                      <w:lang w:val="en-US" w:eastAsia="zh-CN"/>
                    </w:rPr>
                    <w:t>2.0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6F1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w:t>
                  </w:r>
                </w:p>
              </w:tc>
            </w:tr>
            <w:tr w14:paraId="15B90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8A607">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60B0A">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CE16D">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A72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铜及其化合物</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D991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1.031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6E4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 xml:space="preserve">0.010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35C7D">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0C3EC">
                  <w:pPr>
                    <w:jc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sz w:val="18"/>
                      <w:szCs w:val="18"/>
                      <w:u w:val="none"/>
                      <w:lang w:val="en-US" w:eastAsia="zh-CN"/>
                    </w:rPr>
                    <w:t>2.0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C58A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w:t>
                  </w:r>
                </w:p>
              </w:tc>
            </w:tr>
            <w:tr w14:paraId="2B322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24D4D">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206C6">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D9C8F">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705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氟化物</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32E9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19.250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BA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0.193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5E9F1">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2A5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EE4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r>
            <w:tr w14:paraId="1C1AB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jc w:val="center"/>
              </w:trPr>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C3D7B">
                  <w:pPr>
                    <w:jc w:val="center"/>
                    <w:rPr>
                      <w:rFonts w:hint="default" w:ascii="Times New Roman" w:hAnsi="Times New Roman" w:eastAsia="宋体" w:cs="Times New Roman"/>
                      <w:i w:val="0"/>
                      <w:iCs w:val="0"/>
                      <w:color w:val="000000"/>
                      <w:sz w:val="18"/>
                      <w:szCs w:val="18"/>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86DFB">
                  <w:pPr>
                    <w:jc w:val="center"/>
                    <w:rPr>
                      <w:rFonts w:hint="default" w:ascii="Times New Roman" w:hAnsi="Times New Roman" w:eastAsia="宋体" w:cs="Times New Roman"/>
                      <w:i w:val="0"/>
                      <w:iCs w:val="0"/>
                      <w:color w:val="000000"/>
                      <w:sz w:val="18"/>
                      <w:szCs w:val="18"/>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6A6D4">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7B93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非甲烷总烃</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8A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88.735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475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0.887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B1F09">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3B2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3C9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5</w:t>
                  </w:r>
                </w:p>
              </w:tc>
            </w:tr>
            <w:tr w14:paraId="31B96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jc w:val="center"/>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2B3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4</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0D9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DA004</w:t>
                  </w: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9EFF5">
                  <w:pPr>
                    <w:jc w:val="center"/>
                    <w:rPr>
                      <w:rFonts w:hint="eastAsia" w:ascii="宋体" w:hAnsi="宋体" w:eastAsia="宋体" w:cs="宋体"/>
                      <w:i w:val="0"/>
                      <w:iCs w:val="0"/>
                      <w:color w:val="000000"/>
                      <w:sz w:val="18"/>
                      <w:szCs w:val="18"/>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325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颗粒物（含炭黑尘）</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1D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80.752 </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3F37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1.373 </w:t>
                  </w: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F24EE">
                  <w:pPr>
                    <w:jc w:val="center"/>
                    <w:rPr>
                      <w:rFonts w:hint="eastAsia" w:ascii="宋体" w:hAnsi="宋体" w:eastAsia="宋体" w:cs="宋体"/>
                      <w:i w:val="0"/>
                      <w:iCs w:val="0"/>
                      <w:color w:val="000000"/>
                      <w:sz w:val="18"/>
                      <w:szCs w:val="18"/>
                      <w:u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7E6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w:t>
                  </w:r>
                </w:p>
              </w:tc>
              <w:tc>
                <w:tcPr>
                  <w:tcW w:w="1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F701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color w:val="000000"/>
                      <w:kern w:val="0"/>
                      <w:sz w:val="18"/>
                      <w:szCs w:val="18"/>
                      <w:u w:val="none"/>
                      <w:lang w:val="en-US" w:eastAsia="zh-CN" w:bidi="ar"/>
                    </w:rPr>
                    <w:t>0.255</w:t>
                  </w:r>
                </w:p>
              </w:tc>
            </w:tr>
          </w:tbl>
          <w:p w14:paraId="3C5A04AE">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default" w:ascii="Times New Roman" w:hAnsi="Times New Roman" w:eastAsia="宋体" w:cs="Times New Roman"/>
                <w:bCs/>
                <w:color w:val="auto"/>
                <w:spacing w:val="0"/>
                <w:sz w:val="24"/>
                <w:lang w:val="en-US" w:eastAsia="zh-CN"/>
              </w:rPr>
            </w:pPr>
            <w:r>
              <w:rPr>
                <w:rFonts w:hint="eastAsia" w:ascii="Times New Roman" w:hAnsi="Times New Roman" w:eastAsia="宋体" w:cs="Times New Roman"/>
                <w:bCs/>
                <w:color w:val="auto"/>
                <w:spacing w:val="0"/>
                <w:sz w:val="24"/>
                <w:lang w:val="en-US" w:eastAsia="zh-CN"/>
              </w:rPr>
              <w:t>根据上表，非正常工况下，排气筒污染物排放</w:t>
            </w:r>
            <w:r>
              <w:rPr>
                <w:rFonts w:hint="eastAsia" w:cs="Times New Roman"/>
                <w:bCs/>
                <w:color w:val="auto"/>
                <w:spacing w:val="0"/>
                <w:sz w:val="24"/>
                <w:lang w:val="en-US" w:eastAsia="zh-CN"/>
              </w:rPr>
              <w:t>会</w:t>
            </w:r>
            <w:r>
              <w:rPr>
                <w:rFonts w:hint="eastAsia" w:ascii="Times New Roman" w:hAnsi="Times New Roman" w:eastAsia="宋体" w:cs="Times New Roman"/>
                <w:bCs/>
                <w:color w:val="auto"/>
                <w:spacing w:val="0"/>
                <w:sz w:val="24"/>
                <w:lang w:val="en-US" w:eastAsia="zh-CN"/>
              </w:rPr>
              <w:t>超出标准限值，建设单位应做好设备的保养，定期维护、保修工作，使处理设施达到预期效果，如发生非正常工况，则停止车间相关作业，维修正常后再开始作业，杜绝事故性废气直排。</w:t>
            </w:r>
          </w:p>
          <w:p w14:paraId="3C2FF640">
            <w:pPr>
              <w:keepNext w:val="0"/>
              <w:keepLines w:val="0"/>
              <w:pageBreakBefore w:val="0"/>
              <w:widowControl w:val="0"/>
              <w:kinsoku/>
              <w:wordWrap/>
              <w:overflowPunct/>
              <w:topLinePunct w:val="0"/>
              <w:autoSpaceDE/>
              <w:autoSpaceDN/>
              <w:bidi w:val="0"/>
              <w:snapToGrid/>
              <w:spacing w:line="480" w:lineRule="atLeast"/>
              <w:textAlignment w:val="auto"/>
              <w:rPr>
                <w:rFonts w:hint="default" w:ascii="Times New Roman" w:hAnsi="Times New Roman" w:eastAsia="宋体" w:cs="Times New Roman"/>
                <w:b/>
                <w:bCs w:val="0"/>
                <w:color w:val="auto"/>
                <w:spacing w:val="0"/>
                <w:sz w:val="24"/>
                <w:lang w:val="en-US" w:eastAsia="zh-CN"/>
              </w:rPr>
            </w:pPr>
            <w:r>
              <w:rPr>
                <w:rFonts w:hint="eastAsia" w:cs="Times New Roman"/>
                <w:b/>
                <w:bCs w:val="0"/>
                <w:color w:val="auto"/>
                <w:spacing w:val="0"/>
                <w:sz w:val="24"/>
                <w:lang w:val="en-US" w:eastAsia="zh-CN"/>
              </w:rPr>
              <w:t>4.1.5环境影响分析</w:t>
            </w:r>
          </w:p>
          <w:p w14:paraId="57AB6A46">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default" w:ascii="Times New Roman" w:hAnsi="Times New Roman" w:eastAsia="宋体" w:cs="Times New Roman"/>
                <w:b w:val="0"/>
                <w:bCs w:val="0"/>
                <w:color w:val="auto"/>
                <w:kern w:val="0"/>
                <w:sz w:val="24"/>
                <w:szCs w:val="24"/>
                <w:vertAlign w:val="baseline"/>
                <w:lang w:val="en-US" w:eastAsia="zh-CN"/>
              </w:rPr>
            </w:pPr>
            <w:r>
              <w:rPr>
                <w:rFonts w:hint="eastAsia" w:cs="Times New Roman"/>
                <w:bCs/>
                <w:color w:val="auto"/>
                <w:spacing w:val="0"/>
                <w:sz w:val="24"/>
                <w:lang w:val="en-US" w:eastAsia="zh-CN"/>
              </w:rPr>
              <w:t>本项目各工序废气经有效收集处理后，排放浓度和排放速率均满足《危险废物焚烧污染控制标准》（GB18484-2020）、《大气污染物综合排放标准》（GB16297-1996）中要求，</w:t>
            </w:r>
            <w:r>
              <w:rPr>
                <w:rFonts w:hint="eastAsia" w:ascii="Times New Roman" w:hAnsi="Times New Roman" w:eastAsia="宋体" w:cs="Times New Roman"/>
                <w:b w:val="0"/>
                <w:bCs w:val="0"/>
                <w:color w:val="auto"/>
                <w:kern w:val="0"/>
                <w:sz w:val="24"/>
                <w:szCs w:val="24"/>
                <w:vertAlign w:val="baseline"/>
                <w:lang w:val="en-US" w:eastAsia="zh-CN"/>
              </w:rPr>
              <w:t>废气有组织排放对周边环境影响较小，可以接受。</w:t>
            </w:r>
          </w:p>
          <w:p w14:paraId="2B5E831F">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default" w:ascii="Times New Roman" w:hAnsi="Times New Roman" w:eastAsia="宋体" w:cs="Times New Roman"/>
                <w:bCs/>
                <w:color w:val="auto"/>
                <w:spacing w:val="0"/>
                <w:sz w:val="24"/>
                <w:szCs w:val="24"/>
                <w:lang w:val="en-US" w:eastAsia="zh-CN"/>
              </w:rPr>
            </w:pPr>
            <w:r>
              <w:rPr>
                <w:rFonts w:hint="eastAsia" w:cs="Times New Roman"/>
                <w:bCs/>
                <w:color w:val="auto"/>
                <w:spacing w:val="0"/>
                <w:sz w:val="24"/>
                <w:szCs w:val="24"/>
                <w:lang w:val="en-US" w:eastAsia="zh-CN"/>
              </w:rPr>
              <w:t>（</w:t>
            </w:r>
            <w:r>
              <w:rPr>
                <w:rFonts w:hint="default" w:ascii="Times New Roman" w:hAnsi="Times New Roman" w:eastAsia="宋体" w:cs="Times New Roman"/>
                <w:bCs/>
                <w:color w:val="auto"/>
                <w:spacing w:val="0"/>
                <w:sz w:val="24"/>
                <w:szCs w:val="24"/>
                <w:lang w:val="en-US" w:eastAsia="zh-CN"/>
              </w:rPr>
              <w:t>2）无组织废气</w:t>
            </w:r>
          </w:p>
          <w:p w14:paraId="64F421C9">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eastAsia" w:cs="Times New Roman"/>
                <w:color w:val="auto"/>
                <w:kern w:val="2"/>
                <w:sz w:val="24"/>
                <w:szCs w:val="24"/>
                <w:u w:val="none"/>
                <w:shd w:val="clear" w:color="auto" w:fill="auto"/>
                <w:lang w:val="en-US" w:eastAsia="zh-CN" w:bidi="ar-SA"/>
              </w:rPr>
            </w:pPr>
            <w:r>
              <w:rPr>
                <w:rFonts w:hint="eastAsia" w:ascii="Times New Roman" w:hAnsi="Times New Roman" w:cs="Times New Roman"/>
                <w:bCs/>
                <w:color w:val="auto"/>
                <w:spacing w:val="0"/>
                <w:sz w:val="24"/>
                <w:lang w:val="en-US" w:eastAsia="zh-CN"/>
              </w:rPr>
              <w:t>无组织废气主要来自未收集的</w:t>
            </w:r>
            <w:r>
              <w:rPr>
                <w:rFonts w:hint="eastAsia" w:cs="Times New Roman"/>
                <w:bCs/>
                <w:color w:val="auto"/>
                <w:spacing w:val="0"/>
                <w:sz w:val="24"/>
                <w:lang w:val="en-US" w:eastAsia="zh-CN"/>
              </w:rPr>
              <w:t>开炉废气</w:t>
            </w:r>
            <w:r>
              <w:rPr>
                <w:rFonts w:hint="eastAsia" w:ascii="Times New Roman" w:hAnsi="Times New Roman" w:cs="Times New Roman"/>
                <w:bCs/>
                <w:color w:val="auto"/>
                <w:spacing w:val="0"/>
                <w:sz w:val="24"/>
                <w:lang w:val="en-US" w:eastAsia="zh-CN"/>
              </w:rPr>
              <w:t>、包装粉尘</w:t>
            </w:r>
            <w:r>
              <w:rPr>
                <w:rFonts w:hint="eastAsia" w:cs="Times New Roman"/>
                <w:bCs/>
                <w:color w:val="auto"/>
                <w:spacing w:val="0"/>
                <w:sz w:val="24"/>
                <w:lang w:val="en-US" w:eastAsia="zh-CN"/>
              </w:rPr>
              <w:t>。</w:t>
            </w:r>
            <w:r>
              <w:rPr>
                <w:rFonts w:hint="eastAsia" w:ascii="Times New Roman" w:hAnsi="Times New Roman" w:cs="Times New Roman"/>
                <w:bCs/>
                <w:color w:val="auto"/>
                <w:spacing w:val="0"/>
                <w:sz w:val="24"/>
                <w:lang w:val="en-US" w:eastAsia="zh-CN"/>
              </w:rPr>
              <w:t>项目生产线均布置在封闭厂房内，</w:t>
            </w:r>
            <w:r>
              <w:rPr>
                <w:rFonts w:hint="eastAsia" w:cs="Times New Roman"/>
                <w:color w:val="auto"/>
                <w:kern w:val="2"/>
                <w:sz w:val="24"/>
                <w:szCs w:val="24"/>
                <w:u w:val="none"/>
                <w:shd w:val="clear" w:color="auto" w:fill="auto"/>
                <w:lang w:val="en-US" w:eastAsia="zh-CN" w:bidi="ar-SA"/>
              </w:rPr>
              <w:t>通过加强废气收集效率和车间通风换气，无组织废气排放对周边环境影响较小，可以接受。</w:t>
            </w:r>
          </w:p>
          <w:p w14:paraId="02296BD9">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eastAsia" w:cs="Times New Roman"/>
                <w:color w:val="auto"/>
                <w:kern w:val="2"/>
                <w:sz w:val="24"/>
                <w:szCs w:val="24"/>
                <w:u w:val="none"/>
                <w:shd w:val="clear" w:color="auto" w:fill="auto"/>
                <w:lang w:val="en-US" w:eastAsia="zh-CN" w:bidi="ar-SA"/>
              </w:rPr>
            </w:pPr>
          </w:p>
          <w:p w14:paraId="6BF9039D">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eastAsia" w:cs="Times New Roman"/>
                <w:color w:val="auto"/>
                <w:kern w:val="2"/>
                <w:sz w:val="24"/>
                <w:szCs w:val="24"/>
                <w:u w:val="none"/>
                <w:shd w:val="clear" w:color="auto" w:fill="auto"/>
                <w:lang w:val="en-US" w:eastAsia="zh-CN" w:bidi="ar-SA"/>
              </w:rPr>
            </w:pPr>
          </w:p>
          <w:p w14:paraId="232F60DB">
            <w:pPr>
              <w:keepNext w:val="0"/>
              <w:keepLines w:val="0"/>
              <w:pageBreakBefore w:val="0"/>
              <w:widowControl w:val="0"/>
              <w:kinsoku/>
              <w:wordWrap/>
              <w:overflowPunct/>
              <w:topLinePunct w:val="0"/>
              <w:autoSpaceDE/>
              <w:autoSpaceDN/>
              <w:bidi w:val="0"/>
              <w:snapToGrid/>
              <w:spacing w:line="480" w:lineRule="atLeast"/>
              <w:ind w:firstLine="480" w:firstLineChars="200"/>
              <w:textAlignment w:val="auto"/>
              <w:rPr>
                <w:rFonts w:hint="default" w:cs="Times New Roman"/>
                <w:color w:val="auto"/>
                <w:kern w:val="2"/>
                <w:sz w:val="24"/>
                <w:szCs w:val="24"/>
                <w:u w:val="none"/>
                <w:shd w:val="clear" w:color="auto" w:fill="auto"/>
                <w:lang w:val="en-US" w:eastAsia="zh-CN" w:bidi="ar-SA"/>
              </w:rPr>
            </w:pPr>
          </w:p>
          <w:p w14:paraId="0D73E375">
            <w:pPr>
              <w:adjustRightInd w:val="0"/>
              <w:snapToGrid w:val="0"/>
              <w:rPr>
                <w:rFonts w:hint="eastAsia" w:cs="Times New Roman"/>
                <w:bCs/>
                <w:color w:val="auto"/>
                <w:spacing w:val="0"/>
                <w:position w:val="0"/>
                <w:sz w:val="24"/>
                <w:lang w:eastAsia="zh-CN"/>
              </w:rPr>
            </w:pPr>
          </w:p>
          <w:p w14:paraId="630A67EA">
            <w:pPr>
              <w:keepNext w:val="0"/>
              <w:keepLines w:val="0"/>
              <w:pageBreakBefore w:val="0"/>
              <w:widowControl w:val="0"/>
              <w:kinsoku/>
              <w:wordWrap/>
              <w:overflowPunct/>
              <w:topLinePunct w:val="0"/>
              <w:autoSpaceDE/>
              <w:autoSpaceDN/>
              <w:bidi w:val="0"/>
              <w:adjustRightInd w:val="0"/>
              <w:snapToGrid w:val="0"/>
              <w:spacing w:line="480" w:lineRule="atLeast"/>
              <w:textAlignment w:val="auto"/>
              <w:rPr>
                <w:rFonts w:hint="eastAsia" w:cs="Times New Roman"/>
                <w:bCs/>
                <w:color w:val="auto"/>
                <w:spacing w:val="0"/>
                <w:position w:val="0"/>
                <w:sz w:val="24"/>
                <w:lang w:eastAsia="zh-CN"/>
              </w:rPr>
            </w:pPr>
            <w:r>
              <w:rPr>
                <w:rFonts w:hint="eastAsia" w:cs="Times New Roman"/>
                <w:b/>
                <w:bCs/>
                <w:color w:val="auto"/>
                <w:spacing w:val="0"/>
                <w:sz w:val="24"/>
                <w:lang w:val="en-US" w:eastAsia="zh-CN"/>
              </w:rPr>
              <w:t>4.2</w:t>
            </w:r>
            <w:r>
              <w:rPr>
                <w:rFonts w:hint="eastAsia" w:ascii="Times New Roman" w:hAnsi="Times New Roman" w:cs="Times New Roman"/>
                <w:b/>
                <w:bCs/>
                <w:color w:val="auto"/>
                <w:spacing w:val="0"/>
                <w:sz w:val="24"/>
                <w:lang w:val="en-US" w:eastAsia="zh-CN"/>
              </w:rPr>
              <w:t>水</w:t>
            </w:r>
            <w:r>
              <w:rPr>
                <w:rFonts w:hint="eastAsia" w:ascii="宋体" w:hAnsi="宋体" w:eastAsia="宋体" w:cs="宋体"/>
                <w:b/>
                <w:bCs/>
                <w:color w:val="auto"/>
                <w:spacing w:val="0"/>
                <w:sz w:val="24"/>
                <w:lang w:val="en-US" w:eastAsia="zh-CN"/>
              </w:rPr>
              <w:t>环境影响及保护措施</w:t>
            </w:r>
          </w:p>
          <w:p w14:paraId="2A210136">
            <w:pPr>
              <w:keepNext w:val="0"/>
              <w:keepLines w:val="0"/>
              <w:pageBreakBefore w:val="0"/>
              <w:widowControl w:val="0"/>
              <w:kinsoku/>
              <w:wordWrap/>
              <w:overflowPunct/>
              <w:topLinePunct w:val="0"/>
              <w:autoSpaceDE/>
              <w:autoSpaceDN/>
              <w:bidi w:val="0"/>
              <w:adjustRightInd w:val="0"/>
              <w:snapToGrid w:val="0"/>
              <w:spacing w:line="480" w:lineRule="atLeast"/>
              <w:textAlignment w:val="auto"/>
              <w:rPr>
                <w:rFonts w:hint="default"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4.2.1废水类型及废水量</w:t>
            </w:r>
          </w:p>
          <w:p w14:paraId="1264AE7D">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cs="Times New Roman"/>
                <w:bCs/>
                <w:color w:val="auto"/>
                <w:spacing w:val="0"/>
                <w:position w:val="0"/>
                <w:sz w:val="24"/>
                <w:lang w:val="en-US" w:eastAsia="zh-CN"/>
              </w:rPr>
            </w:pPr>
            <w:r>
              <w:rPr>
                <w:rFonts w:hint="eastAsia" w:cs="Times New Roman"/>
                <w:bCs/>
                <w:color w:val="auto"/>
                <w:spacing w:val="0"/>
                <w:position w:val="0"/>
                <w:sz w:val="24"/>
                <w:lang w:val="en-US" w:eastAsia="zh-CN"/>
              </w:rPr>
              <w:t>根据水平衡，项目污废水主要为生活污水、碱洗废水、洗砂废水、喷淋塔定期排水和地面冲洗废水。</w:t>
            </w:r>
          </w:p>
          <w:p w14:paraId="59A2175F">
            <w:pPr>
              <w:widowControl/>
              <w:spacing w:line="480" w:lineRule="atLeast"/>
              <w:jc w:val="center"/>
              <w:rPr>
                <w:b/>
                <w:bCs/>
                <w:szCs w:val="21"/>
              </w:rPr>
            </w:pPr>
            <w:r>
              <w:rPr>
                <w:rFonts w:hint="eastAsia"/>
                <w:b/>
                <w:bCs/>
                <w:szCs w:val="21"/>
              </w:rPr>
              <w:t>表4-</w:t>
            </w:r>
            <w:r>
              <w:rPr>
                <w:rFonts w:hint="eastAsia"/>
                <w:b/>
                <w:bCs/>
                <w:szCs w:val="21"/>
                <w:lang w:val="en-US" w:eastAsia="zh-CN"/>
              </w:rPr>
              <w:t>23</w:t>
            </w:r>
            <w:r>
              <w:rPr>
                <w:rFonts w:hint="eastAsia"/>
                <w:b/>
                <w:bCs/>
                <w:szCs w:val="21"/>
              </w:rPr>
              <w:t xml:space="preserve">  废水类型及废水量</w:t>
            </w:r>
          </w:p>
          <w:tbl>
            <w:tblPr>
              <w:tblStyle w:val="26"/>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2"/>
              <w:gridCol w:w="2034"/>
              <w:gridCol w:w="1916"/>
              <w:gridCol w:w="1718"/>
              <w:gridCol w:w="1149"/>
              <w:gridCol w:w="1328"/>
            </w:tblGrid>
            <w:tr w14:paraId="59676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jc w:val="center"/>
              </w:trPr>
              <w:tc>
                <w:tcPr>
                  <w:tcW w:w="752" w:type="dxa"/>
                  <w:tcBorders>
                    <w:tl2br w:val="nil"/>
                    <w:tr2bl w:val="nil"/>
                  </w:tcBorders>
                  <w:shd w:val="clear" w:color="auto" w:fill="auto"/>
                  <w:vAlign w:val="center"/>
                </w:tcPr>
                <w:p w14:paraId="3A677A31">
                  <w:pPr>
                    <w:widowControl/>
                    <w:jc w:val="center"/>
                    <w:textAlignment w:val="center"/>
                    <w:rPr>
                      <w:b/>
                      <w:bCs/>
                      <w:color w:val="auto"/>
                      <w:sz w:val="21"/>
                      <w:szCs w:val="21"/>
                    </w:rPr>
                  </w:pPr>
                  <w:r>
                    <w:rPr>
                      <w:b/>
                      <w:bCs/>
                      <w:color w:val="auto"/>
                      <w:kern w:val="0"/>
                      <w:sz w:val="21"/>
                      <w:szCs w:val="21"/>
                      <w:lang w:bidi="ar"/>
                    </w:rPr>
                    <w:t>序号</w:t>
                  </w:r>
                </w:p>
              </w:tc>
              <w:tc>
                <w:tcPr>
                  <w:tcW w:w="2034" w:type="dxa"/>
                  <w:tcBorders>
                    <w:tl2br w:val="nil"/>
                    <w:tr2bl w:val="nil"/>
                  </w:tcBorders>
                  <w:shd w:val="clear" w:color="auto" w:fill="auto"/>
                  <w:vAlign w:val="center"/>
                </w:tcPr>
                <w:p w14:paraId="2EC78C1C">
                  <w:pPr>
                    <w:widowControl/>
                    <w:jc w:val="center"/>
                    <w:textAlignment w:val="center"/>
                    <w:rPr>
                      <w:b/>
                      <w:bCs/>
                      <w:color w:val="auto"/>
                      <w:kern w:val="0"/>
                      <w:sz w:val="21"/>
                      <w:szCs w:val="21"/>
                      <w:lang w:bidi="ar"/>
                    </w:rPr>
                  </w:pPr>
                  <w:r>
                    <w:rPr>
                      <w:b/>
                      <w:bCs/>
                      <w:color w:val="auto"/>
                      <w:kern w:val="0"/>
                      <w:sz w:val="21"/>
                      <w:szCs w:val="21"/>
                      <w:lang w:bidi="ar"/>
                    </w:rPr>
                    <w:t>废水类型</w:t>
                  </w:r>
                </w:p>
              </w:tc>
              <w:tc>
                <w:tcPr>
                  <w:tcW w:w="1916" w:type="dxa"/>
                  <w:tcBorders>
                    <w:tl2br w:val="nil"/>
                    <w:tr2bl w:val="nil"/>
                  </w:tcBorders>
                  <w:shd w:val="clear" w:color="auto" w:fill="auto"/>
                  <w:vAlign w:val="center"/>
                </w:tcPr>
                <w:p w14:paraId="3856CDA3">
                  <w:pPr>
                    <w:widowControl/>
                    <w:jc w:val="center"/>
                    <w:textAlignment w:val="center"/>
                    <w:rPr>
                      <w:b/>
                      <w:bCs/>
                      <w:color w:val="auto"/>
                      <w:sz w:val="21"/>
                      <w:szCs w:val="21"/>
                    </w:rPr>
                  </w:pPr>
                  <w:r>
                    <w:rPr>
                      <w:rFonts w:hint="eastAsia"/>
                      <w:b/>
                      <w:bCs/>
                      <w:color w:val="auto"/>
                      <w:kern w:val="0"/>
                      <w:sz w:val="21"/>
                      <w:szCs w:val="21"/>
                      <w:lang w:bidi="ar"/>
                    </w:rPr>
                    <w:t>主要污染因子</w:t>
                  </w:r>
                </w:p>
              </w:tc>
              <w:tc>
                <w:tcPr>
                  <w:tcW w:w="1718" w:type="dxa"/>
                  <w:tcBorders>
                    <w:tl2br w:val="nil"/>
                    <w:tr2bl w:val="nil"/>
                  </w:tcBorders>
                  <w:shd w:val="clear" w:color="auto" w:fill="auto"/>
                  <w:vAlign w:val="center"/>
                </w:tcPr>
                <w:p w14:paraId="751BBA48">
                  <w:pPr>
                    <w:widowControl/>
                    <w:jc w:val="center"/>
                    <w:textAlignment w:val="center"/>
                    <w:rPr>
                      <w:b/>
                      <w:bCs/>
                      <w:color w:val="auto"/>
                      <w:kern w:val="0"/>
                      <w:sz w:val="21"/>
                      <w:szCs w:val="21"/>
                      <w:lang w:bidi="ar"/>
                    </w:rPr>
                  </w:pPr>
                  <w:r>
                    <w:rPr>
                      <w:b/>
                      <w:bCs/>
                      <w:color w:val="auto"/>
                      <w:kern w:val="0"/>
                      <w:sz w:val="21"/>
                      <w:szCs w:val="21"/>
                      <w:lang w:bidi="ar"/>
                    </w:rPr>
                    <w:t>废水产生量t/a</w:t>
                  </w:r>
                </w:p>
              </w:tc>
              <w:tc>
                <w:tcPr>
                  <w:tcW w:w="1149" w:type="dxa"/>
                  <w:tcBorders>
                    <w:tl2br w:val="nil"/>
                    <w:tr2bl w:val="nil"/>
                  </w:tcBorders>
                  <w:shd w:val="clear" w:color="auto" w:fill="auto"/>
                  <w:vAlign w:val="center"/>
                </w:tcPr>
                <w:p w14:paraId="243F6DB0">
                  <w:pPr>
                    <w:widowControl/>
                    <w:jc w:val="center"/>
                    <w:textAlignment w:val="center"/>
                    <w:rPr>
                      <w:rFonts w:hint="default" w:eastAsia="宋体"/>
                      <w:b/>
                      <w:bCs/>
                      <w:color w:val="auto"/>
                      <w:kern w:val="0"/>
                      <w:sz w:val="21"/>
                      <w:szCs w:val="21"/>
                      <w:lang w:val="en-US" w:eastAsia="zh-CN" w:bidi="ar"/>
                    </w:rPr>
                  </w:pPr>
                  <w:r>
                    <w:rPr>
                      <w:rFonts w:hint="eastAsia"/>
                      <w:b/>
                      <w:bCs/>
                      <w:color w:val="auto"/>
                      <w:kern w:val="0"/>
                      <w:sz w:val="21"/>
                      <w:szCs w:val="21"/>
                      <w:lang w:val="en-US" w:eastAsia="zh-CN" w:bidi="ar"/>
                    </w:rPr>
                    <w:t>回用量</w:t>
                  </w:r>
                  <w:r>
                    <w:rPr>
                      <w:b/>
                      <w:bCs/>
                      <w:color w:val="auto"/>
                      <w:kern w:val="0"/>
                      <w:sz w:val="21"/>
                      <w:szCs w:val="21"/>
                      <w:lang w:bidi="ar"/>
                    </w:rPr>
                    <w:t>t/a</w:t>
                  </w:r>
                </w:p>
              </w:tc>
              <w:tc>
                <w:tcPr>
                  <w:tcW w:w="1328" w:type="dxa"/>
                  <w:tcBorders>
                    <w:tl2br w:val="nil"/>
                    <w:tr2bl w:val="nil"/>
                  </w:tcBorders>
                  <w:shd w:val="clear" w:color="auto" w:fill="auto"/>
                  <w:vAlign w:val="center"/>
                </w:tcPr>
                <w:p w14:paraId="33989BFF">
                  <w:pPr>
                    <w:widowControl/>
                    <w:jc w:val="center"/>
                    <w:textAlignment w:val="center"/>
                    <w:rPr>
                      <w:rFonts w:hint="eastAsia" w:eastAsia="宋体"/>
                      <w:b/>
                      <w:bCs/>
                      <w:color w:val="auto"/>
                      <w:kern w:val="0"/>
                      <w:sz w:val="21"/>
                      <w:szCs w:val="21"/>
                      <w:lang w:val="en-US" w:eastAsia="zh-CN" w:bidi="ar"/>
                    </w:rPr>
                  </w:pPr>
                  <w:r>
                    <w:rPr>
                      <w:rFonts w:hint="eastAsia"/>
                      <w:b/>
                      <w:bCs/>
                      <w:color w:val="auto"/>
                      <w:kern w:val="0"/>
                      <w:sz w:val="21"/>
                      <w:szCs w:val="21"/>
                      <w:lang w:val="en-US" w:eastAsia="zh-CN" w:bidi="ar"/>
                    </w:rPr>
                    <w:t>排放量</w:t>
                  </w:r>
                  <w:r>
                    <w:rPr>
                      <w:b/>
                      <w:bCs/>
                      <w:color w:val="auto"/>
                      <w:kern w:val="0"/>
                      <w:sz w:val="21"/>
                      <w:szCs w:val="21"/>
                      <w:lang w:bidi="ar"/>
                    </w:rPr>
                    <w:t>t/a</w:t>
                  </w:r>
                </w:p>
              </w:tc>
            </w:tr>
            <w:tr w14:paraId="64AC9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752" w:type="dxa"/>
                  <w:tcBorders>
                    <w:tl2br w:val="nil"/>
                    <w:tr2bl w:val="nil"/>
                  </w:tcBorders>
                  <w:shd w:val="clear" w:color="auto" w:fill="auto"/>
                  <w:vAlign w:val="center"/>
                </w:tcPr>
                <w:p w14:paraId="2AACD45D">
                  <w:pPr>
                    <w:widowControl/>
                    <w:jc w:val="center"/>
                    <w:textAlignment w:val="center"/>
                    <w:rPr>
                      <w:color w:val="auto"/>
                      <w:sz w:val="21"/>
                      <w:szCs w:val="21"/>
                    </w:rPr>
                  </w:pPr>
                  <w:r>
                    <w:rPr>
                      <w:color w:val="auto"/>
                      <w:kern w:val="0"/>
                      <w:sz w:val="21"/>
                      <w:szCs w:val="21"/>
                      <w:lang w:bidi="ar"/>
                    </w:rPr>
                    <w:t>1</w:t>
                  </w:r>
                </w:p>
              </w:tc>
              <w:tc>
                <w:tcPr>
                  <w:tcW w:w="2034" w:type="dxa"/>
                  <w:tcBorders>
                    <w:tl2br w:val="nil"/>
                    <w:tr2bl w:val="nil"/>
                  </w:tcBorders>
                  <w:shd w:val="clear" w:color="auto" w:fill="auto"/>
                  <w:vAlign w:val="center"/>
                </w:tcPr>
                <w:p w14:paraId="435BAC22">
                  <w:pPr>
                    <w:widowControl/>
                    <w:jc w:val="center"/>
                    <w:textAlignment w:val="center"/>
                    <w:rPr>
                      <w:color w:val="auto"/>
                      <w:kern w:val="0"/>
                      <w:sz w:val="21"/>
                      <w:szCs w:val="21"/>
                      <w:lang w:bidi="ar"/>
                    </w:rPr>
                  </w:pPr>
                  <w:r>
                    <w:rPr>
                      <w:color w:val="auto"/>
                      <w:kern w:val="0"/>
                      <w:sz w:val="21"/>
                      <w:szCs w:val="21"/>
                      <w:lang w:bidi="ar"/>
                    </w:rPr>
                    <w:t>生活污水</w:t>
                  </w:r>
                </w:p>
              </w:tc>
              <w:tc>
                <w:tcPr>
                  <w:tcW w:w="1916" w:type="dxa"/>
                  <w:tcBorders>
                    <w:tl2br w:val="nil"/>
                    <w:tr2bl w:val="nil"/>
                  </w:tcBorders>
                  <w:shd w:val="clear" w:color="auto" w:fill="auto"/>
                  <w:vAlign w:val="center"/>
                </w:tcPr>
                <w:p w14:paraId="2EE75E9B">
                  <w:pPr>
                    <w:widowControl/>
                    <w:jc w:val="center"/>
                    <w:textAlignment w:val="center"/>
                    <w:rPr>
                      <w:color w:val="auto"/>
                      <w:sz w:val="21"/>
                      <w:szCs w:val="21"/>
                    </w:rPr>
                  </w:pPr>
                  <w:r>
                    <w:rPr>
                      <w:rFonts w:hint="eastAsia"/>
                      <w:color w:val="auto"/>
                      <w:sz w:val="21"/>
                      <w:szCs w:val="21"/>
                    </w:rPr>
                    <w:t>COD、BOD</w:t>
                  </w:r>
                  <w:r>
                    <w:rPr>
                      <w:rFonts w:hint="eastAsia"/>
                      <w:color w:val="auto"/>
                      <w:sz w:val="21"/>
                      <w:szCs w:val="21"/>
                      <w:vertAlign w:val="subscript"/>
                    </w:rPr>
                    <w:t>5</w:t>
                  </w:r>
                  <w:r>
                    <w:rPr>
                      <w:rFonts w:hint="eastAsia"/>
                      <w:color w:val="auto"/>
                      <w:sz w:val="21"/>
                      <w:szCs w:val="21"/>
                    </w:rPr>
                    <w:t>、SS、氨氮、动植物油、TP、TN</w:t>
                  </w:r>
                </w:p>
              </w:tc>
              <w:tc>
                <w:tcPr>
                  <w:tcW w:w="1718" w:type="dxa"/>
                  <w:tcBorders>
                    <w:tl2br w:val="nil"/>
                    <w:tr2bl w:val="nil"/>
                  </w:tcBorders>
                  <w:shd w:val="clear" w:color="auto" w:fill="auto"/>
                  <w:vAlign w:val="center"/>
                </w:tcPr>
                <w:p w14:paraId="7D253A5E">
                  <w:pPr>
                    <w:widowControl/>
                    <w:jc w:val="center"/>
                    <w:textAlignment w:val="center"/>
                    <w:rPr>
                      <w:rFonts w:hint="default" w:eastAsia="宋体"/>
                      <w:color w:val="auto"/>
                      <w:sz w:val="21"/>
                      <w:szCs w:val="21"/>
                      <w:lang w:val="en-US" w:eastAsia="zh-CN"/>
                    </w:rPr>
                  </w:pPr>
                  <w:r>
                    <w:rPr>
                      <w:rFonts w:hint="eastAsia"/>
                      <w:color w:val="auto"/>
                      <w:sz w:val="21"/>
                      <w:szCs w:val="21"/>
                      <w:lang w:val="en-US" w:eastAsia="zh-CN"/>
                    </w:rPr>
                    <w:t>1440</w:t>
                  </w:r>
                </w:p>
              </w:tc>
              <w:tc>
                <w:tcPr>
                  <w:tcW w:w="1149" w:type="dxa"/>
                  <w:tcBorders>
                    <w:tl2br w:val="nil"/>
                    <w:tr2bl w:val="nil"/>
                  </w:tcBorders>
                  <w:shd w:val="clear" w:color="auto" w:fill="auto"/>
                  <w:vAlign w:val="center"/>
                </w:tcPr>
                <w:p w14:paraId="1665A931">
                  <w:pPr>
                    <w:widowControl/>
                    <w:jc w:val="center"/>
                    <w:textAlignment w:val="center"/>
                    <w:rPr>
                      <w:rFonts w:hint="default"/>
                      <w:color w:val="auto"/>
                      <w:sz w:val="21"/>
                      <w:szCs w:val="21"/>
                      <w:lang w:val="en-US" w:eastAsia="zh-CN"/>
                    </w:rPr>
                  </w:pPr>
                  <w:r>
                    <w:rPr>
                      <w:rFonts w:hint="eastAsia"/>
                      <w:color w:val="auto"/>
                      <w:sz w:val="21"/>
                      <w:szCs w:val="21"/>
                      <w:lang w:val="en-US" w:eastAsia="zh-CN"/>
                    </w:rPr>
                    <w:t>0</w:t>
                  </w:r>
                </w:p>
              </w:tc>
              <w:tc>
                <w:tcPr>
                  <w:tcW w:w="1328" w:type="dxa"/>
                  <w:tcBorders>
                    <w:tl2br w:val="nil"/>
                    <w:tr2bl w:val="nil"/>
                  </w:tcBorders>
                  <w:shd w:val="clear" w:color="auto" w:fill="auto"/>
                  <w:vAlign w:val="center"/>
                </w:tcPr>
                <w:p w14:paraId="6BD63C56">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1440</w:t>
                  </w:r>
                </w:p>
              </w:tc>
            </w:tr>
            <w:tr w14:paraId="7FE56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jc w:val="center"/>
              </w:trPr>
              <w:tc>
                <w:tcPr>
                  <w:tcW w:w="752" w:type="dxa"/>
                  <w:tcBorders>
                    <w:tl2br w:val="nil"/>
                    <w:tr2bl w:val="nil"/>
                  </w:tcBorders>
                  <w:shd w:val="clear" w:color="auto" w:fill="auto"/>
                  <w:vAlign w:val="center"/>
                </w:tcPr>
                <w:p w14:paraId="19E7C7CB">
                  <w:pPr>
                    <w:widowControl/>
                    <w:jc w:val="center"/>
                    <w:textAlignment w:val="center"/>
                    <w:rPr>
                      <w:rFonts w:hint="eastAsia" w:eastAsia="宋体"/>
                      <w:color w:val="auto"/>
                      <w:sz w:val="21"/>
                      <w:szCs w:val="21"/>
                      <w:lang w:eastAsia="zh-CN"/>
                    </w:rPr>
                  </w:pPr>
                  <w:r>
                    <w:rPr>
                      <w:rFonts w:hint="eastAsia"/>
                      <w:color w:val="auto"/>
                      <w:kern w:val="0"/>
                      <w:sz w:val="21"/>
                      <w:szCs w:val="21"/>
                      <w:lang w:val="en-US" w:eastAsia="zh-CN" w:bidi="ar"/>
                    </w:rPr>
                    <w:t>2</w:t>
                  </w:r>
                </w:p>
              </w:tc>
              <w:tc>
                <w:tcPr>
                  <w:tcW w:w="2034" w:type="dxa"/>
                  <w:tcBorders>
                    <w:tl2br w:val="nil"/>
                    <w:tr2bl w:val="nil"/>
                  </w:tcBorders>
                  <w:shd w:val="clear" w:color="auto" w:fill="auto"/>
                  <w:vAlign w:val="center"/>
                </w:tcPr>
                <w:p w14:paraId="6BE882A5">
                  <w:pPr>
                    <w:widowControl/>
                    <w:jc w:val="center"/>
                    <w:textAlignment w:val="center"/>
                    <w:rPr>
                      <w:color w:val="auto"/>
                      <w:kern w:val="0"/>
                      <w:sz w:val="21"/>
                      <w:szCs w:val="21"/>
                      <w:lang w:bidi="ar"/>
                    </w:rPr>
                  </w:pPr>
                  <w:r>
                    <w:rPr>
                      <w:rFonts w:hint="eastAsia" w:cs="Times New Roman"/>
                      <w:bCs/>
                      <w:color w:val="auto"/>
                      <w:spacing w:val="0"/>
                      <w:position w:val="0"/>
                      <w:sz w:val="21"/>
                      <w:szCs w:val="21"/>
                      <w:lang w:val="en-US" w:eastAsia="zh-CN"/>
                    </w:rPr>
                    <w:t>碱洗废水</w:t>
                  </w:r>
                </w:p>
              </w:tc>
              <w:tc>
                <w:tcPr>
                  <w:tcW w:w="1916" w:type="dxa"/>
                  <w:vMerge w:val="restart"/>
                  <w:tcBorders>
                    <w:tl2br w:val="nil"/>
                    <w:tr2bl w:val="nil"/>
                  </w:tcBorders>
                  <w:shd w:val="clear" w:color="auto" w:fill="auto"/>
                  <w:vAlign w:val="center"/>
                </w:tcPr>
                <w:p w14:paraId="51E8F438">
                  <w:pPr>
                    <w:widowControl/>
                    <w:jc w:val="center"/>
                    <w:textAlignment w:val="center"/>
                    <w:rPr>
                      <w:color w:val="auto"/>
                      <w:sz w:val="21"/>
                      <w:szCs w:val="21"/>
                    </w:rPr>
                  </w:pPr>
                  <w:r>
                    <w:rPr>
                      <w:rFonts w:hint="eastAsia"/>
                      <w:color w:val="auto"/>
                      <w:sz w:val="21"/>
                      <w:szCs w:val="21"/>
                      <w:lang w:val="en-US" w:eastAsia="zh-CN"/>
                    </w:rPr>
                    <w:t>pH、</w:t>
                  </w:r>
                  <w:r>
                    <w:rPr>
                      <w:rFonts w:hint="eastAsia"/>
                      <w:color w:val="auto"/>
                      <w:sz w:val="21"/>
                      <w:szCs w:val="21"/>
                    </w:rPr>
                    <w:t>SS</w:t>
                  </w:r>
                </w:p>
              </w:tc>
              <w:tc>
                <w:tcPr>
                  <w:tcW w:w="1718" w:type="dxa"/>
                  <w:tcBorders>
                    <w:tl2br w:val="nil"/>
                    <w:tr2bl w:val="nil"/>
                  </w:tcBorders>
                  <w:shd w:val="clear" w:color="auto" w:fill="auto"/>
                  <w:vAlign w:val="center"/>
                </w:tcPr>
                <w:p w14:paraId="70EDE0FB">
                  <w:pPr>
                    <w:keepNext w:val="0"/>
                    <w:keepLines w:val="0"/>
                    <w:widowControl/>
                    <w:suppressLineNumbers w:val="0"/>
                    <w:jc w:val="center"/>
                    <w:textAlignment w:val="center"/>
                    <w:rPr>
                      <w:color w:val="auto"/>
                      <w:sz w:val="21"/>
                      <w:szCs w:val="21"/>
                    </w:rPr>
                  </w:pPr>
                  <w:r>
                    <w:rPr>
                      <w:rFonts w:hint="default" w:ascii="Times New Roman" w:hAnsi="Times New Roman" w:eastAsia="宋体" w:cs="Times New Roman"/>
                      <w:i w:val="0"/>
                      <w:iCs w:val="0"/>
                      <w:color w:val="000000"/>
                      <w:kern w:val="0"/>
                      <w:sz w:val="21"/>
                      <w:szCs w:val="21"/>
                      <w:u w:val="none"/>
                      <w:lang w:val="en-US" w:eastAsia="zh-CN" w:bidi="ar"/>
                    </w:rPr>
                    <w:t>48000</w:t>
                  </w:r>
                </w:p>
              </w:tc>
              <w:tc>
                <w:tcPr>
                  <w:tcW w:w="1149" w:type="dxa"/>
                  <w:tcBorders>
                    <w:tl2br w:val="nil"/>
                    <w:tr2bl w:val="nil"/>
                  </w:tcBorders>
                  <w:shd w:val="clear" w:color="auto" w:fill="auto"/>
                  <w:vAlign w:val="center"/>
                </w:tcPr>
                <w:p w14:paraId="0F38B435">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48000</w:t>
                  </w:r>
                </w:p>
              </w:tc>
              <w:tc>
                <w:tcPr>
                  <w:tcW w:w="1328" w:type="dxa"/>
                  <w:tcBorders>
                    <w:tl2br w:val="nil"/>
                    <w:tr2bl w:val="nil"/>
                  </w:tcBorders>
                  <w:shd w:val="clear" w:color="auto" w:fill="auto"/>
                  <w:vAlign w:val="center"/>
                </w:tcPr>
                <w:p w14:paraId="59CEC14F">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0</w:t>
                  </w:r>
                </w:p>
              </w:tc>
            </w:tr>
            <w:tr w14:paraId="108E8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 w:hRule="atLeast"/>
                <w:jc w:val="center"/>
              </w:trPr>
              <w:tc>
                <w:tcPr>
                  <w:tcW w:w="752" w:type="dxa"/>
                  <w:tcBorders>
                    <w:tl2br w:val="nil"/>
                    <w:tr2bl w:val="nil"/>
                  </w:tcBorders>
                  <w:shd w:val="clear" w:color="auto" w:fill="auto"/>
                  <w:vAlign w:val="center"/>
                </w:tcPr>
                <w:p w14:paraId="5EEB0905">
                  <w:pPr>
                    <w:widowControl/>
                    <w:jc w:val="center"/>
                    <w:textAlignment w:val="center"/>
                    <w:rPr>
                      <w:rFonts w:hint="eastAsia" w:ascii="Times New Roman" w:hAnsi="Times New Roman" w:eastAsia="宋体" w:cs="Times New Roman"/>
                      <w:color w:val="auto"/>
                      <w:kern w:val="2"/>
                      <w:sz w:val="21"/>
                      <w:szCs w:val="21"/>
                      <w:lang w:val="en-US" w:eastAsia="zh-CN" w:bidi="ar-SA"/>
                    </w:rPr>
                  </w:pPr>
                  <w:r>
                    <w:rPr>
                      <w:rFonts w:hint="eastAsia"/>
                      <w:color w:val="auto"/>
                      <w:kern w:val="0"/>
                      <w:sz w:val="21"/>
                      <w:szCs w:val="21"/>
                      <w:lang w:val="en-US" w:eastAsia="zh-CN" w:bidi="ar"/>
                    </w:rPr>
                    <w:t>3</w:t>
                  </w:r>
                </w:p>
              </w:tc>
              <w:tc>
                <w:tcPr>
                  <w:tcW w:w="2034" w:type="dxa"/>
                  <w:tcBorders>
                    <w:tl2br w:val="nil"/>
                    <w:tr2bl w:val="nil"/>
                  </w:tcBorders>
                  <w:shd w:val="clear" w:color="auto" w:fill="auto"/>
                  <w:vAlign w:val="center"/>
                </w:tcPr>
                <w:p w14:paraId="606989D7">
                  <w:pPr>
                    <w:widowControl/>
                    <w:jc w:val="center"/>
                    <w:textAlignment w:val="center"/>
                    <w:rPr>
                      <w:rFonts w:hint="eastAsia" w:cs="Times New Roman"/>
                      <w:bCs/>
                      <w:color w:val="auto"/>
                      <w:spacing w:val="0"/>
                      <w:position w:val="0"/>
                      <w:sz w:val="21"/>
                      <w:szCs w:val="21"/>
                      <w:lang w:val="en-US" w:eastAsia="zh-CN"/>
                    </w:rPr>
                  </w:pPr>
                  <w:r>
                    <w:rPr>
                      <w:rFonts w:hint="eastAsia" w:cs="Times New Roman"/>
                      <w:bCs/>
                      <w:color w:val="auto"/>
                      <w:spacing w:val="0"/>
                      <w:position w:val="0"/>
                      <w:sz w:val="21"/>
                      <w:szCs w:val="21"/>
                      <w:lang w:val="en-US" w:eastAsia="zh-CN"/>
                    </w:rPr>
                    <w:t>洗砂废水</w:t>
                  </w:r>
                </w:p>
              </w:tc>
              <w:tc>
                <w:tcPr>
                  <w:tcW w:w="1916" w:type="dxa"/>
                  <w:vMerge w:val="continue"/>
                  <w:tcBorders>
                    <w:tl2br w:val="nil"/>
                    <w:tr2bl w:val="nil"/>
                  </w:tcBorders>
                  <w:shd w:val="clear" w:color="auto" w:fill="auto"/>
                  <w:vAlign w:val="center"/>
                </w:tcPr>
                <w:p w14:paraId="5393502C">
                  <w:pPr>
                    <w:widowControl/>
                    <w:jc w:val="center"/>
                    <w:textAlignment w:val="center"/>
                    <w:rPr>
                      <w:rFonts w:hint="eastAsia"/>
                      <w:color w:val="auto"/>
                      <w:sz w:val="21"/>
                      <w:szCs w:val="21"/>
                      <w:lang w:val="en-US" w:eastAsia="zh-CN"/>
                    </w:rPr>
                  </w:pPr>
                </w:p>
              </w:tc>
              <w:tc>
                <w:tcPr>
                  <w:tcW w:w="1718" w:type="dxa"/>
                  <w:tcBorders>
                    <w:tl2br w:val="nil"/>
                    <w:tr2bl w:val="nil"/>
                  </w:tcBorders>
                  <w:shd w:val="clear" w:color="auto" w:fill="auto"/>
                  <w:vAlign w:val="center"/>
                </w:tcPr>
                <w:p w14:paraId="15C1DB25">
                  <w:pPr>
                    <w:keepNext w:val="0"/>
                    <w:keepLines w:val="0"/>
                    <w:widowControl/>
                    <w:suppressLineNumbers w:val="0"/>
                    <w:jc w:val="center"/>
                    <w:textAlignment w:val="center"/>
                    <w:rPr>
                      <w:color w:val="auto"/>
                      <w:kern w:val="0"/>
                      <w:sz w:val="21"/>
                      <w:szCs w:val="21"/>
                      <w:lang w:bidi="ar"/>
                    </w:rPr>
                  </w:pPr>
                  <w:r>
                    <w:rPr>
                      <w:rFonts w:hint="default" w:ascii="Times New Roman" w:hAnsi="Times New Roman" w:eastAsia="宋体" w:cs="Times New Roman"/>
                      <w:i w:val="0"/>
                      <w:iCs w:val="0"/>
                      <w:color w:val="000000"/>
                      <w:kern w:val="0"/>
                      <w:sz w:val="21"/>
                      <w:szCs w:val="21"/>
                      <w:u w:val="none"/>
                      <w:lang w:val="en-US" w:eastAsia="zh-CN" w:bidi="ar"/>
                    </w:rPr>
                    <w:t>47442</w:t>
                  </w:r>
                </w:p>
              </w:tc>
              <w:tc>
                <w:tcPr>
                  <w:tcW w:w="1149" w:type="dxa"/>
                  <w:tcBorders>
                    <w:tl2br w:val="nil"/>
                    <w:tr2bl w:val="nil"/>
                  </w:tcBorders>
                  <w:shd w:val="clear" w:color="auto" w:fill="auto"/>
                  <w:vAlign w:val="center"/>
                </w:tcPr>
                <w:p w14:paraId="31EB0152">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47442</w:t>
                  </w:r>
                </w:p>
              </w:tc>
              <w:tc>
                <w:tcPr>
                  <w:tcW w:w="1328" w:type="dxa"/>
                  <w:tcBorders>
                    <w:tl2br w:val="nil"/>
                    <w:tr2bl w:val="nil"/>
                  </w:tcBorders>
                  <w:shd w:val="clear" w:color="auto" w:fill="auto"/>
                  <w:vAlign w:val="center"/>
                </w:tcPr>
                <w:p w14:paraId="16AFCC15">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w:t>
                  </w:r>
                </w:p>
              </w:tc>
            </w:tr>
            <w:tr w14:paraId="0592C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 w:hRule="atLeast"/>
                <w:jc w:val="center"/>
              </w:trPr>
              <w:tc>
                <w:tcPr>
                  <w:tcW w:w="752" w:type="dxa"/>
                  <w:tcBorders>
                    <w:tl2br w:val="nil"/>
                    <w:tr2bl w:val="nil"/>
                  </w:tcBorders>
                  <w:shd w:val="clear" w:color="auto" w:fill="auto"/>
                  <w:vAlign w:val="center"/>
                </w:tcPr>
                <w:p w14:paraId="58B079CB">
                  <w:pPr>
                    <w:widowControl/>
                    <w:jc w:val="center"/>
                    <w:textAlignment w:val="center"/>
                    <w:rPr>
                      <w:rFonts w:hint="eastAsia" w:ascii="Times New Roman" w:hAnsi="Times New Roman" w:eastAsia="宋体" w:cs="Times New Roman"/>
                      <w:color w:val="auto"/>
                      <w:kern w:val="0"/>
                      <w:sz w:val="21"/>
                      <w:szCs w:val="21"/>
                      <w:lang w:val="en-US" w:eastAsia="zh-CN" w:bidi="ar"/>
                    </w:rPr>
                  </w:pPr>
                  <w:r>
                    <w:rPr>
                      <w:rFonts w:hint="eastAsia"/>
                      <w:color w:val="auto"/>
                      <w:kern w:val="0"/>
                      <w:sz w:val="21"/>
                      <w:szCs w:val="21"/>
                      <w:lang w:val="en-US" w:eastAsia="zh-CN" w:bidi="ar"/>
                    </w:rPr>
                    <w:t>4</w:t>
                  </w:r>
                </w:p>
              </w:tc>
              <w:tc>
                <w:tcPr>
                  <w:tcW w:w="2034" w:type="dxa"/>
                  <w:tcBorders>
                    <w:tl2br w:val="nil"/>
                    <w:tr2bl w:val="nil"/>
                  </w:tcBorders>
                  <w:shd w:val="clear" w:color="auto" w:fill="auto"/>
                  <w:vAlign w:val="center"/>
                </w:tcPr>
                <w:p w14:paraId="053D40BC">
                  <w:pPr>
                    <w:widowControl/>
                    <w:jc w:val="center"/>
                    <w:textAlignment w:val="center"/>
                    <w:rPr>
                      <w:color w:val="auto"/>
                      <w:kern w:val="0"/>
                      <w:sz w:val="21"/>
                      <w:szCs w:val="21"/>
                      <w:lang w:bidi="ar"/>
                    </w:rPr>
                  </w:pPr>
                  <w:r>
                    <w:rPr>
                      <w:rFonts w:hint="eastAsia" w:cs="Times New Roman"/>
                      <w:bCs/>
                      <w:color w:val="auto"/>
                      <w:spacing w:val="0"/>
                      <w:position w:val="0"/>
                      <w:sz w:val="21"/>
                      <w:szCs w:val="21"/>
                      <w:lang w:val="en-US" w:eastAsia="zh-CN"/>
                    </w:rPr>
                    <w:t>喷淋塔定期排水</w:t>
                  </w:r>
                </w:p>
              </w:tc>
              <w:tc>
                <w:tcPr>
                  <w:tcW w:w="1916" w:type="dxa"/>
                  <w:tcBorders>
                    <w:tl2br w:val="nil"/>
                    <w:tr2bl w:val="nil"/>
                  </w:tcBorders>
                  <w:shd w:val="clear" w:color="auto" w:fill="auto"/>
                  <w:vAlign w:val="center"/>
                </w:tcPr>
                <w:p w14:paraId="19E91390">
                  <w:pPr>
                    <w:widowControl/>
                    <w:jc w:val="center"/>
                    <w:textAlignment w:val="center"/>
                    <w:rPr>
                      <w:rFonts w:hint="default" w:eastAsia="宋体"/>
                      <w:color w:val="auto"/>
                      <w:sz w:val="21"/>
                      <w:szCs w:val="21"/>
                      <w:lang w:val="en-US" w:eastAsia="zh-CN"/>
                    </w:rPr>
                  </w:pPr>
                  <w:r>
                    <w:rPr>
                      <w:rFonts w:hint="eastAsia"/>
                      <w:color w:val="auto"/>
                      <w:sz w:val="21"/>
                      <w:szCs w:val="21"/>
                      <w:lang w:val="en-US" w:eastAsia="zh-CN"/>
                    </w:rPr>
                    <w:t>pH、氟化物、SS、色度、TOC</w:t>
                  </w:r>
                </w:p>
              </w:tc>
              <w:tc>
                <w:tcPr>
                  <w:tcW w:w="1718" w:type="dxa"/>
                  <w:tcBorders>
                    <w:tl2br w:val="nil"/>
                    <w:tr2bl w:val="nil"/>
                  </w:tcBorders>
                  <w:shd w:val="clear" w:color="auto" w:fill="auto"/>
                  <w:vAlign w:val="center"/>
                </w:tcPr>
                <w:p w14:paraId="1DA035AF">
                  <w:pPr>
                    <w:keepNext w:val="0"/>
                    <w:keepLines w:val="0"/>
                    <w:widowControl/>
                    <w:suppressLineNumbers w:val="0"/>
                    <w:jc w:val="center"/>
                    <w:textAlignment w:val="center"/>
                    <w:rPr>
                      <w:rFonts w:hint="default"/>
                      <w:color w:val="auto"/>
                      <w:sz w:val="21"/>
                      <w:szCs w:val="21"/>
                      <w:lang w:val="en-US"/>
                    </w:rPr>
                  </w:pPr>
                  <w:r>
                    <w:rPr>
                      <w:rFonts w:hint="eastAsia" w:cs="Times New Roman"/>
                      <w:i w:val="0"/>
                      <w:iCs w:val="0"/>
                      <w:color w:val="000000"/>
                      <w:kern w:val="0"/>
                      <w:sz w:val="21"/>
                      <w:szCs w:val="21"/>
                      <w:u w:val="none"/>
                      <w:lang w:val="en-US" w:eastAsia="zh-CN" w:bidi="ar"/>
                    </w:rPr>
                    <w:t>55.2</w:t>
                  </w:r>
                </w:p>
              </w:tc>
              <w:tc>
                <w:tcPr>
                  <w:tcW w:w="1149" w:type="dxa"/>
                  <w:tcBorders>
                    <w:tl2br w:val="nil"/>
                    <w:tr2bl w:val="nil"/>
                  </w:tcBorders>
                  <w:shd w:val="clear" w:color="auto" w:fill="auto"/>
                  <w:vAlign w:val="center"/>
                </w:tcPr>
                <w:p w14:paraId="7B68F2A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w:t>
                  </w:r>
                </w:p>
              </w:tc>
              <w:tc>
                <w:tcPr>
                  <w:tcW w:w="1328" w:type="dxa"/>
                  <w:tcBorders>
                    <w:tl2br w:val="nil"/>
                    <w:tr2bl w:val="nil"/>
                  </w:tcBorders>
                  <w:shd w:val="clear" w:color="auto" w:fill="auto"/>
                  <w:vAlign w:val="center"/>
                </w:tcPr>
                <w:p w14:paraId="49B3624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i w:val="0"/>
                      <w:iCs w:val="0"/>
                      <w:color w:val="000000"/>
                      <w:kern w:val="0"/>
                      <w:sz w:val="21"/>
                      <w:szCs w:val="21"/>
                      <w:u w:val="none"/>
                      <w:lang w:val="en-US" w:eastAsia="zh-CN" w:bidi="ar"/>
                    </w:rPr>
                    <w:t>55.2</w:t>
                  </w:r>
                </w:p>
              </w:tc>
            </w:tr>
            <w:tr w14:paraId="10440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jc w:val="center"/>
              </w:trPr>
              <w:tc>
                <w:tcPr>
                  <w:tcW w:w="752" w:type="dxa"/>
                  <w:tcBorders>
                    <w:tl2br w:val="nil"/>
                    <w:tr2bl w:val="nil"/>
                  </w:tcBorders>
                  <w:shd w:val="clear" w:color="auto" w:fill="auto"/>
                  <w:vAlign w:val="center"/>
                </w:tcPr>
                <w:p w14:paraId="464D9D07">
                  <w:pPr>
                    <w:widowControl/>
                    <w:jc w:val="center"/>
                    <w:textAlignment w:val="center"/>
                    <w:rPr>
                      <w:rFonts w:hint="eastAsia" w:ascii="Times New Roman" w:hAnsi="Times New Roman" w:eastAsia="宋体" w:cs="Times New Roman"/>
                      <w:color w:val="auto"/>
                      <w:kern w:val="0"/>
                      <w:sz w:val="21"/>
                      <w:szCs w:val="21"/>
                      <w:lang w:val="en-US" w:eastAsia="zh-CN" w:bidi="ar"/>
                    </w:rPr>
                  </w:pPr>
                  <w:r>
                    <w:rPr>
                      <w:rFonts w:hint="eastAsia"/>
                      <w:color w:val="auto"/>
                      <w:kern w:val="0"/>
                      <w:sz w:val="21"/>
                      <w:szCs w:val="21"/>
                      <w:lang w:val="en-US" w:eastAsia="zh-CN" w:bidi="ar"/>
                    </w:rPr>
                    <w:t>5</w:t>
                  </w:r>
                </w:p>
              </w:tc>
              <w:tc>
                <w:tcPr>
                  <w:tcW w:w="2034" w:type="dxa"/>
                  <w:tcBorders>
                    <w:tl2br w:val="nil"/>
                    <w:tr2bl w:val="nil"/>
                  </w:tcBorders>
                  <w:shd w:val="clear" w:color="auto" w:fill="auto"/>
                  <w:vAlign w:val="center"/>
                </w:tcPr>
                <w:p w14:paraId="5621D4F6">
                  <w:pPr>
                    <w:widowControl/>
                    <w:jc w:val="center"/>
                    <w:textAlignment w:val="center"/>
                    <w:rPr>
                      <w:rFonts w:hint="eastAsia" w:cs="Times New Roman"/>
                      <w:bCs/>
                      <w:color w:val="auto"/>
                      <w:spacing w:val="0"/>
                      <w:position w:val="0"/>
                      <w:sz w:val="21"/>
                      <w:szCs w:val="21"/>
                      <w:lang w:val="en-US" w:eastAsia="zh-CN"/>
                    </w:rPr>
                  </w:pPr>
                  <w:r>
                    <w:rPr>
                      <w:rFonts w:hint="eastAsia" w:cs="Times New Roman"/>
                      <w:bCs/>
                      <w:color w:val="auto"/>
                      <w:spacing w:val="0"/>
                      <w:position w:val="0"/>
                      <w:sz w:val="21"/>
                      <w:szCs w:val="21"/>
                      <w:lang w:val="en-US" w:eastAsia="zh-CN"/>
                    </w:rPr>
                    <w:t>地面冲洗废水</w:t>
                  </w:r>
                </w:p>
              </w:tc>
              <w:tc>
                <w:tcPr>
                  <w:tcW w:w="1916" w:type="dxa"/>
                  <w:tcBorders>
                    <w:tl2br w:val="nil"/>
                    <w:tr2bl w:val="nil"/>
                  </w:tcBorders>
                  <w:shd w:val="clear" w:color="auto" w:fill="auto"/>
                  <w:vAlign w:val="center"/>
                </w:tcPr>
                <w:p w14:paraId="684B62BE">
                  <w:pPr>
                    <w:widowControl/>
                    <w:jc w:val="center"/>
                    <w:textAlignment w:val="center"/>
                    <w:rPr>
                      <w:color w:val="auto"/>
                      <w:sz w:val="21"/>
                      <w:szCs w:val="21"/>
                    </w:rPr>
                  </w:pPr>
                  <w:r>
                    <w:rPr>
                      <w:rFonts w:hint="eastAsia"/>
                      <w:color w:val="auto"/>
                      <w:sz w:val="21"/>
                      <w:szCs w:val="21"/>
                      <w:lang w:val="en-US" w:eastAsia="zh-CN"/>
                    </w:rPr>
                    <w:t>pH、SS、色度、TOC</w:t>
                  </w:r>
                </w:p>
              </w:tc>
              <w:tc>
                <w:tcPr>
                  <w:tcW w:w="1718" w:type="dxa"/>
                  <w:tcBorders>
                    <w:tl2br w:val="nil"/>
                    <w:tr2bl w:val="nil"/>
                  </w:tcBorders>
                  <w:shd w:val="clear" w:color="auto" w:fill="auto"/>
                  <w:vAlign w:val="center"/>
                </w:tcPr>
                <w:p w14:paraId="3FB0E20B">
                  <w:pPr>
                    <w:keepNext w:val="0"/>
                    <w:keepLines w:val="0"/>
                    <w:widowControl/>
                    <w:suppressLineNumbers w:val="0"/>
                    <w:jc w:val="center"/>
                    <w:textAlignment w:val="center"/>
                    <w:rPr>
                      <w:color w:val="auto"/>
                      <w:kern w:val="0"/>
                      <w:sz w:val="21"/>
                      <w:szCs w:val="21"/>
                      <w:lang w:bidi="ar"/>
                    </w:rPr>
                  </w:pPr>
                  <w:r>
                    <w:rPr>
                      <w:rFonts w:hint="default" w:ascii="Times New Roman" w:hAnsi="Times New Roman" w:eastAsia="宋体" w:cs="Times New Roman"/>
                      <w:i w:val="0"/>
                      <w:iCs w:val="0"/>
                      <w:color w:val="000000"/>
                      <w:kern w:val="0"/>
                      <w:sz w:val="21"/>
                      <w:szCs w:val="21"/>
                      <w:u w:val="none"/>
                      <w:lang w:val="en-US" w:eastAsia="zh-CN" w:bidi="ar"/>
                    </w:rPr>
                    <w:t>72</w:t>
                  </w:r>
                </w:p>
              </w:tc>
              <w:tc>
                <w:tcPr>
                  <w:tcW w:w="1149" w:type="dxa"/>
                  <w:tcBorders>
                    <w:tl2br w:val="nil"/>
                    <w:tr2bl w:val="nil"/>
                  </w:tcBorders>
                  <w:shd w:val="clear" w:color="auto" w:fill="auto"/>
                  <w:vAlign w:val="center"/>
                </w:tcPr>
                <w:p w14:paraId="1845B33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w:t>
                  </w:r>
                </w:p>
              </w:tc>
              <w:tc>
                <w:tcPr>
                  <w:tcW w:w="1328" w:type="dxa"/>
                  <w:tcBorders>
                    <w:tl2br w:val="nil"/>
                    <w:tr2bl w:val="nil"/>
                  </w:tcBorders>
                  <w:shd w:val="clear" w:color="auto" w:fill="auto"/>
                  <w:vAlign w:val="center"/>
                </w:tcPr>
                <w:p w14:paraId="62AE2C5F">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72</w:t>
                  </w:r>
                </w:p>
              </w:tc>
            </w:tr>
            <w:tr w14:paraId="46712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jc w:val="center"/>
              </w:trPr>
              <w:tc>
                <w:tcPr>
                  <w:tcW w:w="4702" w:type="dxa"/>
                  <w:gridSpan w:val="3"/>
                  <w:tcBorders>
                    <w:tl2br w:val="nil"/>
                    <w:tr2bl w:val="nil"/>
                  </w:tcBorders>
                  <w:shd w:val="clear" w:color="auto" w:fill="auto"/>
                  <w:vAlign w:val="center"/>
                </w:tcPr>
                <w:p w14:paraId="3848991F">
                  <w:pPr>
                    <w:jc w:val="center"/>
                    <w:rPr>
                      <w:b/>
                      <w:bCs/>
                      <w:color w:val="auto"/>
                      <w:sz w:val="21"/>
                      <w:szCs w:val="21"/>
                    </w:rPr>
                  </w:pPr>
                  <w:r>
                    <w:rPr>
                      <w:b/>
                      <w:bCs/>
                      <w:color w:val="auto"/>
                      <w:kern w:val="0"/>
                      <w:sz w:val="21"/>
                      <w:szCs w:val="21"/>
                      <w:lang w:bidi="ar"/>
                    </w:rPr>
                    <w:t>合计</w:t>
                  </w:r>
                </w:p>
              </w:tc>
              <w:tc>
                <w:tcPr>
                  <w:tcW w:w="1718" w:type="dxa"/>
                  <w:tcBorders>
                    <w:tl2br w:val="nil"/>
                    <w:tr2bl w:val="nil"/>
                  </w:tcBorders>
                  <w:shd w:val="clear" w:color="auto" w:fill="auto"/>
                  <w:vAlign w:val="center"/>
                </w:tcPr>
                <w:p w14:paraId="5427161F">
                  <w:pPr>
                    <w:keepNext w:val="0"/>
                    <w:keepLines w:val="0"/>
                    <w:widowControl/>
                    <w:suppressLineNumbers w:val="0"/>
                    <w:jc w:val="center"/>
                    <w:textAlignment w:val="center"/>
                    <w:rPr>
                      <w:rFonts w:hint="default" w:eastAsia="宋体"/>
                      <w:b/>
                      <w:bCs/>
                      <w:color w:val="auto"/>
                      <w:sz w:val="21"/>
                      <w:szCs w:val="21"/>
                      <w:lang w:val="en-US" w:eastAsia="zh-CN"/>
                    </w:rPr>
                  </w:pPr>
                  <w:r>
                    <w:rPr>
                      <w:rFonts w:hint="default" w:ascii="Times New Roman" w:hAnsi="Times New Roman" w:eastAsia="宋体" w:cs="Times New Roman"/>
                      <w:b/>
                      <w:bCs/>
                      <w:i w:val="0"/>
                      <w:iCs w:val="0"/>
                      <w:color w:val="000000"/>
                      <w:kern w:val="0"/>
                      <w:sz w:val="22"/>
                      <w:szCs w:val="22"/>
                      <w:u w:val="none"/>
                      <w:lang w:val="en-US" w:eastAsia="zh-CN" w:bidi="ar"/>
                    </w:rPr>
                    <w:t>101295.345</w:t>
                  </w:r>
                </w:p>
              </w:tc>
              <w:tc>
                <w:tcPr>
                  <w:tcW w:w="1149" w:type="dxa"/>
                  <w:tcBorders>
                    <w:tl2br w:val="nil"/>
                    <w:tr2bl w:val="nil"/>
                  </w:tcBorders>
                  <w:shd w:val="clear" w:color="auto" w:fill="auto"/>
                  <w:vAlign w:val="center"/>
                </w:tcPr>
                <w:p w14:paraId="6FE6DEB5">
                  <w:pPr>
                    <w:keepNext w:val="0"/>
                    <w:keepLines w:val="0"/>
                    <w:widowControl/>
                    <w:suppressLineNumbers w:val="0"/>
                    <w:jc w:val="center"/>
                    <w:textAlignment w:val="center"/>
                    <w:rPr>
                      <w:rFonts w:hint="default" w:eastAsia="宋体"/>
                      <w:b/>
                      <w:bCs/>
                      <w:color w:val="auto"/>
                      <w:sz w:val="21"/>
                      <w:szCs w:val="21"/>
                      <w:lang w:val="en-US" w:eastAsia="zh-CN"/>
                    </w:rPr>
                  </w:pPr>
                  <w:r>
                    <w:rPr>
                      <w:rFonts w:hint="default" w:ascii="Times New Roman" w:hAnsi="Times New Roman" w:eastAsia="宋体" w:cs="Times New Roman"/>
                      <w:b/>
                      <w:bCs/>
                      <w:i w:val="0"/>
                      <w:iCs w:val="0"/>
                      <w:color w:val="000000"/>
                      <w:kern w:val="0"/>
                      <w:sz w:val="22"/>
                      <w:szCs w:val="22"/>
                      <w:u w:val="none"/>
                      <w:lang w:val="en-US" w:eastAsia="zh-CN" w:bidi="ar"/>
                    </w:rPr>
                    <w:t>95442</w:t>
                  </w:r>
                </w:p>
              </w:tc>
              <w:tc>
                <w:tcPr>
                  <w:tcW w:w="1328" w:type="dxa"/>
                  <w:tcBorders>
                    <w:tl2br w:val="nil"/>
                    <w:tr2bl w:val="nil"/>
                  </w:tcBorders>
                  <w:shd w:val="clear" w:color="auto" w:fill="auto"/>
                  <w:vAlign w:val="center"/>
                </w:tcPr>
                <w:p w14:paraId="61975C22">
                  <w:pPr>
                    <w:keepNext w:val="0"/>
                    <w:keepLines w:val="0"/>
                    <w:widowControl/>
                    <w:suppressLineNumbers w:val="0"/>
                    <w:jc w:val="center"/>
                    <w:textAlignment w:val="center"/>
                    <w:rPr>
                      <w:rFonts w:hint="default" w:eastAsia="宋体"/>
                      <w:b/>
                      <w:bCs/>
                      <w:color w:val="auto"/>
                      <w:sz w:val="21"/>
                      <w:szCs w:val="21"/>
                      <w:lang w:val="en-US" w:eastAsia="zh-CN"/>
                    </w:rPr>
                  </w:pPr>
                  <w:r>
                    <w:rPr>
                      <w:rFonts w:hint="default" w:ascii="Times New Roman" w:hAnsi="Times New Roman" w:eastAsia="宋体" w:cs="Times New Roman"/>
                      <w:b/>
                      <w:bCs/>
                      <w:i w:val="0"/>
                      <w:iCs w:val="0"/>
                      <w:color w:val="000000"/>
                      <w:kern w:val="0"/>
                      <w:sz w:val="22"/>
                      <w:szCs w:val="22"/>
                      <w:u w:val="none"/>
                      <w:lang w:val="en-US" w:eastAsia="zh-CN" w:bidi="ar"/>
                    </w:rPr>
                    <w:t>5853.345</w:t>
                  </w:r>
                </w:p>
              </w:tc>
            </w:tr>
          </w:tbl>
          <w:p w14:paraId="3AEC903F">
            <w:pPr>
              <w:keepNext w:val="0"/>
              <w:keepLines w:val="0"/>
              <w:pageBreakBefore w:val="0"/>
              <w:widowControl w:val="0"/>
              <w:kinsoku/>
              <w:wordWrap/>
              <w:overflowPunct/>
              <w:topLinePunct w:val="0"/>
              <w:autoSpaceDE/>
              <w:autoSpaceDN/>
              <w:bidi w:val="0"/>
              <w:adjustRightInd w:val="0"/>
              <w:snapToGrid w:val="0"/>
              <w:spacing w:line="480" w:lineRule="atLeast"/>
              <w:textAlignment w:val="auto"/>
              <w:rPr>
                <w:rFonts w:hint="default"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4.2.2废水处理措施</w:t>
            </w:r>
          </w:p>
          <w:p w14:paraId="4F0CCDDA">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ascii="Times New Roman" w:hAnsi="Times New Roman" w:eastAsia="宋体" w:cs="Times New Roman"/>
                <w:bCs/>
                <w:color w:val="auto"/>
                <w:spacing w:val="0"/>
                <w:position w:val="0"/>
                <w:sz w:val="24"/>
                <w:lang w:val="en-US" w:eastAsia="zh-CN"/>
              </w:rPr>
            </w:pPr>
            <w:r>
              <w:rPr>
                <w:rFonts w:hint="eastAsia" w:cs="Times New Roman"/>
                <w:bCs/>
                <w:color w:val="auto"/>
                <w:spacing w:val="0"/>
                <w:position w:val="0"/>
                <w:sz w:val="24"/>
                <w:lang w:val="en-US" w:eastAsia="zh-CN"/>
              </w:rPr>
              <w:t>项目碱洗废水、洗砂废水经车间沉淀池沉淀后回用，不外排。</w:t>
            </w:r>
            <w:r>
              <w:rPr>
                <w:rFonts w:hint="eastAsia" w:cs="Times New Roman"/>
                <w:caps w:val="0"/>
                <w:smallCaps w:val="0"/>
                <w:color w:val="auto"/>
                <w:spacing w:val="0"/>
                <w:w w:val="100"/>
                <w:position w:val="0"/>
                <w:sz w:val="24"/>
                <w:szCs w:val="24"/>
                <w:lang w:val="en-US" w:eastAsia="zh-CN"/>
              </w:rPr>
              <w:t>地面冲洗废水、喷淋塔定期排水经沉淀池处理后与化粪池收集的生活污水一同纳管排放</w:t>
            </w:r>
            <w:r>
              <w:rPr>
                <w:rFonts w:hint="eastAsia" w:cs="Times New Roman"/>
                <w:bCs/>
                <w:color w:val="auto"/>
                <w:spacing w:val="0"/>
                <w:position w:val="0"/>
                <w:sz w:val="24"/>
                <w:lang w:val="en-US" w:eastAsia="zh-CN"/>
              </w:rPr>
              <w:t>。纳管废水污染物</w:t>
            </w:r>
            <w:r>
              <w:rPr>
                <w:rFonts w:hint="eastAsia" w:ascii="Times New Roman" w:hAnsi="Times New Roman" w:eastAsia="宋体" w:cs="Times New Roman"/>
                <w:bCs/>
                <w:color w:val="auto"/>
                <w:spacing w:val="0"/>
                <w:position w:val="0"/>
                <w:sz w:val="24"/>
                <w:lang w:val="en-US" w:eastAsia="zh-CN"/>
              </w:rPr>
              <w:t>排放浓度满足</w:t>
            </w:r>
            <w:r>
              <w:rPr>
                <w:rFonts w:hint="default" w:ascii="Times New Roman" w:hAnsi="Times New Roman" w:eastAsia="宋体" w:cs="Times New Roman"/>
                <w:bCs/>
                <w:color w:val="auto"/>
                <w:spacing w:val="0"/>
                <w:position w:val="0"/>
                <w:sz w:val="24"/>
                <w:lang w:val="en-US" w:eastAsia="zh-CN"/>
              </w:rPr>
              <w:t>皖江江南新兴产业集中区第一污水处理厂</w:t>
            </w:r>
            <w:r>
              <w:rPr>
                <w:rFonts w:hint="eastAsia" w:cs="Times New Roman"/>
                <w:bCs/>
                <w:color w:val="auto"/>
                <w:spacing w:val="0"/>
                <w:position w:val="0"/>
                <w:sz w:val="24"/>
                <w:lang w:val="en-US" w:eastAsia="zh-CN"/>
              </w:rPr>
              <w:t>接管限值</w:t>
            </w:r>
            <w:r>
              <w:rPr>
                <w:rFonts w:hint="default" w:ascii="Times New Roman" w:hAnsi="Times New Roman" w:eastAsia="宋体" w:cs="Times New Roman"/>
                <w:bCs/>
                <w:color w:val="auto"/>
                <w:spacing w:val="0"/>
                <w:position w:val="0"/>
                <w:sz w:val="24"/>
                <w:lang w:val="en-US" w:eastAsia="zh-CN"/>
              </w:rPr>
              <w:t>、《污水综合排放标准》（GB8978-1996）表4中三级标准</w:t>
            </w:r>
            <w:r>
              <w:rPr>
                <w:rFonts w:hint="eastAsia" w:ascii="Times New Roman" w:hAnsi="Times New Roman" w:eastAsia="宋体" w:cs="Times New Roman"/>
                <w:bCs/>
                <w:color w:val="auto"/>
                <w:spacing w:val="0"/>
                <w:position w:val="0"/>
                <w:sz w:val="24"/>
                <w:lang w:val="en-US" w:eastAsia="zh-CN"/>
              </w:rPr>
              <w:t>。</w:t>
            </w:r>
          </w:p>
          <w:p w14:paraId="27FA9413">
            <w:pPr>
              <w:keepNext w:val="0"/>
              <w:keepLines w:val="0"/>
              <w:pageBreakBefore w:val="0"/>
              <w:widowControl w:val="0"/>
              <w:kinsoku/>
              <w:wordWrap/>
              <w:overflowPunct/>
              <w:topLinePunct w:val="0"/>
              <w:autoSpaceDE/>
              <w:autoSpaceDN/>
              <w:bidi w:val="0"/>
              <w:adjustRightInd w:val="0"/>
              <w:snapToGrid w:val="0"/>
              <w:spacing w:line="480" w:lineRule="atLeast"/>
              <w:textAlignment w:val="auto"/>
              <w:rPr>
                <w:rFonts w:hint="default" w:cs="Times New Roman"/>
                <w:b/>
                <w:bCs w:val="0"/>
                <w:color w:val="auto"/>
                <w:spacing w:val="0"/>
                <w:position w:val="0"/>
                <w:sz w:val="24"/>
                <w:lang w:val="en-US" w:eastAsia="zh-CN"/>
              </w:rPr>
            </w:pPr>
            <w:r>
              <w:rPr>
                <w:rFonts w:hint="eastAsia" w:cs="Times New Roman"/>
                <w:b/>
                <w:bCs w:val="0"/>
                <w:color w:val="auto"/>
                <w:spacing w:val="0"/>
                <w:position w:val="0"/>
                <w:sz w:val="24"/>
                <w:lang w:val="en-US" w:eastAsia="zh-CN"/>
              </w:rPr>
              <w:t>4.2.3污水处理工艺</w:t>
            </w:r>
          </w:p>
          <w:p w14:paraId="4A4EA7D9">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ascii="Times New Roman" w:hAnsi="Times New Roman" w:eastAsia="宋体" w:cs="Times New Roman"/>
                <w:bCs/>
                <w:color w:val="auto"/>
                <w:spacing w:val="0"/>
                <w:position w:val="0"/>
                <w:sz w:val="24"/>
                <w:lang w:val="en-US" w:eastAsia="zh-CN"/>
              </w:rPr>
            </w:pPr>
            <w:r>
              <w:rPr>
                <w:rFonts w:hint="eastAsia" w:cs="Times New Roman"/>
                <w:bCs/>
                <w:color w:val="auto"/>
                <w:spacing w:val="0"/>
                <w:position w:val="0"/>
                <w:sz w:val="24"/>
                <w:lang w:val="en-US" w:eastAsia="zh-CN"/>
              </w:rPr>
              <w:t>项目建设一座3m</w:t>
            </w:r>
            <w:r>
              <w:rPr>
                <w:rFonts w:hint="eastAsia" w:cs="Times New Roman"/>
                <w:bCs/>
                <w:color w:val="auto"/>
                <w:spacing w:val="0"/>
                <w:position w:val="0"/>
                <w:sz w:val="24"/>
                <w:vertAlign w:val="superscript"/>
                <w:lang w:val="en-US" w:eastAsia="zh-CN"/>
              </w:rPr>
              <w:t>3</w:t>
            </w:r>
            <w:r>
              <w:rPr>
                <w:rFonts w:hint="eastAsia" w:cs="Times New Roman"/>
                <w:bCs/>
                <w:color w:val="auto"/>
                <w:spacing w:val="0"/>
                <w:position w:val="0"/>
                <w:sz w:val="24"/>
                <w:lang w:val="en-US" w:eastAsia="zh-CN"/>
              </w:rPr>
              <w:t>的污水处理池，对污水进行</w:t>
            </w:r>
            <w:r>
              <w:rPr>
                <w:rFonts w:hint="eastAsia" w:ascii="Times New Roman" w:hAnsi="Times New Roman" w:eastAsia="宋体" w:cs="Times New Roman"/>
                <w:bCs/>
                <w:color w:val="auto"/>
                <w:spacing w:val="0"/>
                <w:position w:val="0"/>
                <w:sz w:val="24"/>
                <w:lang w:val="en-US" w:eastAsia="zh-CN"/>
              </w:rPr>
              <w:t>“中和+脱色+混凝沉淀”</w:t>
            </w:r>
            <w:r>
              <w:rPr>
                <w:rFonts w:hint="eastAsia" w:cs="Times New Roman"/>
                <w:bCs/>
                <w:color w:val="auto"/>
                <w:spacing w:val="0"/>
                <w:position w:val="0"/>
                <w:sz w:val="24"/>
                <w:lang w:val="en-US" w:eastAsia="zh-CN"/>
              </w:rPr>
              <w:t>处理</w:t>
            </w:r>
            <w:r>
              <w:rPr>
                <w:rFonts w:hint="eastAsia" w:ascii="Times New Roman" w:hAnsi="Times New Roman" w:eastAsia="宋体" w:cs="Times New Roman"/>
                <w:bCs/>
                <w:color w:val="auto"/>
                <w:spacing w:val="0"/>
                <w:position w:val="0"/>
                <w:sz w:val="24"/>
                <w:lang w:val="en-US" w:eastAsia="zh-CN"/>
              </w:rPr>
              <w:t>。如下图所示：</w:t>
            </w:r>
          </w:p>
          <w:p w14:paraId="55A348D0">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jc w:val="center"/>
              <w:textAlignment w:val="auto"/>
              <w:rPr>
                <w:rFonts w:hint="eastAsia" w:cs="Times New Roman"/>
                <w:bCs/>
                <w:color w:val="auto"/>
                <w:spacing w:val="0"/>
                <w:position w:val="0"/>
                <w:sz w:val="24"/>
                <w:lang w:eastAsia="zh-CN"/>
              </w:rPr>
            </w:pPr>
            <w:r>
              <w:drawing>
                <wp:inline distT="0" distB="0" distL="114300" distR="114300">
                  <wp:extent cx="4985385" cy="1758950"/>
                  <wp:effectExtent l="9525" t="9525" r="19050" b="14605"/>
                  <wp:docPr id="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
                          <pic:cNvPicPr>
                            <a:picLocks noChangeAspect="1"/>
                          </pic:cNvPicPr>
                        </pic:nvPicPr>
                        <pic:blipFill>
                          <a:blip r:embed="rId28"/>
                          <a:stretch>
                            <a:fillRect/>
                          </a:stretch>
                        </pic:blipFill>
                        <pic:spPr>
                          <a:xfrm>
                            <a:off x="0" y="0"/>
                            <a:ext cx="4985385" cy="1758950"/>
                          </a:xfrm>
                          <a:prstGeom prst="rect">
                            <a:avLst/>
                          </a:prstGeom>
                          <a:noFill/>
                          <a:ln>
                            <a:solidFill>
                              <a:srgbClr val="0000FF"/>
                            </a:solidFill>
                          </a:ln>
                        </pic:spPr>
                      </pic:pic>
                    </a:graphicData>
                  </a:graphic>
                </wp:inline>
              </w:drawing>
            </w:r>
          </w:p>
          <w:p w14:paraId="55EEEF84">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jc w:val="center"/>
              <w:textAlignment w:val="auto"/>
              <w:rPr>
                <w:rFonts w:hint="default" w:cs="Times New Roman"/>
                <w:b/>
                <w:bCs w:val="0"/>
                <w:color w:val="auto"/>
                <w:spacing w:val="0"/>
                <w:position w:val="0"/>
                <w:sz w:val="21"/>
                <w:szCs w:val="21"/>
                <w:lang w:val="en-US" w:eastAsia="zh-CN"/>
              </w:rPr>
            </w:pPr>
            <w:r>
              <w:rPr>
                <w:rFonts w:hint="eastAsia" w:cs="Times New Roman"/>
                <w:b/>
                <w:bCs w:val="0"/>
                <w:color w:val="auto"/>
                <w:spacing w:val="0"/>
                <w:position w:val="0"/>
                <w:sz w:val="21"/>
                <w:szCs w:val="21"/>
                <w:lang w:val="en-US" w:eastAsia="zh-CN"/>
              </w:rPr>
              <w:t>图4-3  污水处理工艺图</w:t>
            </w:r>
          </w:p>
          <w:p w14:paraId="2CBAC22D">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cs="Times New Roman"/>
                <w:bCs/>
                <w:color w:val="auto"/>
                <w:spacing w:val="0"/>
                <w:position w:val="0"/>
                <w:sz w:val="24"/>
                <w:lang w:val="en-US" w:eastAsia="zh-CN"/>
              </w:rPr>
            </w:pPr>
            <w:r>
              <w:rPr>
                <w:rFonts w:hint="eastAsia" w:cs="Times New Roman"/>
                <w:bCs/>
                <w:color w:val="auto"/>
                <w:spacing w:val="0"/>
                <w:position w:val="0"/>
                <w:sz w:val="24"/>
                <w:lang w:val="en-US" w:eastAsia="zh-CN"/>
              </w:rPr>
              <w:t>中和：项目废水呈酸性，通过添加片碱进行中和去pH值。</w:t>
            </w:r>
          </w:p>
          <w:p w14:paraId="5B820E79">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cs="Times New Roman"/>
                <w:bCs/>
                <w:color w:val="auto"/>
                <w:spacing w:val="0"/>
                <w:position w:val="0"/>
                <w:sz w:val="24"/>
                <w:lang w:val="en-US" w:eastAsia="zh-CN"/>
              </w:rPr>
            </w:pPr>
            <w:r>
              <w:rPr>
                <w:rFonts w:hint="eastAsia" w:cs="Times New Roman"/>
                <w:bCs/>
                <w:color w:val="auto"/>
                <w:spacing w:val="0"/>
                <w:position w:val="0"/>
                <w:sz w:val="24"/>
                <w:lang w:val="en-US" w:eastAsia="zh-CN"/>
              </w:rPr>
              <w:t>脱色：项目生产过程中涉及炭黑产生排放，喷淋塔除烟气和地面冲洗过程，产生的废水中会有炭黑，废水呈现一定程度的黑色，通过添加氧化剂（过氧化氢）进行脱色处理。</w:t>
            </w:r>
          </w:p>
          <w:p w14:paraId="576C450E">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cs="Times New Roman"/>
                <w:bCs/>
                <w:color w:val="auto"/>
                <w:spacing w:val="0"/>
                <w:position w:val="0"/>
                <w:sz w:val="24"/>
                <w:lang w:val="en-US" w:eastAsia="zh-CN"/>
              </w:rPr>
            </w:pPr>
            <w:r>
              <w:rPr>
                <w:rFonts w:hint="eastAsia" w:cs="Times New Roman"/>
                <w:bCs/>
                <w:color w:val="auto"/>
                <w:spacing w:val="0"/>
                <w:position w:val="0"/>
                <w:sz w:val="24"/>
                <w:lang w:val="en-US" w:eastAsia="zh-CN"/>
              </w:rPr>
              <w:t>混凝沉淀：废水中含有除尘产生的悬浮物SS，通过投加混凝剂、絮凝剂进行去除。</w:t>
            </w:r>
          </w:p>
          <w:p w14:paraId="57B253E6">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default" w:cs="Times New Roman"/>
                <w:bCs/>
                <w:color w:val="auto"/>
                <w:spacing w:val="0"/>
                <w:position w:val="0"/>
                <w:sz w:val="24"/>
                <w:lang w:val="en-US" w:eastAsia="zh-CN"/>
              </w:rPr>
            </w:pPr>
            <w:r>
              <w:rPr>
                <w:rFonts w:hint="eastAsia" w:cs="Times New Roman"/>
                <w:bCs/>
                <w:color w:val="auto"/>
                <w:spacing w:val="0"/>
                <w:position w:val="0"/>
                <w:sz w:val="24"/>
                <w:lang w:val="en-US" w:eastAsia="zh-CN"/>
              </w:rPr>
              <w:t>参照</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排污许可</w:t>
            </w:r>
            <w:r>
              <w:rPr>
                <w:rFonts w:hint="eastAsia" w:ascii="Times New Roman" w:hAnsi="Times New Roman" w:eastAsia="宋体" w:cs="Times New Roman"/>
                <w:b w:val="0"/>
                <w:bCs w:val="0"/>
                <w:color w:val="auto"/>
                <w:kern w:val="0"/>
                <w:sz w:val="24"/>
                <w:szCs w:val="24"/>
                <w:lang w:val="en-US" w:eastAsia="zh-CN"/>
              </w:rPr>
              <w:t xml:space="preserve">证申请与核发技术规范 </w:t>
            </w:r>
            <w:r>
              <w:rPr>
                <w:rFonts w:hint="eastAsia" w:cs="Times New Roman"/>
                <w:b w:val="0"/>
                <w:bCs w:val="0"/>
                <w:color w:val="auto"/>
                <w:kern w:val="0"/>
                <w:sz w:val="24"/>
                <w:szCs w:val="24"/>
                <w:lang w:val="en-US" w:eastAsia="zh-CN"/>
              </w:rPr>
              <w:t>废弃资源加工工业</w:t>
            </w:r>
            <w:r>
              <w:rPr>
                <w:rFonts w:hint="eastAsia" w:ascii="Times New Roman" w:hAnsi="Times New Roman" w:eastAsia="宋体" w:cs="Times New Roman"/>
                <w:b w:val="0"/>
                <w:bCs w:val="0"/>
                <w:color w:val="auto"/>
                <w:kern w:val="0"/>
                <w:sz w:val="24"/>
                <w:szCs w:val="24"/>
                <w:lang w:val="en-US" w:eastAsia="zh-CN"/>
              </w:rPr>
              <w:t>》</w:t>
            </w:r>
            <w:r>
              <w:rPr>
                <w:rFonts w:hint="eastAsia" w:cs="Times New Roman"/>
                <w:b w:val="0"/>
                <w:bCs w:val="0"/>
                <w:color w:val="auto"/>
                <w:kern w:val="0"/>
                <w:sz w:val="24"/>
                <w:szCs w:val="24"/>
                <w:lang w:val="en-US" w:eastAsia="zh-CN"/>
              </w:rPr>
              <w:t>（</w:t>
            </w:r>
            <w:r>
              <w:rPr>
                <w:rFonts w:hint="eastAsia" w:ascii="Times New Roman" w:hAnsi="Times New Roman" w:eastAsia="宋体" w:cs="Times New Roman"/>
                <w:b w:val="0"/>
                <w:bCs w:val="0"/>
                <w:color w:val="auto"/>
                <w:kern w:val="0"/>
                <w:sz w:val="24"/>
                <w:szCs w:val="24"/>
                <w:lang w:val="en-US" w:eastAsia="zh-CN"/>
              </w:rPr>
              <w:t>HJ1</w:t>
            </w:r>
            <w:r>
              <w:rPr>
                <w:rFonts w:hint="eastAsia" w:cs="Times New Roman"/>
                <w:b w:val="0"/>
                <w:bCs w:val="0"/>
                <w:color w:val="auto"/>
                <w:kern w:val="0"/>
                <w:sz w:val="24"/>
                <w:szCs w:val="24"/>
                <w:lang w:val="en-US" w:eastAsia="zh-CN"/>
              </w:rPr>
              <w:t>034</w:t>
            </w:r>
            <w:r>
              <w:rPr>
                <w:rFonts w:hint="eastAsia" w:ascii="Times New Roman" w:hAnsi="Times New Roman" w:eastAsia="宋体" w:cs="Times New Roman"/>
                <w:b w:val="0"/>
                <w:bCs w:val="0"/>
                <w:color w:val="auto"/>
                <w:kern w:val="0"/>
                <w:sz w:val="24"/>
                <w:szCs w:val="24"/>
                <w:lang w:val="en-US" w:eastAsia="zh-CN"/>
              </w:rPr>
              <w:t>-20</w:t>
            </w:r>
            <w:r>
              <w:rPr>
                <w:rFonts w:hint="eastAsia" w:cs="Times New Roman"/>
                <w:b w:val="0"/>
                <w:bCs w:val="0"/>
                <w:color w:val="auto"/>
                <w:kern w:val="0"/>
                <w:sz w:val="24"/>
                <w:szCs w:val="24"/>
                <w:lang w:val="en-US" w:eastAsia="zh-CN"/>
              </w:rPr>
              <w:t>19</w:t>
            </w:r>
            <w:r>
              <w:rPr>
                <w:rFonts w:hint="eastAsia" w:ascii="Times New Roman" w:hAnsi="Times New Roman" w:eastAsia="宋体" w:cs="Times New Roman"/>
                <w:b w:val="0"/>
                <w:bCs w:val="0"/>
                <w:color w:val="auto"/>
                <w:kern w:val="0"/>
                <w:sz w:val="24"/>
                <w:szCs w:val="24"/>
                <w:lang w:val="en-US" w:eastAsia="zh-CN"/>
              </w:rPr>
              <w:t>）“表A.2废弃资源加工工业排污单位废水污染防治可行技术参考表”，项目采取的</w:t>
            </w:r>
            <w:r>
              <w:rPr>
                <w:rFonts w:hint="eastAsia" w:ascii="Times New Roman" w:hAnsi="Times New Roman" w:eastAsia="宋体" w:cs="Times New Roman"/>
                <w:bCs/>
                <w:color w:val="auto"/>
                <w:spacing w:val="0"/>
                <w:position w:val="0"/>
                <w:sz w:val="24"/>
                <w:lang w:val="en-US" w:eastAsia="zh-CN"/>
              </w:rPr>
              <w:t>“中和+脱色+混凝沉淀”工艺属于可行技术。</w:t>
            </w:r>
          </w:p>
          <w:p w14:paraId="4A617B41">
            <w:pPr>
              <w:keepNext w:val="0"/>
              <w:keepLines w:val="0"/>
              <w:pageBreakBefore w:val="0"/>
              <w:widowControl w:val="0"/>
              <w:kinsoku/>
              <w:wordWrap/>
              <w:overflowPunct/>
              <w:topLinePunct w:val="0"/>
              <w:autoSpaceDE/>
              <w:autoSpaceDN/>
              <w:bidi w:val="0"/>
              <w:adjustRightInd w:val="0"/>
              <w:snapToGrid w:val="0"/>
              <w:spacing w:line="480" w:lineRule="atLeast"/>
              <w:textAlignment w:val="auto"/>
              <w:rPr>
                <w:rFonts w:hint="default" w:ascii="Times New Roman" w:hAnsi="Times New Roman" w:eastAsia="宋体" w:cs="Times New Roman"/>
                <w:color w:val="auto"/>
                <w:spacing w:val="0"/>
                <w:kern w:val="0"/>
                <w:sz w:val="24"/>
                <w:szCs w:val="24"/>
                <w:lang w:val="en-US" w:eastAsia="zh-CN" w:bidi="ar-SA"/>
              </w:rPr>
            </w:pPr>
            <w:r>
              <w:rPr>
                <w:rFonts w:hint="eastAsia" w:cs="Times New Roman"/>
                <w:b/>
                <w:bCs w:val="0"/>
                <w:color w:val="auto"/>
                <w:spacing w:val="0"/>
                <w:kern w:val="0"/>
                <w:sz w:val="24"/>
                <w:szCs w:val="24"/>
                <w:lang w:val="en-US" w:eastAsia="zh-CN" w:bidi="ar-SA"/>
              </w:rPr>
              <w:t>4.2.4</w:t>
            </w:r>
            <w:r>
              <w:rPr>
                <w:rFonts w:hint="default" w:ascii="Times New Roman" w:hAnsi="Times New Roman" w:eastAsia="宋体" w:cs="Times New Roman"/>
                <w:b/>
                <w:bCs w:val="0"/>
                <w:color w:val="auto"/>
                <w:spacing w:val="0"/>
                <w:kern w:val="0"/>
                <w:sz w:val="24"/>
                <w:szCs w:val="24"/>
                <w:lang w:val="en-US" w:eastAsia="zh-CN" w:bidi="ar-SA"/>
              </w:rPr>
              <w:t>废水接管可行性分析</w:t>
            </w:r>
          </w:p>
          <w:p w14:paraId="5B44B2A4">
            <w:pPr>
              <w:adjustRightInd w:val="0"/>
              <w:snapToGrid w:val="0"/>
              <w:spacing w:line="480" w:lineRule="atLeast"/>
              <w:ind w:firstLine="480" w:firstLineChars="200"/>
              <w:rPr>
                <w:rFonts w:hint="default" w:ascii="Times New Roman" w:hAnsi="Times New Roman" w:eastAsia="宋体" w:cs="Times New Roman"/>
                <w:color w:val="auto"/>
                <w:spacing w:val="0"/>
                <w:kern w:val="0"/>
                <w:sz w:val="24"/>
                <w:szCs w:val="24"/>
                <w:lang w:val="en-US" w:eastAsia="zh-CN" w:bidi="ar-SA"/>
              </w:rPr>
            </w:pPr>
            <w:r>
              <w:rPr>
                <w:rFonts w:hint="eastAsia" w:ascii="Times New Roman" w:hAnsi="Times New Roman" w:eastAsia="宋体" w:cs="Times New Roman"/>
                <w:color w:val="auto"/>
                <w:spacing w:val="0"/>
                <w:kern w:val="0"/>
                <w:sz w:val="24"/>
                <w:szCs w:val="24"/>
                <w:lang w:val="en-US" w:eastAsia="zh-CN" w:bidi="ar-SA"/>
              </w:rPr>
              <w:t>（1）</w:t>
            </w:r>
            <w:r>
              <w:rPr>
                <w:rFonts w:hint="default" w:ascii="Times New Roman" w:hAnsi="Times New Roman" w:eastAsia="宋体" w:cs="Times New Roman"/>
                <w:color w:val="auto"/>
                <w:spacing w:val="0"/>
                <w:kern w:val="0"/>
                <w:sz w:val="24"/>
                <w:szCs w:val="24"/>
                <w:lang w:val="en-US" w:eastAsia="zh-CN" w:bidi="ar-SA"/>
              </w:rPr>
              <w:t>本项目</w:t>
            </w:r>
            <w:r>
              <w:rPr>
                <w:rFonts w:hint="eastAsia" w:ascii="Times New Roman" w:hAnsi="Times New Roman" w:eastAsia="宋体" w:cs="Times New Roman"/>
                <w:color w:val="auto"/>
                <w:spacing w:val="0"/>
                <w:kern w:val="0"/>
                <w:sz w:val="24"/>
                <w:szCs w:val="24"/>
                <w:lang w:val="en-US" w:eastAsia="zh-CN" w:bidi="ar-SA"/>
              </w:rPr>
              <w:t>选址</w:t>
            </w:r>
            <w:r>
              <w:rPr>
                <w:rFonts w:hint="default" w:ascii="Times New Roman" w:hAnsi="Times New Roman" w:eastAsia="宋体" w:cs="Times New Roman"/>
                <w:color w:val="auto"/>
                <w:spacing w:val="0"/>
                <w:kern w:val="0"/>
                <w:sz w:val="24"/>
                <w:szCs w:val="24"/>
                <w:lang w:val="en-US" w:eastAsia="zh-CN" w:bidi="ar-SA"/>
              </w:rPr>
              <w:t>位于</w:t>
            </w:r>
            <w:r>
              <w:rPr>
                <w:rFonts w:hint="eastAsia"/>
                <w:color w:val="auto"/>
                <w:spacing w:val="0"/>
                <w:position w:val="0"/>
                <w:sz w:val="24"/>
                <w:lang w:val="en-US" w:eastAsia="zh-CN"/>
              </w:rPr>
              <w:t>皖江江南新兴产业集中区万凯产业园7#厂房，属于</w:t>
            </w:r>
            <w:r>
              <w:rPr>
                <w:rFonts w:hint="default" w:ascii="Times New Roman" w:hAnsi="Times New Roman" w:eastAsia="宋体" w:cs="Times New Roman"/>
                <w:color w:val="auto"/>
                <w:spacing w:val="0"/>
                <w:kern w:val="0"/>
                <w:sz w:val="24"/>
                <w:szCs w:val="24"/>
                <w:lang w:val="en-US" w:eastAsia="zh-CN" w:bidi="ar-SA"/>
              </w:rPr>
              <w:t>集中区第一污水处理厂收水范围，</w:t>
            </w:r>
            <w:r>
              <w:rPr>
                <w:rFonts w:hint="eastAsia" w:ascii="Times New Roman" w:hAnsi="Times New Roman" w:eastAsia="宋体" w:cs="Times New Roman"/>
                <w:color w:val="auto"/>
                <w:spacing w:val="0"/>
                <w:kern w:val="0"/>
                <w:sz w:val="24"/>
                <w:szCs w:val="24"/>
                <w:lang w:val="en-US" w:eastAsia="zh-CN" w:bidi="ar-SA"/>
              </w:rPr>
              <w:t>见图4-4。</w:t>
            </w:r>
          </w:p>
          <w:p w14:paraId="7EB28E66">
            <w:pPr>
              <w:adjustRightInd w:val="0"/>
              <w:snapToGrid w:val="0"/>
              <w:spacing w:line="480" w:lineRule="atLeast"/>
              <w:ind w:firstLine="480" w:firstLineChars="200"/>
              <w:rPr>
                <w:rFonts w:hint="default" w:ascii="Times New Roman" w:hAnsi="Times New Roman" w:eastAsia="宋体" w:cs="Times New Roman"/>
                <w:color w:val="auto"/>
                <w:spacing w:val="0"/>
                <w:kern w:val="0"/>
                <w:sz w:val="24"/>
                <w:szCs w:val="24"/>
                <w:lang w:val="en-US" w:eastAsia="zh-CN" w:bidi="ar-SA"/>
              </w:rPr>
            </w:pPr>
            <w:r>
              <w:rPr>
                <w:rFonts w:hint="eastAsia" w:ascii="Times New Roman" w:hAnsi="Times New Roman" w:eastAsia="宋体" w:cs="Times New Roman"/>
                <w:color w:val="auto"/>
                <w:spacing w:val="0"/>
                <w:kern w:val="0"/>
                <w:sz w:val="24"/>
                <w:szCs w:val="24"/>
                <w:lang w:val="en-US" w:eastAsia="zh-CN" w:bidi="ar-SA"/>
              </w:rPr>
              <w:t>（2）项目废水排放浓度均满足</w:t>
            </w:r>
            <w:r>
              <w:rPr>
                <w:rFonts w:hint="default" w:ascii="Times New Roman" w:hAnsi="Times New Roman" w:eastAsia="宋体" w:cs="Times New Roman"/>
                <w:bCs/>
                <w:color w:val="auto"/>
                <w:spacing w:val="0"/>
                <w:position w:val="0"/>
                <w:sz w:val="24"/>
                <w:lang w:val="en-US" w:eastAsia="zh-CN"/>
              </w:rPr>
              <w:t>皖江江南新兴产业集中区第一污水处理厂</w:t>
            </w:r>
            <w:r>
              <w:rPr>
                <w:rFonts w:hint="eastAsia" w:cs="Times New Roman"/>
                <w:bCs/>
                <w:color w:val="auto"/>
                <w:spacing w:val="0"/>
                <w:position w:val="0"/>
                <w:sz w:val="24"/>
                <w:lang w:val="en-US" w:eastAsia="zh-CN"/>
              </w:rPr>
              <w:t>接管限值</w:t>
            </w:r>
            <w:r>
              <w:rPr>
                <w:rFonts w:hint="default" w:ascii="Times New Roman" w:hAnsi="Times New Roman" w:eastAsia="宋体" w:cs="Times New Roman"/>
                <w:bCs/>
                <w:color w:val="auto"/>
                <w:spacing w:val="0"/>
                <w:position w:val="0"/>
                <w:sz w:val="24"/>
                <w:lang w:val="en-US" w:eastAsia="zh-CN"/>
              </w:rPr>
              <w:t>、《污水综合排放标准》（GB8978-1996）表4中三级标准</w:t>
            </w:r>
            <w:r>
              <w:rPr>
                <w:rFonts w:hint="eastAsia" w:ascii="Times New Roman" w:hAnsi="Times New Roman" w:eastAsia="宋体" w:cs="Times New Roman"/>
                <w:bCs/>
                <w:color w:val="auto"/>
                <w:spacing w:val="0"/>
                <w:position w:val="0"/>
                <w:sz w:val="24"/>
                <w:lang w:val="en-US" w:eastAsia="zh-CN"/>
              </w:rPr>
              <w:t>要求，接管水质可行。</w:t>
            </w:r>
          </w:p>
          <w:p w14:paraId="7F67317B">
            <w:pPr>
              <w:adjustRightInd w:val="0"/>
              <w:snapToGrid w:val="0"/>
              <w:spacing w:line="480" w:lineRule="atLeast"/>
              <w:ind w:firstLine="480" w:firstLineChars="200"/>
              <w:rPr>
                <w:rFonts w:hint="default" w:ascii="Times New Roman" w:hAnsi="Times New Roman" w:eastAsia="宋体" w:cs="Times New Roman"/>
                <w:color w:val="auto"/>
                <w:spacing w:val="0"/>
                <w:kern w:val="0"/>
                <w:sz w:val="24"/>
              </w:rPr>
            </w:pPr>
            <w:r>
              <w:rPr>
                <w:rFonts w:hint="eastAsia" w:ascii="Times New Roman" w:hAnsi="Times New Roman" w:eastAsia="宋体" w:cs="Times New Roman"/>
                <w:color w:val="auto"/>
                <w:spacing w:val="0"/>
                <w:kern w:val="0"/>
                <w:sz w:val="24"/>
                <w:szCs w:val="24"/>
                <w:lang w:val="en-US" w:eastAsia="zh-CN" w:bidi="ar-SA"/>
              </w:rPr>
              <w:t>（3）</w:t>
            </w:r>
            <w:r>
              <w:rPr>
                <w:rFonts w:hint="default" w:ascii="Times New Roman" w:hAnsi="Times New Roman" w:eastAsia="宋体" w:cs="Times New Roman"/>
                <w:color w:val="auto"/>
                <w:spacing w:val="0"/>
                <w:kern w:val="0"/>
                <w:sz w:val="24"/>
                <w:szCs w:val="24"/>
                <w:lang w:val="en-US" w:eastAsia="zh-CN" w:bidi="ar-SA"/>
              </w:rPr>
              <w:t>目前集中区第一污水处理厂尚有余量，完</w:t>
            </w:r>
            <w:r>
              <w:rPr>
                <w:rFonts w:hint="default" w:ascii="Times New Roman" w:hAnsi="Times New Roman" w:eastAsia="宋体" w:cs="Times New Roman"/>
                <w:color w:val="auto"/>
                <w:spacing w:val="0"/>
                <w:kern w:val="0"/>
                <w:sz w:val="24"/>
              </w:rPr>
              <w:t>全可以接纳本项目排水</w:t>
            </w:r>
            <w:r>
              <w:rPr>
                <w:rFonts w:hint="eastAsia" w:ascii="Times New Roman" w:hAnsi="Times New Roman" w:eastAsia="宋体" w:cs="Times New Roman"/>
                <w:color w:val="auto"/>
                <w:spacing w:val="0"/>
                <w:kern w:val="0"/>
                <w:sz w:val="24"/>
                <w:lang w:eastAsia="zh-CN"/>
              </w:rPr>
              <w:t>（</w:t>
            </w:r>
            <w:r>
              <w:rPr>
                <w:rFonts w:hint="eastAsia" w:cs="Times New Roman"/>
                <w:color w:val="auto"/>
                <w:spacing w:val="0"/>
                <w:kern w:val="0"/>
                <w:sz w:val="24"/>
                <w:lang w:val="en-US" w:eastAsia="zh-CN"/>
              </w:rPr>
              <w:t>5.224</w:t>
            </w:r>
            <w:r>
              <w:rPr>
                <w:rFonts w:hint="eastAsia" w:ascii="Times New Roman" w:hAnsi="Times New Roman" w:eastAsia="宋体" w:cs="Times New Roman"/>
                <w:color w:val="auto"/>
                <w:spacing w:val="0"/>
                <w:kern w:val="0"/>
                <w:sz w:val="24"/>
                <w:lang w:val="en-US" w:eastAsia="zh-CN"/>
              </w:rPr>
              <w:t>t/d</w:t>
            </w:r>
            <w:r>
              <w:rPr>
                <w:rFonts w:hint="eastAsia" w:ascii="Times New Roman" w:hAnsi="Times New Roman" w:eastAsia="宋体" w:cs="Times New Roman"/>
                <w:color w:val="auto"/>
                <w:spacing w:val="0"/>
                <w:kern w:val="0"/>
                <w:sz w:val="24"/>
                <w:lang w:eastAsia="zh-CN"/>
              </w:rPr>
              <w:t>）</w:t>
            </w:r>
            <w:r>
              <w:rPr>
                <w:rFonts w:hint="default" w:ascii="Times New Roman" w:hAnsi="Times New Roman" w:eastAsia="宋体" w:cs="Times New Roman"/>
                <w:color w:val="auto"/>
                <w:spacing w:val="0"/>
                <w:kern w:val="0"/>
                <w:sz w:val="24"/>
              </w:rPr>
              <w:t>。</w:t>
            </w:r>
          </w:p>
          <w:p w14:paraId="59F73298">
            <w:pPr>
              <w:adjustRightInd w:val="0"/>
              <w:snapToGrid w:val="0"/>
              <w:spacing w:line="480" w:lineRule="atLeast"/>
              <w:ind w:firstLine="480" w:firstLineChars="200"/>
              <w:rPr>
                <w:rFonts w:hint="default" w:ascii="Times New Roman" w:hAnsi="Times New Roman" w:eastAsia="宋体" w:cs="Times New Roman"/>
                <w:color w:val="auto"/>
                <w:spacing w:val="0"/>
                <w:kern w:val="0"/>
                <w:sz w:val="24"/>
              </w:rPr>
            </w:pPr>
            <w:r>
              <w:rPr>
                <w:rFonts w:hint="eastAsia" w:ascii="Times New Roman" w:hAnsi="Times New Roman" w:eastAsia="宋体" w:cs="Times New Roman"/>
                <w:color w:val="auto"/>
                <w:spacing w:val="0"/>
                <w:kern w:val="0"/>
                <w:sz w:val="24"/>
                <w:lang w:val="en-US" w:eastAsia="zh-CN"/>
              </w:rPr>
              <w:t>综上</w:t>
            </w:r>
            <w:r>
              <w:rPr>
                <w:rFonts w:hint="default" w:ascii="Times New Roman" w:hAnsi="Times New Roman" w:eastAsia="宋体" w:cs="Times New Roman"/>
                <w:color w:val="auto"/>
                <w:spacing w:val="0"/>
                <w:kern w:val="0"/>
                <w:sz w:val="24"/>
              </w:rPr>
              <w:t>，本项目</w:t>
            </w:r>
            <w:r>
              <w:rPr>
                <w:rFonts w:hint="eastAsia" w:ascii="Times New Roman" w:hAnsi="Times New Roman" w:eastAsia="宋体" w:cs="Times New Roman"/>
                <w:color w:val="auto"/>
                <w:spacing w:val="0"/>
                <w:kern w:val="0"/>
                <w:sz w:val="24"/>
                <w:lang w:val="en-US" w:eastAsia="zh-CN"/>
              </w:rPr>
              <w:t>生活污水经化粪池收集，</w:t>
            </w:r>
            <w:r>
              <w:rPr>
                <w:rFonts w:hint="eastAsia" w:cs="Times New Roman"/>
                <w:caps w:val="0"/>
                <w:smallCaps w:val="0"/>
                <w:color w:val="auto"/>
                <w:spacing w:val="0"/>
                <w:w w:val="100"/>
                <w:position w:val="0"/>
                <w:sz w:val="24"/>
                <w:szCs w:val="24"/>
                <w:lang w:val="en-US" w:eastAsia="zh-CN"/>
              </w:rPr>
              <w:t>地面冲洗废水、喷淋塔定期排水</w:t>
            </w:r>
            <w:r>
              <w:rPr>
                <w:rFonts w:hint="default" w:ascii="Times New Roman" w:hAnsi="Times New Roman" w:eastAsia="宋体" w:cs="Times New Roman"/>
                <w:color w:val="auto"/>
                <w:spacing w:val="0"/>
                <w:kern w:val="0"/>
                <w:sz w:val="24"/>
              </w:rPr>
              <w:t>经</w:t>
            </w:r>
            <w:r>
              <w:rPr>
                <w:rFonts w:hint="eastAsia" w:cs="Times New Roman"/>
                <w:color w:val="auto"/>
                <w:spacing w:val="0"/>
                <w:kern w:val="0"/>
                <w:sz w:val="24"/>
                <w:lang w:eastAsia="zh-CN"/>
              </w:rPr>
              <w:t>污水处理池</w:t>
            </w:r>
            <w:r>
              <w:rPr>
                <w:rFonts w:hint="default" w:ascii="Times New Roman" w:hAnsi="Times New Roman" w:eastAsia="宋体" w:cs="Times New Roman"/>
                <w:color w:val="auto"/>
                <w:spacing w:val="0"/>
                <w:kern w:val="0"/>
                <w:sz w:val="24"/>
              </w:rPr>
              <w:t>处理</w:t>
            </w:r>
            <w:r>
              <w:rPr>
                <w:rFonts w:hint="eastAsia" w:ascii="Times New Roman" w:hAnsi="Times New Roman" w:eastAsia="宋体" w:cs="Times New Roman"/>
                <w:color w:val="auto"/>
                <w:spacing w:val="0"/>
                <w:kern w:val="0"/>
                <w:sz w:val="24"/>
                <w:lang w:eastAsia="zh-CN"/>
              </w:rPr>
              <w:t>，</w:t>
            </w:r>
            <w:r>
              <w:rPr>
                <w:rFonts w:hint="default" w:ascii="Times New Roman" w:hAnsi="Times New Roman" w:eastAsia="宋体" w:cs="Times New Roman"/>
                <w:color w:val="auto"/>
                <w:spacing w:val="0"/>
                <w:kern w:val="0"/>
                <w:sz w:val="24"/>
              </w:rPr>
              <w:t>排入</w:t>
            </w:r>
            <w:r>
              <w:rPr>
                <w:rFonts w:hint="default" w:ascii="Times New Roman" w:hAnsi="Times New Roman" w:eastAsia="宋体" w:cs="Times New Roman"/>
                <w:color w:val="auto"/>
                <w:spacing w:val="0"/>
                <w:kern w:val="0"/>
                <w:sz w:val="24"/>
                <w:lang w:eastAsia="zh-CN"/>
              </w:rPr>
              <w:t>集中区第一污水处理厂</w:t>
            </w:r>
            <w:r>
              <w:rPr>
                <w:rFonts w:hint="default" w:ascii="Times New Roman" w:hAnsi="Times New Roman" w:eastAsia="宋体" w:cs="Times New Roman"/>
                <w:color w:val="auto"/>
                <w:spacing w:val="0"/>
                <w:kern w:val="0"/>
                <w:sz w:val="24"/>
              </w:rPr>
              <w:t>接管可行。</w:t>
            </w:r>
          </w:p>
          <w:p w14:paraId="4AD18C6E">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bCs/>
                <w:color w:val="auto"/>
                <w:spacing w:val="0"/>
                <w:position w:val="0"/>
                <w:sz w:val="24"/>
                <w:lang w:eastAsia="zh-CN"/>
              </w:rPr>
            </w:pPr>
          </w:p>
          <w:p w14:paraId="29A94DA4">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bCs/>
                <w:color w:val="auto"/>
                <w:spacing w:val="0"/>
                <w:position w:val="0"/>
                <w:sz w:val="24"/>
                <w:lang w:eastAsia="zh-CN"/>
              </w:rPr>
            </w:pPr>
          </w:p>
          <w:p w14:paraId="7C49D47F">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bCs/>
                <w:color w:val="auto"/>
                <w:spacing w:val="0"/>
                <w:position w:val="0"/>
                <w:sz w:val="24"/>
                <w:lang w:eastAsia="zh-CN"/>
              </w:rPr>
            </w:pPr>
          </w:p>
          <w:p w14:paraId="2DC9999D">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bCs/>
                <w:color w:val="auto"/>
                <w:spacing w:val="0"/>
                <w:position w:val="0"/>
                <w:sz w:val="24"/>
                <w:lang w:eastAsia="zh-CN"/>
              </w:rPr>
            </w:pPr>
          </w:p>
          <w:p w14:paraId="71ACAEFD">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bCs/>
                <w:color w:val="auto"/>
                <w:spacing w:val="0"/>
                <w:position w:val="0"/>
                <w:sz w:val="24"/>
                <w:lang w:eastAsia="zh-CN"/>
              </w:rPr>
            </w:pPr>
          </w:p>
          <w:p w14:paraId="5A99D52F">
            <w:pPr>
              <w:keepNext w:val="0"/>
              <w:keepLines w:val="0"/>
              <w:pageBreakBefore w:val="0"/>
              <w:widowControl w:val="0"/>
              <w:kinsoku/>
              <w:wordWrap/>
              <w:overflowPunct/>
              <w:topLinePunct w:val="0"/>
              <w:autoSpaceDE/>
              <w:autoSpaceDN/>
              <w:bidi w:val="0"/>
              <w:adjustRightInd w:val="0"/>
              <w:snapToGrid w:val="0"/>
              <w:spacing w:line="480" w:lineRule="atLeast"/>
              <w:ind w:firstLine="480" w:firstLineChars="200"/>
              <w:textAlignment w:val="auto"/>
              <w:rPr>
                <w:rFonts w:hint="eastAsia" w:cs="Times New Roman"/>
                <w:bCs/>
                <w:color w:val="auto"/>
                <w:spacing w:val="0"/>
                <w:position w:val="0"/>
                <w:sz w:val="24"/>
                <w:lang w:eastAsia="zh-CN"/>
              </w:rPr>
            </w:pPr>
          </w:p>
          <w:p w14:paraId="60E948C2">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textAlignment w:val="auto"/>
              <w:rPr>
                <w:rFonts w:hint="eastAsia" w:cs="Times New Roman"/>
                <w:bCs/>
                <w:color w:val="auto"/>
                <w:spacing w:val="0"/>
                <w:position w:val="0"/>
                <w:sz w:val="24"/>
                <w:lang w:eastAsia="zh-CN"/>
              </w:rPr>
            </w:pPr>
          </w:p>
          <w:p w14:paraId="5CDA3D8E">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textAlignment w:val="auto"/>
              <w:rPr>
                <w:rFonts w:hint="eastAsia" w:cs="Times New Roman"/>
                <w:bCs/>
                <w:color w:val="auto"/>
                <w:spacing w:val="0"/>
                <w:position w:val="0"/>
                <w:sz w:val="24"/>
                <w:lang w:eastAsia="zh-CN"/>
              </w:rPr>
            </w:pPr>
          </w:p>
          <w:p w14:paraId="03A7C14F">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textAlignment w:val="auto"/>
              <w:rPr>
                <w:rFonts w:hint="eastAsia" w:cs="Times New Roman"/>
                <w:bCs/>
                <w:color w:val="auto"/>
                <w:spacing w:val="0"/>
                <w:position w:val="0"/>
                <w:sz w:val="24"/>
                <w:lang w:eastAsia="zh-CN"/>
              </w:rPr>
            </w:pPr>
          </w:p>
          <w:p w14:paraId="3835B702">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textAlignment w:val="auto"/>
              <w:rPr>
                <w:rFonts w:hint="eastAsia" w:cs="Times New Roman"/>
                <w:bCs/>
                <w:color w:val="auto"/>
                <w:spacing w:val="0"/>
                <w:position w:val="0"/>
                <w:sz w:val="24"/>
                <w:lang w:eastAsia="zh-CN"/>
              </w:rPr>
            </w:pPr>
          </w:p>
          <w:p w14:paraId="7911588E">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textAlignment w:val="auto"/>
              <w:rPr>
                <w:rFonts w:hint="eastAsia" w:cs="Times New Roman"/>
                <w:bCs/>
                <w:color w:val="auto"/>
                <w:spacing w:val="0"/>
                <w:position w:val="0"/>
                <w:sz w:val="24"/>
                <w:lang w:eastAsia="zh-CN"/>
              </w:rPr>
            </w:pPr>
          </w:p>
          <w:p w14:paraId="5283D9AC">
            <w:pPr>
              <w:keepNext w:val="0"/>
              <w:keepLines w:val="0"/>
              <w:pageBreakBefore w:val="0"/>
              <w:widowControl w:val="0"/>
              <w:kinsoku/>
              <w:wordWrap/>
              <w:overflowPunct/>
              <w:topLinePunct w:val="0"/>
              <w:autoSpaceDE/>
              <w:autoSpaceDN/>
              <w:bidi w:val="0"/>
              <w:adjustRightInd w:val="0"/>
              <w:snapToGrid w:val="0"/>
              <w:spacing w:line="480" w:lineRule="atLeast"/>
              <w:textAlignment w:val="auto"/>
              <w:rPr>
                <w:rFonts w:hint="eastAsia" w:ascii="Times New Roman" w:hAnsi="Times New Roman" w:eastAsia="宋体" w:cs="Times New Roman"/>
                <w:bCs/>
                <w:color w:val="auto"/>
                <w:spacing w:val="0"/>
                <w:position w:val="0"/>
                <w:sz w:val="24"/>
                <w:lang w:eastAsia="zh-CN"/>
              </w:rPr>
            </w:pPr>
          </w:p>
        </w:tc>
      </w:tr>
    </w:tbl>
    <w:p w14:paraId="72842DD3">
      <w:pPr>
        <w:adjustRightInd w:val="0"/>
        <w:snapToGrid w:val="0"/>
        <w:jc w:val="center"/>
        <w:rPr>
          <w:rFonts w:hint="default" w:ascii="Times New Roman" w:hAnsi="Times New Roman" w:cs="Times New Roman"/>
          <w:bCs/>
          <w:color w:val="auto"/>
          <w:spacing w:val="0"/>
          <w:position w:val="0"/>
          <w:sz w:val="24"/>
        </w:rPr>
        <w:sectPr>
          <w:pgSz w:w="11905" w:h="16838"/>
          <w:pgMar w:top="1440" w:right="1080" w:bottom="1440" w:left="1080" w:header="851" w:footer="1077" w:gutter="0"/>
          <w:pgBorders>
            <w:top w:val="none" w:sz="0" w:space="0"/>
            <w:left w:val="none" w:sz="0" w:space="0"/>
            <w:bottom w:val="none" w:sz="0" w:space="0"/>
            <w:right w:val="none" w:sz="0" w:space="0"/>
          </w:pgBorders>
          <w:pgNumType w:fmt="decimal"/>
          <w:cols w:space="0" w:num="1"/>
          <w:docGrid w:linePitch="312" w:charSpace="0"/>
        </w:sectPr>
      </w:pPr>
    </w:p>
    <w:tbl>
      <w:tblPr>
        <w:tblStyle w:val="26"/>
        <w:tblW w:w="1411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376"/>
      </w:tblGrid>
      <w:tr w14:paraId="50E62F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92" w:hRule="atLeast"/>
          <w:jc w:val="center"/>
        </w:trPr>
        <w:tc>
          <w:tcPr>
            <w:tcW w:w="737" w:type="dxa"/>
            <w:tcMar>
              <w:left w:w="28" w:type="dxa"/>
              <w:right w:w="28" w:type="dxa"/>
            </w:tcMar>
            <w:vAlign w:val="center"/>
          </w:tcPr>
          <w:p w14:paraId="6D6F2738">
            <w:pPr>
              <w:adjustRightInd w:val="0"/>
              <w:snapToGrid w:val="0"/>
              <w:spacing w:line="440" w:lineRule="exact"/>
              <w:jc w:val="center"/>
              <w:rPr>
                <w:rFonts w:hint="default" w:ascii="Times New Roman" w:hAnsi="Times New Roman" w:cs="Times New Roman"/>
                <w:color w:val="auto"/>
                <w:spacing w:val="0"/>
                <w:position w:val="0"/>
              </w:rPr>
            </w:pPr>
            <w:r>
              <w:rPr>
                <w:rFonts w:hint="default" w:ascii="Times New Roman" w:hAnsi="Times New Roman" w:cs="Times New Roman"/>
                <w:b/>
                <w:color w:val="auto"/>
                <w:spacing w:val="0"/>
                <w:position w:val="0"/>
                <w:sz w:val="24"/>
              </w:rPr>
              <w:t>运营期环境影响和保护措施</w:t>
            </w:r>
          </w:p>
        </w:tc>
        <w:tc>
          <w:tcPr>
            <w:tcW w:w="13376" w:type="dxa"/>
          </w:tcPr>
          <w:p w14:paraId="7373FDB1">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b/>
                <w:bCs/>
                <w:color w:val="auto"/>
                <w:spacing w:val="0"/>
                <w:sz w:val="24"/>
                <w:lang w:val="en-US" w:eastAsia="zh-CN"/>
              </w:rPr>
            </w:pPr>
            <w:r>
              <w:rPr>
                <w:sz w:val="21"/>
              </w:rPr>
              <mc:AlternateContent>
                <mc:Choice Requires="wps">
                  <w:drawing>
                    <wp:anchor distT="0" distB="0" distL="114300" distR="114300" simplePos="0" relativeHeight="251666432" behindDoc="0" locked="0" layoutInCell="1" allowOverlap="1">
                      <wp:simplePos x="0" y="0"/>
                      <wp:positionH relativeFrom="column">
                        <wp:posOffset>3517265</wp:posOffset>
                      </wp:positionH>
                      <wp:positionV relativeFrom="paragraph">
                        <wp:posOffset>2566670</wp:posOffset>
                      </wp:positionV>
                      <wp:extent cx="1735455" cy="726440"/>
                      <wp:effectExtent l="0" t="12700" r="1905" b="7620"/>
                      <wp:wrapNone/>
                      <wp:docPr id="15" name="直接箭头连接符 15"/>
                      <wp:cNvGraphicFramePr/>
                      <a:graphic xmlns:a="http://schemas.openxmlformats.org/drawingml/2006/main">
                        <a:graphicData uri="http://schemas.microsoft.com/office/word/2010/wordprocessingShape">
                          <wps:wsp>
                            <wps:cNvCnPr>
                              <a:stCxn id="13" idx="1"/>
                            </wps:cNvCnPr>
                            <wps:spPr>
                              <a:xfrm flipH="1" flipV="1">
                                <a:off x="4918710" y="3493770"/>
                                <a:ext cx="1735455" cy="726440"/>
                              </a:xfrm>
                              <a:prstGeom prst="straightConnector1">
                                <a:avLst/>
                              </a:prstGeom>
                              <a:ln w="6350">
                                <a:solidFill>
                                  <a:schemeClr val="accent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 y;margin-left:276.95pt;margin-top:202.1pt;height:57.2pt;width:136.65pt;z-index:251666432;mso-width-relative:page;mso-height-relative:page;" filled="f" stroked="t" coordsize="21600,21600" o:gfxdata="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hBRV3NwAAAALAQAADwAAAAAAAAABACAAAAAiAAAAZHJzL2Rvd25yZXYueG1sUEsB&#10;AhQAFAAAAAgAh07iQH4gxd4qAgAAFQQAAA4AAAAAAAAAAQAgAAAAKwEAAGRycy9lMm9Eb2MueG1s&#10;UEsFBgAAAAAGAAYAWQEAAMcFAAAAAA==&#10;">
                      <v:fill on="f" focussize="0,0"/>
                      <v:stroke weight="0.5pt" color="#4F81BD [3204]" joinstyle="round" endarrow="open"/>
                      <v:imagedata o:title=""/>
                      <o:lock v:ext="edit" aspectratio="f"/>
                    </v:shape>
                  </w:pict>
                </mc:Fallback>
              </mc:AlternateContent>
            </w:r>
            <w:r>
              <w:drawing>
                <wp:anchor distT="0" distB="0" distL="114300" distR="114300" simplePos="0" relativeHeight="251665408" behindDoc="0" locked="0" layoutInCell="1" allowOverlap="1">
                  <wp:simplePos x="0" y="0"/>
                  <wp:positionH relativeFrom="column">
                    <wp:posOffset>5252720</wp:posOffset>
                  </wp:positionH>
                  <wp:positionV relativeFrom="paragraph">
                    <wp:posOffset>2348865</wp:posOffset>
                  </wp:positionV>
                  <wp:extent cx="2461895" cy="1887855"/>
                  <wp:effectExtent l="9525" t="9525" r="12700" b="22860"/>
                  <wp:wrapNone/>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9"/>
                          <a:stretch>
                            <a:fillRect/>
                          </a:stretch>
                        </pic:blipFill>
                        <pic:spPr>
                          <a:xfrm>
                            <a:off x="0" y="0"/>
                            <a:ext cx="2461895" cy="1887855"/>
                          </a:xfrm>
                          <a:prstGeom prst="rect">
                            <a:avLst/>
                          </a:prstGeom>
                          <a:noFill/>
                          <a:ln>
                            <a:solidFill>
                              <a:srgbClr val="0000FF"/>
                            </a:solidFill>
                          </a:ln>
                        </pic:spPr>
                      </pic:pic>
                    </a:graphicData>
                  </a:graphic>
                </wp:anchor>
              </w:drawing>
            </w:r>
            <w:r>
              <w:drawing>
                <wp:inline distT="0" distB="0" distL="0" distR="0">
                  <wp:extent cx="7922260" cy="5389880"/>
                  <wp:effectExtent l="0" t="0" r="2540" b="5080"/>
                  <wp:docPr id="48" name="图片 293" descr="F:\$项目资料zyb\28 江南集中区产业规划修编环评项目\附图汇总\处理图\17污水工程规划图0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93" descr="F:\$项目资料zyb\28 江南集中区产业规划修编环评项目\附图汇总\处理图\17污水工程规划图0531.jpg"/>
                          <pic:cNvPicPr>
                            <a:picLocks noChangeAspect="1" noChangeArrowheads="1"/>
                          </pic:cNvPicPr>
                        </pic:nvPicPr>
                        <pic:blipFill>
                          <a:blip r:embed="rId30" cstate="print"/>
                          <a:srcRect t="2341" b="1557"/>
                          <a:stretch>
                            <a:fillRect/>
                          </a:stretch>
                        </pic:blipFill>
                        <pic:spPr>
                          <a:xfrm>
                            <a:off x="0" y="0"/>
                            <a:ext cx="7922260" cy="5389880"/>
                          </a:xfrm>
                          <a:prstGeom prst="rect">
                            <a:avLst/>
                          </a:prstGeom>
                          <a:noFill/>
                          <a:ln w="9525">
                            <a:noFill/>
                            <a:miter lim="800000"/>
                            <a:headEnd/>
                            <a:tailEnd/>
                          </a:ln>
                        </pic:spPr>
                      </pic:pic>
                    </a:graphicData>
                  </a:graphic>
                </wp:inline>
              </w:drawing>
            </w:r>
          </w:p>
          <w:p w14:paraId="0989D03E">
            <w:pPr>
              <w:keepNext w:val="0"/>
              <w:keepLines w:val="0"/>
              <w:pageBreakBefore w:val="0"/>
              <w:widowControl w:val="0"/>
              <w:kinsoku/>
              <w:wordWrap/>
              <w:overflowPunct/>
              <w:topLinePunct w:val="0"/>
              <w:autoSpaceDE/>
              <w:autoSpaceDN/>
              <w:bidi w:val="0"/>
              <w:adjustRightInd w:val="0"/>
              <w:snapToGrid/>
              <w:spacing w:line="480" w:lineRule="exact"/>
              <w:ind w:firstLine="0" w:firstLineChars="0"/>
              <w:jc w:val="center"/>
              <w:textAlignment w:val="auto"/>
              <w:rPr>
                <w:rFonts w:hint="default" w:ascii="Times New Roman" w:hAnsi="Times New Roman" w:cs="Times New Roman"/>
                <w:b/>
                <w:bCs/>
                <w:color w:val="auto"/>
                <w:spacing w:val="0"/>
                <w:sz w:val="21"/>
                <w:szCs w:val="21"/>
                <w:lang w:val="en-US" w:eastAsia="zh-CN"/>
              </w:rPr>
            </w:pPr>
            <w:r>
              <w:rPr>
                <w:rFonts w:hint="eastAsia" w:cs="Times New Roman"/>
                <w:b/>
                <w:bCs/>
                <w:color w:val="auto"/>
                <w:spacing w:val="0"/>
                <w:sz w:val="21"/>
                <w:szCs w:val="21"/>
                <w:lang w:val="en-US" w:eastAsia="zh-CN"/>
              </w:rPr>
              <w:t>图4-4  集中区污水工程规划图</w:t>
            </w:r>
          </w:p>
          <w:p w14:paraId="0B251961">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default" w:hAnsi="宋体" w:eastAsia="宋体"/>
                <w:b/>
                <w:color w:val="auto"/>
                <w:spacing w:val="0"/>
                <w:sz w:val="24"/>
                <w:szCs w:val="24"/>
                <w:lang w:val="en-US" w:eastAsia="zh-CN"/>
              </w:rPr>
            </w:pPr>
            <w:r>
              <w:rPr>
                <w:rFonts w:hint="eastAsia" w:hAnsi="宋体"/>
                <w:b/>
                <w:color w:val="auto"/>
                <w:spacing w:val="0"/>
                <w:sz w:val="24"/>
                <w:szCs w:val="24"/>
                <w:lang w:val="en-US" w:eastAsia="zh-CN"/>
              </w:rPr>
              <w:t>4.2.5废水污染物产生排放情况</w:t>
            </w:r>
          </w:p>
          <w:p w14:paraId="315D0430">
            <w:pPr>
              <w:keepNext w:val="0"/>
              <w:keepLines w:val="0"/>
              <w:pageBreakBefore w:val="0"/>
              <w:widowControl w:val="0"/>
              <w:kinsoku/>
              <w:wordWrap/>
              <w:overflowPunct/>
              <w:topLinePunct w:val="0"/>
              <w:autoSpaceDE/>
              <w:autoSpaceDN/>
              <w:bidi w:val="0"/>
              <w:snapToGrid/>
              <w:spacing w:line="480" w:lineRule="exact"/>
              <w:jc w:val="center"/>
              <w:textAlignment w:val="auto"/>
              <w:rPr>
                <w:rFonts w:hint="eastAsia" w:hAnsi="宋体"/>
                <w:b/>
                <w:color w:val="auto"/>
                <w:spacing w:val="0"/>
                <w:szCs w:val="21"/>
              </w:rPr>
            </w:pPr>
            <w:r>
              <w:rPr>
                <w:rFonts w:hAnsi="宋体"/>
                <w:b/>
                <w:color w:val="auto"/>
                <w:spacing w:val="0"/>
                <w:szCs w:val="21"/>
              </w:rPr>
              <w:t>表</w:t>
            </w:r>
            <w:r>
              <w:rPr>
                <w:rFonts w:hint="eastAsia" w:hAnsi="宋体"/>
                <w:b/>
                <w:color w:val="auto"/>
                <w:spacing w:val="0"/>
                <w:szCs w:val="21"/>
              </w:rPr>
              <w:t>4-</w:t>
            </w:r>
            <w:r>
              <w:rPr>
                <w:rFonts w:hint="eastAsia" w:hAnsi="宋体"/>
                <w:b/>
                <w:color w:val="auto"/>
                <w:spacing w:val="0"/>
                <w:szCs w:val="21"/>
                <w:lang w:val="en-US" w:eastAsia="zh-CN"/>
              </w:rPr>
              <w:t>24</w:t>
            </w:r>
            <w:r>
              <w:rPr>
                <w:rFonts w:hint="eastAsia" w:hAnsi="宋体"/>
                <w:b/>
                <w:color w:val="auto"/>
                <w:spacing w:val="0"/>
                <w:szCs w:val="21"/>
              </w:rPr>
              <w:t xml:space="preserve">  项目废水污染物</w:t>
            </w:r>
            <w:r>
              <w:rPr>
                <w:rFonts w:hAnsi="宋体"/>
                <w:b/>
                <w:color w:val="auto"/>
                <w:spacing w:val="0"/>
                <w:szCs w:val="21"/>
              </w:rPr>
              <w:t>产生</w:t>
            </w:r>
            <w:r>
              <w:rPr>
                <w:rFonts w:hint="eastAsia" w:hAnsi="宋体"/>
                <w:b/>
                <w:color w:val="auto"/>
                <w:spacing w:val="0"/>
                <w:szCs w:val="21"/>
              </w:rPr>
              <w:t>、排放</w:t>
            </w:r>
            <w:r>
              <w:rPr>
                <w:rFonts w:hAnsi="宋体"/>
                <w:b/>
                <w:color w:val="auto"/>
                <w:spacing w:val="0"/>
                <w:szCs w:val="21"/>
              </w:rPr>
              <w:t>情况一览表</w:t>
            </w:r>
          </w:p>
          <w:tbl>
            <w:tblPr>
              <w:tblStyle w:val="26"/>
              <w:tblW w:w="170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8"/>
              <w:gridCol w:w="1799"/>
              <w:gridCol w:w="1041"/>
              <w:gridCol w:w="1105"/>
              <w:gridCol w:w="1105"/>
              <w:gridCol w:w="1353"/>
              <w:gridCol w:w="955"/>
              <w:gridCol w:w="748"/>
              <w:gridCol w:w="748"/>
              <w:gridCol w:w="748"/>
              <w:gridCol w:w="1086"/>
              <w:gridCol w:w="1089"/>
              <w:gridCol w:w="748"/>
            </w:tblGrid>
            <w:tr w14:paraId="6CC59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E1B7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产排污环节</w:t>
                  </w:r>
                </w:p>
              </w:tc>
              <w:tc>
                <w:tcPr>
                  <w:tcW w:w="1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786E7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类别</w:t>
                  </w:r>
                </w:p>
              </w:tc>
              <w:tc>
                <w:tcPr>
                  <w:tcW w:w="10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81216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污染物种类</w:t>
                  </w:r>
                </w:p>
              </w:tc>
              <w:tc>
                <w:tcPr>
                  <w:tcW w:w="11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E30AD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废水量（t/a）</w:t>
                  </w:r>
                </w:p>
              </w:tc>
              <w:tc>
                <w:tcPr>
                  <w:tcW w:w="24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56AE7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污染物产生情况</w:t>
                  </w:r>
                </w:p>
              </w:tc>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BE7D6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治理措施</w:t>
                  </w:r>
                </w:p>
              </w:tc>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ADB31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治理工艺</w:t>
                  </w:r>
                </w:p>
              </w:tc>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76BAE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处理效率</w:t>
                  </w:r>
                </w:p>
              </w:tc>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B932C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污染物种类</w:t>
                  </w:r>
                </w:p>
              </w:tc>
              <w:tc>
                <w:tcPr>
                  <w:tcW w:w="21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072B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污染物排放情况</w:t>
                  </w:r>
                </w:p>
              </w:tc>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C6365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排放形式</w:t>
                  </w:r>
                </w:p>
              </w:tc>
            </w:tr>
            <w:tr w14:paraId="4A6C7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ABE34">
                  <w:pPr>
                    <w:jc w:val="center"/>
                    <w:rPr>
                      <w:rFonts w:hint="default" w:ascii="Times New Roman" w:hAnsi="Times New Roman" w:eastAsia="宋体" w:cs="Times New Roman"/>
                      <w:b/>
                      <w:bCs/>
                      <w:i w:val="0"/>
                      <w:iCs w:val="0"/>
                      <w:color w:val="000000"/>
                      <w:sz w:val="21"/>
                      <w:szCs w:val="21"/>
                      <w:u w:val="none"/>
                    </w:rPr>
                  </w:pPr>
                </w:p>
              </w:tc>
              <w:tc>
                <w:tcPr>
                  <w:tcW w:w="1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C9C2E">
                  <w:pPr>
                    <w:jc w:val="center"/>
                    <w:rPr>
                      <w:rFonts w:hint="default" w:ascii="Times New Roman" w:hAnsi="Times New Roman" w:eastAsia="宋体" w:cs="Times New Roman"/>
                      <w:b/>
                      <w:bCs/>
                      <w:i w:val="0"/>
                      <w:iCs w:val="0"/>
                      <w:color w:val="000000"/>
                      <w:sz w:val="21"/>
                      <w:szCs w:val="21"/>
                      <w:u w:val="none"/>
                    </w:rPr>
                  </w:pPr>
                </w:p>
              </w:tc>
              <w:tc>
                <w:tcPr>
                  <w:tcW w:w="10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7A2BC">
                  <w:pPr>
                    <w:jc w:val="center"/>
                    <w:rPr>
                      <w:rFonts w:hint="default" w:ascii="Times New Roman" w:hAnsi="Times New Roman" w:eastAsia="宋体" w:cs="Times New Roman"/>
                      <w:b/>
                      <w:bCs/>
                      <w:i w:val="0"/>
                      <w:iCs w:val="0"/>
                      <w:color w:val="000000"/>
                      <w:sz w:val="21"/>
                      <w:szCs w:val="21"/>
                      <w:u w:val="none"/>
                    </w:rPr>
                  </w:pP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C6FAA">
                  <w:pPr>
                    <w:jc w:val="center"/>
                    <w:rPr>
                      <w:rFonts w:hint="default" w:ascii="Times New Roman" w:hAnsi="Times New Roman" w:eastAsia="宋体" w:cs="Times New Roman"/>
                      <w:b/>
                      <w:bCs/>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CA3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浓度</w:t>
                  </w:r>
                  <w:r>
                    <w:rPr>
                      <w:rFonts w:hint="default" w:ascii="Times New Roman" w:hAnsi="Times New Roman" w:eastAsia="宋体" w:cs="Times New Roman"/>
                      <w:b/>
                      <w:bCs/>
                      <w:i w:val="0"/>
                      <w:iCs w:val="0"/>
                      <w:color w:val="000000"/>
                      <w:kern w:val="0"/>
                      <w:sz w:val="21"/>
                      <w:szCs w:val="21"/>
                      <w:u w:val="none"/>
                      <w:lang w:val="en-US" w:eastAsia="zh-CN" w:bidi="ar"/>
                    </w:rPr>
                    <w:t>mg/L</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7FC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产生量（</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61E5F">
                  <w:pPr>
                    <w:jc w:val="center"/>
                    <w:rPr>
                      <w:rFonts w:hint="default" w:ascii="Times New Roman" w:hAnsi="Times New Roman" w:eastAsia="宋体" w:cs="Times New Roman"/>
                      <w:b/>
                      <w:bCs/>
                      <w:i w:val="0"/>
                      <w:iCs w:val="0"/>
                      <w:color w:val="000000"/>
                      <w:sz w:val="21"/>
                      <w:szCs w:val="21"/>
                      <w:u w:val="none"/>
                    </w:rPr>
                  </w:pP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4A7BA">
                  <w:pPr>
                    <w:jc w:val="center"/>
                    <w:rPr>
                      <w:rFonts w:hint="default" w:ascii="Times New Roman" w:hAnsi="Times New Roman" w:eastAsia="宋体" w:cs="Times New Roman"/>
                      <w:b/>
                      <w:bCs/>
                      <w:i w:val="0"/>
                      <w:iCs w:val="0"/>
                      <w:color w:val="000000"/>
                      <w:sz w:val="21"/>
                      <w:szCs w:val="21"/>
                      <w:u w:val="none"/>
                    </w:rPr>
                  </w:pP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9C41F">
                  <w:pPr>
                    <w:jc w:val="center"/>
                    <w:rPr>
                      <w:rFonts w:hint="eastAsia" w:ascii="宋体" w:hAnsi="宋体" w:eastAsia="宋体" w:cs="宋体"/>
                      <w:b/>
                      <w:bCs/>
                      <w:i w:val="0"/>
                      <w:iCs w:val="0"/>
                      <w:color w:val="000000"/>
                      <w:sz w:val="21"/>
                      <w:szCs w:val="21"/>
                      <w:u w:val="none"/>
                    </w:rPr>
                  </w:pP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961EA">
                  <w:pPr>
                    <w:jc w:val="center"/>
                    <w:rPr>
                      <w:rFonts w:hint="default" w:ascii="Times New Roman" w:hAnsi="Times New Roman" w:eastAsia="宋体" w:cs="Times New Roman"/>
                      <w:b/>
                      <w:bCs/>
                      <w:i w:val="0"/>
                      <w:iCs w:val="0"/>
                      <w:color w:val="000000"/>
                      <w:sz w:val="21"/>
                      <w:szCs w:val="21"/>
                      <w:u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A5A8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浓度（</w:t>
                  </w:r>
                  <w:r>
                    <w:rPr>
                      <w:rFonts w:hint="default" w:ascii="Times New Roman" w:hAnsi="Times New Roman" w:eastAsia="宋体" w:cs="Times New Roman"/>
                      <w:b/>
                      <w:bCs/>
                      <w:i w:val="0"/>
                      <w:iCs w:val="0"/>
                      <w:color w:val="000000"/>
                      <w:kern w:val="0"/>
                      <w:sz w:val="21"/>
                      <w:szCs w:val="21"/>
                      <w:u w:val="none"/>
                      <w:lang w:val="en-US" w:eastAsia="zh-CN" w:bidi="ar"/>
                    </w:rPr>
                    <w:t>mg/L</w:t>
                  </w:r>
                  <w:r>
                    <w:rPr>
                      <w:rFonts w:hint="eastAsia" w:ascii="宋体" w:hAnsi="宋体" w:eastAsia="宋体" w:cs="宋体"/>
                      <w:b/>
                      <w:bCs/>
                      <w:i w:val="0"/>
                      <w:iCs w:val="0"/>
                      <w:color w:val="000000"/>
                      <w:kern w:val="0"/>
                      <w:sz w:val="21"/>
                      <w:szCs w:val="21"/>
                      <w:u w:val="none"/>
                      <w:lang w:val="en-US" w:eastAsia="zh-CN" w:bidi="ar"/>
                    </w:rPr>
                    <w:t>）</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FDBF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排放量（t/a）</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7A09A">
                  <w:pPr>
                    <w:jc w:val="center"/>
                    <w:rPr>
                      <w:rFonts w:hint="default" w:ascii="Times New Roman" w:hAnsi="Times New Roman" w:eastAsia="宋体" w:cs="Times New Roman"/>
                      <w:b/>
                      <w:bCs/>
                      <w:i w:val="0"/>
                      <w:iCs w:val="0"/>
                      <w:color w:val="000000"/>
                      <w:sz w:val="21"/>
                      <w:szCs w:val="21"/>
                      <w:u w:val="none"/>
                    </w:rPr>
                  </w:pPr>
                </w:p>
              </w:tc>
            </w:tr>
            <w:tr w14:paraId="55899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272B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玻璃碱洗</w:t>
                  </w:r>
                </w:p>
              </w:tc>
              <w:tc>
                <w:tcPr>
                  <w:tcW w:w="1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27D2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碱洗废水</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4B8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1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B3AC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48000</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044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10~12</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D0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70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91AC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沉淀池沉淀后回用</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07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F11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F0A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490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907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1188C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FE1A7">
                  <w:pPr>
                    <w:jc w:val="center"/>
                    <w:rPr>
                      <w:rFonts w:hint="default" w:ascii="Times New Roman" w:hAnsi="Times New Roman" w:eastAsia="宋体" w:cs="Times New Roman"/>
                      <w:i w:val="0"/>
                      <w:iCs w:val="0"/>
                      <w:color w:val="000000"/>
                      <w:sz w:val="21"/>
                      <w:szCs w:val="21"/>
                      <w:u w:val="none"/>
                    </w:rPr>
                  </w:pPr>
                </w:p>
              </w:tc>
              <w:tc>
                <w:tcPr>
                  <w:tcW w:w="1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B0B21">
                  <w:pPr>
                    <w:jc w:val="center"/>
                    <w:rPr>
                      <w:rFonts w:hint="default" w:ascii="Times New Roman" w:hAnsi="Times New Roman" w:eastAsia="宋体" w:cs="Times New Roman"/>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3E5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4D9F8">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985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7A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9.6</w:t>
                  </w:r>
                </w:p>
              </w:tc>
              <w:tc>
                <w:tcPr>
                  <w:tcW w:w="17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57F3B">
                  <w:pPr>
                    <w:jc w:val="center"/>
                    <w:rPr>
                      <w:rFonts w:hint="default" w:ascii="Times New Roman" w:hAnsi="Times New Roman" w:eastAsia="宋体" w:cs="Times New Roman"/>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39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050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01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8C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9A7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63210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4AF3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洗砂去碱</w:t>
                  </w:r>
                </w:p>
              </w:tc>
              <w:tc>
                <w:tcPr>
                  <w:tcW w:w="1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504C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洗砂废水</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D2A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1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39AA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47442</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20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9~10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DA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7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09BF8">
                  <w:pPr>
                    <w:jc w:val="center"/>
                    <w:rPr>
                      <w:rFonts w:hint="default" w:ascii="Times New Roman" w:hAnsi="Times New Roman" w:eastAsia="宋体" w:cs="Times New Roman"/>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9D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52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79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1BE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9A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4BD7F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48393">
                  <w:pPr>
                    <w:jc w:val="center"/>
                    <w:rPr>
                      <w:rFonts w:hint="default" w:ascii="Times New Roman" w:hAnsi="Times New Roman" w:eastAsia="宋体" w:cs="Times New Roman"/>
                      <w:i w:val="0"/>
                      <w:iCs w:val="0"/>
                      <w:color w:val="000000"/>
                      <w:sz w:val="21"/>
                      <w:szCs w:val="21"/>
                      <w:u w:val="none"/>
                    </w:rPr>
                  </w:pPr>
                </w:p>
              </w:tc>
              <w:tc>
                <w:tcPr>
                  <w:tcW w:w="1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2FE63">
                  <w:pPr>
                    <w:jc w:val="center"/>
                    <w:rPr>
                      <w:rFonts w:hint="default" w:ascii="Times New Roman" w:hAnsi="Times New Roman" w:eastAsia="宋体" w:cs="Times New Roman"/>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0B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041C8">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B18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199.970 </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516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9.487</w:t>
                  </w:r>
                </w:p>
              </w:tc>
              <w:tc>
                <w:tcPr>
                  <w:tcW w:w="17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5C976">
                  <w:pPr>
                    <w:jc w:val="center"/>
                    <w:rPr>
                      <w:rFonts w:hint="default" w:ascii="Times New Roman" w:hAnsi="Times New Roman" w:eastAsia="宋体" w:cs="Times New Roman"/>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D6C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42A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D4A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952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56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556CB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EC7A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员工办公生活</w:t>
                  </w:r>
                </w:p>
              </w:tc>
              <w:tc>
                <w:tcPr>
                  <w:tcW w:w="1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CA50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生活污水</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06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COD</w:t>
                  </w:r>
                </w:p>
              </w:tc>
              <w:tc>
                <w:tcPr>
                  <w:tcW w:w="11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A624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1440</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90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797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0.490 </w:t>
                  </w:r>
                </w:p>
              </w:tc>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9BA6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化粪池</w:t>
                  </w:r>
                </w:p>
              </w:tc>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B4BD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三级化粪池</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3C9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7D1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COD</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1C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340</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0F5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0.490 </w:t>
                  </w:r>
                </w:p>
              </w:tc>
              <w:tc>
                <w:tcPr>
                  <w:tcW w:w="7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205F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间接排放</w:t>
                  </w:r>
                </w:p>
              </w:tc>
            </w:tr>
            <w:tr w14:paraId="75700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43347">
                  <w:pPr>
                    <w:jc w:val="center"/>
                    <w:rPr>
                      <w:rFonts w:hint="default" w:ascii="Times New Roman" w:hAnsi="Times New Roman" w:eastAsia="宋体" w:cs="Times New Roman"/>
                      <w:i w:val="0"/>
                      <w:iCs w:val="0"/>
                      <w:color w:val="000000"/>
                      <w:sz w:val="21"/>
                      <w:szCs w:val="21"/>
                      <w:u w:val="none"/>
                    </w:rPr>
                  </w:pPr>
                </w:p>
              </w:tc>
              <w:tc>
                <w:tcPr>
                  <w:tcW w:w="1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61EBB">
                  <w:pPr>
                    <w:jc w:val="center"/>
                    <w:rPr>
                      <w:rFonts w:hint="default" w:ascii="Times New Roman" w:hAnsi="Times New Roman" w:eastAsia="宋体" w:cs="Times New Roman"/>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81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BOD</w:t>
                  </w:r>
                  <w:r>
                    <w:rPr>
                      <w:rFonts w:hint="default" w:ascii="Times New Roman" w:hAnsi="Times New Roman" w:eastAsia="宋体" w:cs="Times New Roman"/>
                      <w:i w:val="0"/>
                      <w:iCs w:val="0"/>
                      <w:color w:val="000000"/>
                      <w:kern w:val="0"/>
                      <w:sz w:val="21"/>
                      <w:szCs w:val="21"/>
                      <w:u w:val="none"/>
                      <w:vertAlign w:val="subscript"/>
                      <w:lang w:val="en-US" w:eastAsia="zh-CN" w:bidi="ar"/>
                    </w:rPr>
                    <w:t>5</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6DE7F">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34E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A1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0.216 </w:t>
                  </w: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AD7F3">
                  <w:pPr>
                    <w:jc w:val="center"/>
                    <w:rPr>
                      <w:rFonts w:hint="default" w:ascii="Times New Roman" w:hAnsi="Times New Roman" w:eastAsia="宋体" w:cs="Times New Roman"/>
                      <w:i w:val="0"/>
                      <w:iCs w:val="0"/>
                      <w:color w:val="000000"/>
                      <w:sz w:val="21"/>
                      <w:szCs w:val="21"/>
                      <w:u w:val="none"/>
                    </w:rPr>
                  </w:pP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67E6C">
                  <w:pPr>
                    <w:jc w:val="center"/>
                    <w:rPr>
                      <w:rFonts w:hint="default" w:ascii="Times New Roman" w:hAnsi="Times New Roman" w:eastAsia="宋体" w:cs="Times New Roman"/>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FF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1B9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BOD</w:t>
                  </w:r>
                  <w:r>
                    <w:rPr>
                      <w:rFonts w:hint="default" w:ascii="Times New Roman" w:hAnsi="Times New Roman" w:eastAsia="宋体" w:cs="Times New Roman"/>
                      <w:i w:val="0"/>
                      <w:iCs w:val="0"/>
                      <w:color w:val="000000"/>
                      <w:kern w:val="0"/>
                      <w:sz w:val="21"/>
                      <w:szCs w:val="21"/>
                      <w:u w:val="none"/>
                      <w:vertAlign w:val="subscript"/>
                      <w:lang w:val="en-US" w:eastAsia="zh-CN" w:bidi="ar"/>
                    </w:rPr>
                    <w:t>5</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FB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150</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605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0.216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DA5FF">
                  <w:pPr>
                    <w:jc w:val="center"/>
                    <w:rPr>
                      <w:rFonts w:hint="default" w:ascii="Times New Roman" w:hAnsi="Times New Roman" w:eastAsia="宋体" w:cs="Times New Roman"/>
                      <w:i w:val="0"/>
                      <w:iCs w:val="0"/>
                      <w:color w:val="000000"/>
                      <w:sz w:val="21"/>
                      <w:szCs w:val="21"/>
                      <w:u w:val="none"/>
                    </w:rPr>
                  </w:pPr>
                </w:p>
              </w:tc>
            </w:tr>
            <w:tr w14:paraId="7CEA8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1DB08">
                  <w:pPr>
                    <w:jc w:val="center"/>
                    <w:rPr>
                      <w:rFonts w:hint="default" w:ascii="Times New Roman" w:hAnsi="Times New Roman" w:eastAsia="宋体" w:cs="Times New Roman"/>
                      <w:i w:val="0"/>
                      <w:iCs w:val="0"/>
                      <w:color w:val="000000"/>
                      <w:sz w:val="21"/>
                      <w:szCs w:val="21"/>
                      <w:u w:val="none"/>
                    </w:rPr>
                  </w:pPr>
                </w:p>
              </w:tc>
              <w:tc>
                <w:tcPr>
                  <w:tcW w:w="1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7A10A">
                  <w:pPr>
                    <w:jc w:val="center"/>
                    <w:rPr>
                      <w:rFonts w:hint="default" w:ascii="Times New Roman" w:hAnsi="Times New Roman" w:eastAsia="宋体" w:cs="Times New Roman"/>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6D3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E63CF">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DE2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1A1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0.075 </w:t>
                  </w: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45DB8">
                  <w:pPr>
                    <w:jc w:val="center"/>
                    <w:rPr>
                      <w:rFonts w:hint="default" w:ascii="Times New Roman" w:hAnsi="Times New Roman" w:eastAsia="宋体" w:cs="Times New Roman"/>
                      <w:i w:val="0"/>
                      <w:iCs w:val="0"/>
                      <w:color w:val="000000"/>
                      <w:sz w:val="21"/>
                      <w:szCs w:val="21"/>
                      <w:u w:val="none"/>
                    </w:rPr>
                  </w:pP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A0351">
                  <w:pPr>
                    <w:jc w:val="center"/>
                    <w:rPr>
                      <w:rFonts w:hint="default" w:ascii="Times New Roman" w:hAnsi="Times New Roman" w:eastAsia="宋体" w:cs="Times New Roman"/>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56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21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76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4C5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0.075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5446E">
                  <w:pPr>
                    <w:jc w:val="center"/>
                    <w:rPr>
                      <w:rFonts w:hint="default" w:ascii="Times New Roman" w:hAnsi="Times New Roman" w:eastAsia="宋体" w:cs="Times New Roman"/>
                      <w:i w:val="0"/>
                      <w:iCs w:val="0"/>
                      <w:color w:val="000000"/>
                      <w:sz w:val="21"/>
                      <w:szCs w:val="21"/>
                      <w:u w:val="none"/>
                    </w:rPr>
                  </w:pPr>
                </w:p>
              </w:tc>
            </w:tr>
            <w:tr w14:paraId="769F7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F7994">
                  <w:pPr>
                    <w:jc w:val="center"/>
                    <w:rPr>
                      <w:rFonts w:hint="default" w:ascii="Times New Roman" w:hAnsi="Times New Roman" w:eastAsia="宋体" w:cs="Times New Roman"/>
                      <w:i w:val="0"/>
                      <w:iCs w:val="0"/>
                      <w:color w:val="000000"/>
                      <w:sz w:val="21"/>
                      <w:szCs w:val="21"/>
                      <w:u w:val="none"/>
                    </w:rPr>
                  </w:pPr>
                </w:p>
              </w:tc>
              <w:tc>
                <w:tcPr>
                  <w:tcW w:w="1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8BA0E">
                  <w:pPr>
                    <w:jc w:val="center"/>
                    <w:rPr>
                      <w:rFonts w:hint="default" w:ascii="Times New Roman" w:hAnsi="Times New Roman" w:eastAsia="宋体" w:cs="Times New Roman"/>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800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NH</w:t>
                  </w:r>
                  <w:r>
                    <w:rPr>
                      <w:rFonts w:hint="default" w:ascii="Times New Roman" w:hAnsi="Times New Roman" w:eastAsia="宋体" w:cs="Times New Roman"/>
                      <w:i w:val="0"/>
                      <w:iCs w:val="0"/>
                      <w:color w:val="000000"/>
                      <w:kern w:val="0"/>
                      <w:sz w:val="21"/>
                      <w:szCs w:val="21"/>
                      <w:u w:val="none"/>
                      <w:vertAlign w:val="subscript"/>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-N</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C73BB">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95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7CE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0.050 </w:t>
                  </w: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CA0F2">
                  <w:pPr>
                    <w:jc w:val="center"/>
                    <w:rPr>
                      <w:rFonts w:hint="default" w:ascii="Times New Roman" w:hAnsi="Times New Roman" w:eastAsia="宋体" w:cs="Times New Roman"/>
                      <w:i w:val="0"/>
                      <w:iCs w:val="0"/>
                      <w:color w:val="000000"/>
                      <w:sz w:val="21"/>
                      <w:szCs w:val="21"/>
                      <w:u w:val="none"/>
                    </w:rPr>
                  </w:pP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949A2">
                  <w:pPr>
                    <w:jc w:val="center"/>
                    <w:rPr>
                      <w:rFonts w:hint="default" w:ascii="Times New Roman" w:hAnsi="Times New Roman" w:eastAsia="宋体" w:cs="Times New Roman"/>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49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E75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NH</w:t>
                  </w:r>
                  <w:r>
                    <w:rPr>
                      <w:rFonts w:hint="default" w:ascii="Times New Roman" w:hAnsi="Times New Roman" w:eastAsia="宋体" w:cs="Times New Roman"/>
                      <w:i w:val="0"/>
                      <w:iCs w:val="0"/>
                      <w:color w:val="000000"/>
                      <w:kern w:val="0"/>
                      <w:sz w:val="21"/>
                      <w:szCs w:val="21"/>
                      <w:u w:val="none"/>
                      <w:vertAlign w:val="subscript"/>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-N</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090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B46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0.050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0FEE9">
                  <w:pPr>
                    <w:jc w:val="center"/>
                    <w:rPr>
                      <w:rFonts w:hint="default" w:ascii="Times New Roman" w:hAnsi="Times New Roman" w:eastAsia="宋体" w:cs="Times New Roman"/>
                      <w:i w:val="0"/>
                      <w:iCs w:val="0"/>
                      <w:color w:val="000000"/>
                      <w:sz w:val="21"/>
                      <w:szCs w:val="21"/>
                      <w:u w:val="none"/>
                    </w:rPr>
                  </w:pPr>
                </w:p>
              </w:tc>
            </w:tr>
            <w:tr w14:paraId="52E78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5008C">
                  <w:pPr>
                    <w:jc w:val="center"/>
                    <w:rPr>
                      <w:rFonts w:hint="default" w:ascii="Times New Roman" w:hAnsi="Times New Roman" w:eastAsia="宋体" w:cs="Times New Roman"/>
                      <w:i w:val="0"/>
                      <w:iCs w:val="0"/>
                      <w:color w:val="000000"/>
                      <w:sz w:val="21"/>
                      <w:szCs w:val="21"/>
                      <w:u w:val="none"/>
                    </w:rPr>
                  </w:pPr>
                </w:p>
              </w:tc>
              <w:tc>
                <w:tcPr>
                  <w:tcW w:w="1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9239A">
                  <w:pPr>
                    <w:jc w:val="center"/>
                    <w:rPr>
                      <w:rFonts w:hint="default" w:ascii="Times New Roman" w:hAnsi="Times New Roman" w:eastAsia="宋体" w:cs="Times New Roman"/>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24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TN</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D3C4E">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1C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8C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0.065 </w:t>
                  </w: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8A27A">
                  <w:pPr>
                    <w:jc w:val="center"/>
                    <w:rPr>
                      <w:rFonts w:hint="default" w:ascii="Times New Roman" w:hAnsi="Times New Roman" w:eastAsia="宋体" w:cs="Times New Roman"/>
                      <w:i w:val="0"/>
                      <w:iCs w:val="0"/>
                      <w:color w:val="000000"/>
                      <w:sz w:val="21"/>
                      <w:szCs w:val="21"/>
                      <w:u w:val="none"/>
                    </w:rPr>
                  </w:pP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1CD22">
                  <w:pPr>
                    <w:jc w:val="center"/>
                    <w:rPr>
                      <w:rFonts w:hint="default" w:ascii="Times New Roman" w:hAnsi="Times New Roman" w:eastAsia="宋体" w:cs="Times New Roman"/>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94C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D0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TN</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975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418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0.065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7E01F">
                  <w:pPr>
                    <w:jc w:val="center"/>
                    <w:rPr>
                      <w:rFonts w:hint="default" w:ascii="Times New Roman" w:hAnsi="Times New Roman" w:eastAsia="宋体" w:cs="Times New Roman"/>
                      <w:i w:val="0"/>
                      <w:iCs w:val="0"/>
                      <w:color w:val="000000"/>
                      <w:sz w:val="21"/>
                      <w:szCs w:val="21"/>
                      <w:u w:val="none"/>
                    </w:rPr>
                  </w:pPr>
                </w:p>
              </w:tc>
            </w:tr>
            <w:tr w14:paraId="60191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8B2D5">
                  <w:pPr>
                    <w:jc w:val="center"/>
                    <w:rPr>
                      <w:rFonts w:hint="default" w:ascii="Times New Roman" w:hAnsi="Times New Roman" w:eastAsia="宋体" w:cs="Times New Roman"/>
                      <w:i w:val="0"/>
                      <w:iCs w:val="0"/>
                      <w:color w:val="000000"/>
                      <w:sz w:val="21"/>
                      <w:szCs w:val="21"/>
                      <w:u w:val="none"/>
                    </w:rPr>
                  </w:pPr>
                </w:p>
              </w:tc>
              <w:tc>
                <w:tcPr>
                  <w:tcW w:w="1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AFFB2">
                  <w:pPr>
                    <w:jc w:val="center"/>
                    <w:rPr>
                      <w:rFonts w:hint="default" w:ascii="Times New Roman" w:hAnsi="Times New Roman" w:eastAsia="宋体" w:cs="Times New Roman"/>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9D1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TP</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6D700">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EB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E36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0.006 </w:t>
                  </w: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34078">
                  <w:pPr>
                    <w:jc w:val="center"/>
                    <w:rPr>
                      <w:rFonts w:hint="default" w:ascii="Times New Roman" w:hAnsi="Times New Roman" w:eastAsia="宋体" w:cs="Times New Roman"/>
                      <w:i w:val="0"/>
                      <w:iCs w:val="0"/>
                      <w:color w:val="000000"/>
                      <w:sz w:val="21"/>
                      <w:szCs w:val="21"/>
                      <w:u w:val="none"/>
                    </w:rPr>
                  </w:pP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48E20">
                  <w:pPr>
                    <w:jc w:val="center"/>
                    <w:rPr>
                      <w:rFonts w:hint="default" w:ascii="Times New Roman" w:hAnsi="Times New Roman" w:eastAsia="宋体" w:cs="Times New Roman"/>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EC7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4FA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TP</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15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70E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0.006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E7355">
                  <w:pPr>
                    <w:jc w:val="center"/>
                    <w:rPr>
                      <w:rFonts w:hint="default" w:ascii="Times New Roman" w:hAnsi="Times New Roman" w:eastAsia="宋体" w:cs="Times New Roman"/>
                      <w:i w:val="0"/>
                      <w:iCs w:val="0"/>
                      <w:color w:val="000000"/>
                      <w:sz w:val="21"/>
                      <w:szCs w:val="21"/>
                      <w:u w:val="none"/>
                    </w:rPr>
                  </w:pPr>
                </w:p>
              </w:tc>
            </w:tr>
            <w:tr w14:paraId="56ED1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restart"/>
                  <w:tcBorders>
                    <w:top w:val="single" w:color="000000" w:sz="4" w:space="0"/>
                    <w:left w:val="single" w:color="000000" w:sz="4" w:space="0"/>
                    <w:bottom w:val="nil"/>
                    <w:right w:val="single" w:color="000000" w:sz="4" w:space="0"/>
                  </w:tcBorders>
                  <w:shd w:val="clear" w:color="auto" w:fill="auto"/>
                  <w:vAlign w:val="center"/>
                </w:tcPr>
                <w:p w14:paraId="6D6CA7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喷淋塔循环水</w:t>
                  </w:r>
                </w:p>
              </w:tc>
              <w:tc>
                <w:tcPr>
                  <w:tcW w:w="1799" w:type="dxa"/>
                  <w:vMerge w:val="restart"/>
                  <w:tcBorders>
                    <w:top w:val="single" w:color="000000" w:sz="4" w:space="0"/>
                    <w:left w:val="single" w:color="000000" w:sz="4" w:space="0"/>
                    <w:bottom w:val="nil"/>
                    <w:right w:val="single" w:color="000000" w:sz="4" w:space="0"/>
                  </w:tcBorders>
                  <w:shd w:val="clear" w:color="auto" w:fill="auto"/>
                  <w:vAlign w:val="center"/>
                </w:tcPr>
                <w:p w14:paraId="7573B8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喷淋塔定期排水</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838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105" w:type="dxa"/>
                  <w:vMerge w:val="restart"/>
                  <w:tcBorders>
                    <w:top w:val="single" w:color="000000" w:sz="4" w:space="0"/>
                    <w:left w:val="single" w:color="000000" w:sz="4" w:space="0"/>
                    <w:bottom w:val="nil"/>
                    <w:right w:val="single" w:color="000000" w:sz="4" w:space="0"/>
                  </w:tcBorders>
                  <w:shd w:val="clear" w:color="auto" w:fill="auto"/>
                  <w:vAlign w:val="center"/>
                </w:tcPr>
                <w:p w14:paraId="286B3B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79.2</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5FE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6~7</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93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955" w:type="dxa"/>
                  <w:vMerge w:val="restart"/>
                  <w:tcBorders>
                    <w:top w:val="nil"/>
                    <w:left w:val="single" w:color="000000" w:sz="4" w:space="0"/>
                    <w:bottom w:val="nil"/>
                    <w:right w:val="single" w:color="000000" w:sz="4" w:space="0"/>
                  </w:tcBorders>
                  <w:shd w:val="clear" w:color="auto" w:fill="auto"/>
                  <w:vAlign w:val="center"/>
                </w:tcPr>
                <w:p w14:paraId="02A94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沉淀池</w:t>
                  </w:r>
                </w:p>
              </w:tc>
              <w:tc>
                <w:tcPr>
                  <w:tcW w:w="748" w:type="dxa"/>
                  <w:vMerge w:val="restart"/>
                  <w:tcBorders>
                    <w:top w:val="nil"/>
                    <w:left w:val="single" w:color="000000" w:sz="4" w:space="0"/>
                    <w:bottom w:val="nil"/>
                    <w:right w:val="single" w:color="000000" w:sz="4" w:space="0"/>
                  </w:tcBorders>
                  <w:shd w:val="clear" w:color="auto" w:fill="auto"/>
                  <w:vAlign w:val="center"/>
                </w:tcPr>
                <w:p w14:paraId="59F235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中和、沉淀、脱色</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11A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81B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CF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6~9</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8B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3D426">
                  <w:pPr>
                    <w:jc w:val="center"/>
                    <w:rPr>
                      <w:rFonts w:hint="default" w:ascii="Times New Roman" w:hAnsi="Times New Roman" w:eastAsia="宋体" w:cs="Times New Roman"/>
                      <w:i w:val="0"/>
                      <w:iCs w:val="0"/>
                      <w:color w:val="000000"/>
                      <w:sz w:val="21"/>
                      <w:szCs w:val="21"/>
                      <w:u w:val="none"/>
                    </w:rPr>
                  </w:pPr>
                </w:p>
              </w:tc>
            </w:tr>
            <w:tr w14:paraId="08FAE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 w:hRule="atLeast"/>
                <w:jc w:val="center"/>
              </w:trPr>
              <w:tc>
                <w:tcPr>
                  <w:tcW w:w="748" w:type="dxa"/>
                  <w:vMerge w:val="continue"/>
                  <w:tcBorders>
                    <w:top w:val="single" w:color="000000" w:sz="4" w:space="0"/>
                    <w:left w:val="single" w:color="000000" w:sz="4" w:space="0"/>
                    <w:bottom w:val="nil"/>
                    <w:right w:val="single" w:color="000000" w:sz="4" w:space="0"/>
                  </w:tcBorders>
                  <w:shd w:val="clear" w:color="auto" w:fill="auto"/>
                  <w:vAlign w:val="center"/>
                </w:tcPr>
                <w:p w14:paraId="51CB883A">
                  <w:pPr>
                    <w:jc w:val="center"/>
                    <w:rPr>
                      <w:rFonts w:hint="eastAsia" w:ascii="宋体" w:hAnsi="宋体" w:eastAsia="宋体" w:cs="宋体"/>
                      <w:i w:val="0"/>
                      <w:iCs w:val="0"/>
                      <w:color w:val="000000"/>
                      <w:sz w:val="21"/>
                      <w:szCs w:val="21"/>
                      <w:u w:val="none"/>
                    </w:rPr>
                  </w:pPr>
                </w:p>
              </w:tc>
              <w:tc>
                <w:tcPr>
                  <w:tcW w:w="1799" w:type="dxa"/>
                  <w:vMerge w:val="continue"/>
                  <w:tcBorders>
                    <w:top w:val="single" w:color="000000" w:sz="4" w:space="0"/>
                    <w:left w:val="single" w:color="000000" w:sz="4" w:space="0"/>
                    <w:bottom w:val="nil"/>
                    <w:right w:val="single" w:color="000000" w:sz="4" w:space="0"/>
                  </w:tcBorders>
                  <w:shd w:val="clear" w:color="auto" w:fill="auto"/>
                  <w:vAlign w:val="center"/>
                </w:tcPr>
                <w:p w14:paraId="7BC9034D">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8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105" w:type="dxa"/>
                  <w:vMerge w:val="continue"/>
                  <w:tcBorders>
                    <w:top w:val="single" w:color="000000" w:sz="4" w:space="0"/>
                    <w:left w:val="single" w:color="000000" w:sz="4" w:space="0"/>
                    <w:bottom w:val="nil"/>
                    <w:right w:val="single" w:color="000000" w:sz="4" w:space="0"/>
                  </w:tcBorders>
                  <w:shd w:val="clear" w:color="auto" w:fill="auto"/>
                  <w:vAlign w:val="center"/>
                </w:tcPr>
                <w:p w14:paraId="702E468F">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FC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E6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0.005 </w:t>
                  </w:r>
                </w:p>
              </w:tc>
              <w:tc>
                <w:tcPr>
                  <w:tcW w:w="955" w:type="dxa"/>
                  <w:vMerge w:val="continue"/>
                  <w:tcBorders>
                    <w:top w:val="nil"/>
                    <w:left w:val="single" w:color="000000" w:sz="4" w:space="0"/>
                    <w:bottom w:val="nil"/>
                    <w:right w:val="single" w:color="000000" w:sz="4" w:space="0"/>
                  </w:tcBorders>
                  <w:shd w:val="clear" w:color="auto" w:fill="auto"/>
                  <w:vAlign w:val="center"/>
                </w:tcPr>
                <w:p w14:paraId="0252EDFD">
                  <w:pPr>
                    <w:jc w:val="center"/>
                    <w:rPr>
                      <w:rFonts w:hint="eastAsia" w:ascii="宋体" w:hAnsi="宋体" w:eastAsia="宋体" w:cs="宋体"/>
                      <w:i w:val="0"/>
                      <w:iCs w:val="0"/>
                      <w:color w:val="000000"/>
                      <w:sz w:val="21"/>
                      <w:szCs w:val="21"/>
                      <w:u w:val="none"/>
                    </w:rPr>
                  </w:pPr>
                </w:p>
              </w:tc>
              <w:tc>
                <w:tcPr>
                  <w:tcW w:w="748" w:type="dxa"/>
                  <w:vMerge w:val="continue"/>
                  <w:tcBorders>
                    <w:top w:val="nil"/>
                    <w:left w:val="single" w:color="000000" w:sz="4" w:space="0"/>
                    <w:bottom w:val="nil"/>
                    <w:right w:val="single" w:color="000000" w:sz="4" w:space="0"/>
                  </w:tcBorders>
                  <w:shd w:val="clear" w:color="auto" w:fill="auto"/>
                  <w:vAlign w:val="center"/>
                </w:tcPr>
                <w:p w14:paraId="6CC15315">
                  <w:pPr>
                    <w:jc w:val="center"/>
                    <w:rPr>
                      <w:rFonts w:hint="eastAsia" w:ascii="宋体" w:hAnsi="宋体" w:eastAsia="宋体" w:cs="宋体"/>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C10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77E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E5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6A9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0.001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76E58">
                  <w:pPr>
                    <w:jc w:val="center"/>
                    <w:rPr>
                      <w:rFonts w:hint="default" w:ascii="Times New Roman" w:hAnsi="Times New Roman" w:eastAsia="宋体" w:cs="Times New Roman"/>
                      <w:i w:val="0"/>
                      <w:iCs w:val="0"/>
                      <w:color w:val="000000"/>
                      <w:sz w:val="21"/>
                      <w:szCs w:val="21"/>
                      <w:u w:val="none"/>
                    </w:rPr>
                  </w:pPr>
                </w:p>
              </w:tc>
            </w:tr>
            <w:tr w14:paraId="1FC8D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continue"/>
                  <w:tcBorders>
                    <w:top w:val="single" w:color="000000" w:sz="4" w:space="0"/>
                    <w:left w:val="single" w:color="000000" w:sz="4" w:space="0"/>
                    <w:bottom w:val="nil"/>
                    <w:right w:val="single" w:color="000000" w:sz="4" w:space="0"/>
                  </w:tcBorders>
                  <w:shd w:val="clear" w:color="auto" w:fill="auto"/>
                  <w:vAlign w:val="center"/>
                </w:tcPr>
                <w:p w14:paraId="4CEC918B">
                  <w:pPr>
                    <w:jc w:val="center"/>
                    <w:rPr>
                      <w:rFonts w:hint="eastAsia" w:ascii="宋体" w:hAnsi="宋体" w:eastAsia="宋体" w:cs="宋体"/>
                      <w:i w:val="0"/>
                      <w:iCs w:val="0"/>
                      <w:color w:val="000000"/>
                      <w:sz w:val="21"/>
                      <w:szCs w:val="21"/>
                      <w:u w:val="none"/>
                    </w:rPr>
                  </w:pPr>
                </w:p>
              </w:tc>
              <w:tc>
                <w:tcPr>
                  <w:tcW w:w="1799" w:type="dxa"/>
                  <w:vMerge w:val="continue"/>
                  <w:tcBorders>
                    <w:top w:val="single" w:color="000000" w:sz="4" w:space="0"/>
                    <w:left w:val="single" w:color="000000" w:sz="4" w:space="0"/>
                    <w:bottom w:val="nil"/>
                    <w:right w:val="single" w:color="000000" w:sz="4" w:space="0"/>
                  </w:tcBorders>
                  <w:shd w:val="clear" w:color="auto" w:fill="auto"/>
                  <w:vAlign w:val="center"/>
                </w:tcPr>
                <w:p w14:paraId="3D4F1F82">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94D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105" w:type="dxa"/>
                  <w:vMerge w:val="continue"/>
                  <w:tcBorders>
                    <w:top w:val="single" w:color="000000" w:sz="4" w:space="0"/>
                    <w:left w:val="single" w:color="000000" w:sz="4" w:space="0"/>
                    <w:bottom w:val="nil"/>
                    <w:right w:val="single" w:color="000000" w:sz="4" w:space="0"/>
                  </w:tcBorders>
                  <w:shd w:val="clear" w:color="auto" w:fill="auto"/>
                  <w:vAlign w:val="center"/>
                </w:tcPr>
                <w:p w14:paraId="448C8FF9">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1A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C95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0.032 </w:t>
                  </w:r>
                </w:p>
              </w:tc>
              <w:tc>
                <w:tcPr>
                  <w:tcW w:w="955" w:type="dxa"/>
                  <w:vMerge w:val="continue"/>
                  <w:tcBorders>
                    <w:top w:val="nil"/>
                    <w:left w:val="single" w:color="000000" w:sz="4" w:space="0"/>
                    <w:bottom w:val="nil"/>
                    <w:right w:val="single" w:color="000000" w:sz="4" w:space="0"/>
                  </w:tcBorders>
                  <w:shd w:val="clear" w:color="auto" w:fill="auto"/>
                  <w:vAlign w:val="center"/>
                </w:tcPr>
                <w:p w14:paraId="1CD83072">
                  <w:pPr>
                    <w:jc w:val="center"/>
                    <w:rPr>
                      <w:rFonts w:hint="eastAsia" w:ascii="宋体" w:hAnsi="宋体" w:eastAsia="宋体" w:cs="宋体"/>
                      <w:i w:val="0"/>
                      <w:iCs w:val="0"/>
                      <w:color w:val="000000"/>
                      <w:sz w:val="21"/>
                      <w:szCs w:val="21"/>
                      <w:u w:val="none"/>
                    </w:rPr>
                  </w:pPr>
                </w:p>
              </w:tc>
              <w:tc>
                <w:tcPr>
                  <w:tcW w:w="748" w:type="dxa"/>
                  <w:vMerge w:val="continue"/>
                  <w:tcBorders>
                    <w:top w:val="nil"/>
                    <w:left w:val="single" w:color="000000" w:sz="4" w:space="0"/>
                    <w:bottom w:val="nil"/>
                    <w:right w:val="single" w:color="000000" w:sz="4" w:space="0"/>
                  </w:tcBorders>
                  <w:shd w:val="clear" w:color="auto" w:fill="auto"/>
                  <w:vAlign w:val="center"/>
                </w:tcPr>
                <w:p w14:paraId="7ABE1B8F">
                  <w:pPr>
                    <w:jc w:val="center"/>
                    <w:rPr>
                      <w:rFonts w:hint="eastAsia" w:ascii="宋体" w:hAnsi="宋体" w:eastAsia="宋体" w:cs="宋体"/>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B2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AE7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18A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684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0.006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386F7">
                  <w:pPr>
                    <w:jc w:val="center"/>
                    <w:rPr>
                      <w:rFonts w:hint="default" w:ascii="Times New Roman" w:hAnsi="Times New Roman" w:eastAsia="宋体" w:cs="Times New Roman"/>
                      <w:i w:val="0"/>
                      <w:iCs w:val="0"/>
                      <w:color w:val="000000"/>
                      <w:sz w:val="21"/>
                      <w:szCs w:val="21"/>
                      <w:u w:val="none"/>
                    </w:rPr>
                  </w:pPr>
                </w:p>
              </w:tc>
            </w:tr>
            <w:tr w14:paraId="75C97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jc w:val="center"/>
              </w:trPr>
              <w:tc>
                <w:tcPr>
                  <w:tcW w:w="748" w:type="dxa"/>
                  <w:vMerge w:val="continue"/>
                  <w:tcBorders>
                    <w:top w:val="single" w:color="000000" w:sz="4" w:space="0"/>
                    <w:left w:val="single" w:color="000000" w:sz="4" w:space="0"/>
                    <w:bottom w:val="nil"/>
                    <w:right w:val="single" w:color="000000" w:sz="4" w:space="0"/>
                  </w:tcBorders>
                  <w:shd w:val="clear" w:color="auto" w:fill="auto"/>
                  <w:vAlign w:val="center"/>
                </w:tcPr>
                <w:p w14:paraId="0F616753">
                  <w:pPr>
                    <w:jc w:val="center"/>
                    <w:rPr>
                      <w:rFonts w:hint="eastAsia" w:ascii="宋体" w:hAnsi="宋体" w:eastAsia="宋体" w:cs="宋体"/>
                      <w:i w:val="0"/>
                      <w:iCs w:val="0"/>
                      <w:color w:val="000000"/>
                      <w:sz w:val="21"/>
                      <w:szCs w:val="21"/>
                      <w:u w:val="none"/>
                    </w:rPr>
                  </w:pPr>
                </w:p>
              </w:tc>
              <w:tc>
                <w:tcPr>
                  <w:tcW w:w="1799" w:type="dxa"/>
                  <w:vMerge w:val="continue"/>
                  <w:tcBorders>
                    <w:top w:val="single" w:color="000000" w:sz="4" w:space="0"/>
                    <w:left w:val="single" w:color="000000" w:sz="4" w:space="0"/>
                    <w:bottom w:val="nil"/>
                    <w:right w:val="single" w:color="000000" w:sz="4" w:space="0"/>
                  </w:tcBorders>
                  <w:shd w:val="clear" w:color="auto" w:fill="auto"/>
                  <w:vAlign w:val="center"/>
                </w:tcPr>
                <w:p w14:paraId="24AF3AE2">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CE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色度</w:t>
                  </w:r>
                </w:p>
              </w:tc>
              <w:tc>
                <w:tcPr>
                  <w:tcW w:w="1105" w:type="dxa"/>
                  <w:vMerge w:val="continue"/>
                  <w:tcBorders>
                    <w:top w:val="single" w:color="000000" w:sz="4" w:space="0"/>
                    <w:left w:val="single" w:color="000000" w:sz="4" w:space="0"/>
                    <w:bottom w:val="nil"/>
                    <w:right w:val="single" w:color="000000" w:sz="4" w:space="0"/>
                  </w:tcBorders>
                  <w:shd w:val="clear" w:color="auto" w:fill="auto"/>
                  <w:vAlign w:val="center"/>
                </w:tcPr>
                <w:p w14:paraId="2AFCDA7E">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22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49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0.003 </w:t>
                  </w:r>
                </w:p>
              </w:tc>
              <w:tc>
                <w:tcPr>
                  <w:tcW w:w="955" w:type="dxa"/>
                  <w:vMerge w:val="continue"/>
                  <w:tcBorders>
                    <w:top w:val="nil"/>
                    <w:left w:val="single" w:color="000000" w:sz="4" w:space="0"/>
                    <w:bottom w:val="nil"/>
                    <w:right w:val="single" w:color="000000" w:sz="4" w:space="0"/>
                  </w:tcBorders>
                  <w:shd w:val="clear" w:color="auto" w:fill="auto"/>
                  <w:vAlign w:val="center"/>
                </w:tcPr>
                <w:p w14:paraId="29862B9A">
                  <w:pPr>
                    <w:jc w:val="center"/>
                    <w:rPr>
                      <w:rFonts w:hint="eastAsia" w:ascii="宋体" w:hAnsi="宋体" w:eastAsia="宋体" w:cs="宋体"/>
                      <w:i w:val="0"/>
                      <w:iCs w:val="0"/>
                      <w:color w:val="000000"/>
                      <w:sz w:val="21"/>
                      <w:szCs w:val="21"/>
                      <w:u w:val="none"/>
                    </w:rPr>
                  </w:pPr>
                </w:p>
              </w:tc>
              <w:tc>
                <w:tcPr>
                  <w:tcW w:w="748" w:type="dxa"/>
                  <w:vMerge w:val="continue"/>
                  <w:tcBorders>
                    <w:top w:val="nil"/>
                    <w:left w:val="single" w:color="000000" w:sz="4" w:space="0"/>
                    <w:bottom w:val="nil"/>
                    <w:right w:val="single" w:color="000000" w:sz="4" w:space="0"/>
                  </w:tcBorders>
                  <w:shd w:val="clear" w:color="auto" w:fill="auto"/>
                  <w:vAlign w:val="center"/>
                </w:tcPr>
                <w:p w14:paraId="7BDD64E1">
                  <w:pPr>
                    <w:jc w:val="center"/>
                    <w:rPr>
                      <w:rFonts w:hint="eastAsia" w:ascii="宋体" w:hAnsi="宋体" w:eastAsia="宋体" w:cs="宋体"/>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CB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2E3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色度</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3C8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35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0.001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BD3D7">
                  <w:pPr>
                    <w:jc w:val="center"/>
                    <w:rPr>
                      <w:rFonts w:hint="default" w:ascii="Times New Roman" w:hAnsi="Times New Roman" w:eastAsia="宋体" w:cs="Times New Roman"/>
                      <w:i w:val="0"/>
                      <w:iCs w:val="0"/>
                      <w:color w:val="000000"/>
                      <w:sz w:val="21"/>
                      <w:szCs w:val="21"/>
                      <w:u w:val="none"/>
                    </w:rPr>
                  </w:pPr>
                </w:p>
              </w:tc>
            </w:tr>
            <w:tr w14:paraId="66F44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continue"/>
                  <w:tcBorders>
                    <w:top w:val="single" w:color="000000" w:sz="4" w:space="0"/>
                    <w:left w:val="single" w:color="000000" w:sz="4" w:space="0"/>
                    <w:bottom w:val="nil"/>
                    <w:right w:val="single" w:color="000000" w:sz="4" w:space="0"/>
                  </w:tcBorders>
                  <w:shd w:val="clear" w:color="auto" w:fill="auto"/>
                  <w:vAlign w:val="center"/>
                </w:tcPr>
                <w:p w14:paraId="0500755F">
                  <w:pPr>
                    <w:jc w:val="center"/>
                    <w:rPr>
                      <w:rFonts w:hint="eastAsia" w:ascii="宋体" w:hAnsi="宋体" w:eastAsia="宋体" w:cs="宋体"/>
                      <w:i w:val="0"/>
                      <w:iCs w:val="0"/>
                      <w:color w:val="000000"/>
                      <w:sz w:val="21"/>
                      <w:szCs w:val="21"/>
                      <w:u w:val="none"/>
                    </w:rPr>
                  </w:pPr>
                </w:p>
              </w:tc>
              <w:tc>
                <w:tcPr>
                  <w:tcW w:w="1799" w:type="dxa"/>
                  <w:vMerge w:val="continue"/>
                  <w:tcBorders>
                    <w:top w:val="single" w:color="000000" w:sz="4" w:space="0"/>
                    <w:left w:val="single" w:color="000000" w:sz="4" w:space="0"/>
                    <w:bottom w:val="nil"/>
                    <w:right w:val="single" w:color="000000" w:sz="4" w:space="0"/>
                  </w:tcBorders>
                  <w:shd w:val="clear" w:color="auto" w:fill="auto"/>
                  <w:vAlign w:val="center"/>
                </w:tcPr>
                <w:p w14:paraId="14B20A39">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23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TOC</w:t>
                  </w:r>
                </w:p>
              </w:tc>
              <w:tc>
                <w:tcPr>
                  <w:tcW w:w="1105" w:type="dxa"/>
                  <w:vMerge w:val="continue"/>
                  <w:tcBorders>
                    <w:top w:val="single" w:color="000000" w:sz="4" w:space="0"/>
                    <w:left w:val="single" w:color="000000" w:sz="4" w:space="0"/>
                    <w:bottom w:val="nil"/>
                    <w:right w:val="single" w:color="000000" w:sz="4" w:space="0"/>
                  </w:tcBorders>
                  <w:shd w:val="clear" w:color="auto" w:fill="auto"/>
                  <w:vAlign w:val="center"/>
                </w:tcPr>
                <w:p w14:paraId="419A4883">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6A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68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0.002 </w:t>
                  </w:r>
                </w:p>
              </w:tc>
              <w:tc>
                <w:tcPr>
                  <w:tcW w:w="955" w:type="dxa"/>
                  <w:vMerge w:val="continue"/>
                  <w:tcBorders>
                    <w:top w:val="nil"/>
                    <w:left w:val="single" w:color="000000" w:sz="4" w:space="0"/>
                    <w:bottom w:val="nil"/>
                    <w:right w:val="single" w:color="000000" w:sz="4" w:space="0"/>
                  </w:tcBorders>
                  <w:shd w:val="clear" w:color="auto" w:fill="auto"/>
                  <w:vAlign w:val="center"/>
                </w:tcPr>
                <w:p w14:paraId="2D6E0E56">
                  <w:pPr>
                    <w:jc w:val="center"/>
                    <w:rPr>
                      <w:rFonts w:hint="eastAsia" w:ascii="宋体" w:hAnsi="宋体" w:eastAsia="宋体" w:cs="宋体"/>
                      <w:i w:val="0"/>
                      <w:iCs w:val="0"/>
                      <w:color w:val="000000"/>
                      <w:sz w:val="21"/>
                      <w:szCs w:val="21"/>
                      <w:u w:val="none"/>
                    </w:rPr>
                  </w:pPr>
                </w:p>
              </w:tc>
              <w:tc>
                <w:tcPr>
                  <w:tcW w:w="748" w:type="dxa"/>
                  <w:vMerge w:val="continue"/>
                  <w:tcBorders>
                    <w:top w:val="nil"/>
                    <w:left w:val="single" w:color="000000" w:sz="4" w:space="0"/>
                    <w:bottom w:val="nil"/>
                    <w:right w:val="single" w:color="000000" w:sz="4" w:space="0"/>
                  </w:tcBorders>
                  <w:shd w:val="clear" w:color="auto" w:fill="auto"/>
                  <w:vAlign w:val="center"/>
                </w:tcPr>
                <w:p w14:paraId="49D0D08D">
                  <w:pPr>
                    <w:jc w:val="center"/>
                    <w:rPr>
                      <w:rFonts w:hint="eastAsia" w:ascii="宋体" w:hAnsi="宋体" w:eastAsia="宋体" w:cs="宋体"/>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D0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27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TOC</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93A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27</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061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0.002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AECA3">
                  <w:pPr>
                    <w:jc w:val="center"/>
                    <w:rPr>
                      <w:rFonts w:hint="default" w:ascii="Times New Roman" w:hAnsi="Times New Roman" w:eastAsia="宋体" w:cs="Times New Roman"/>
                      <w:i w:val="0"/>
                      <w:iCs w:val="0"/>
                      <w:color w:val="000000"/>
                      <w:sz w:val="21"/>
                      <w:szCs w:val="21"/>
                      <w:u w:val="none"/>
                    </w:rPr>
                  </w:pPr>
                </w:p>
              </w:tc>
            </w:tr>
            <w:tr w14:paraId="1A833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restart"/>
                  <w:tcBorders>
                    <w:top w:val="single" w:color="000000" w:sz="4" w:space="0"/>
                    <w:left w:val="single" w:color="000000" w:sz="4" w:space="0"/>
                    <w:bottom w:val="nil"/>
                    <w:right w:val="single" w:color="000000" w:sz="4" w:space="0"/>
                  </w:tcBorders>
                  <w:shd w:val="clear" w:color="auto" w:fill="auto"/>
                  <w:vAlign w:val="center"/>
                </w:tcPr>
                <w:p w14:paraId="75AED1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地面冲洗</w:t>
                  </w:r>
                </w:p>
              </w:tc>
              <w:tc>
                <w:tcPr>
                  <w:tcW w:w="1799" w:type="dxa"/>
                  <w:vMerge w:val="restart"/>
                  <w:tcBorders>
                    <w:top w:val="single" w:color="000000" w:sz="4" w:space="0"/>
                    <w:left w:val="single" w:color="000000" w:sz="4" w:space="0"/>
                    <w:bottom w:val="nil"/>
                    <w:right w:val="single" w:color="000000" w:sz="4" w:space="0"/>
                  </w:tcBorders>
                  <w:shd w:val="clear" w:color="auto" w:fill="auto"/>
                  <w:vAlign w:val="center"/>
                </w:tcPr>
                <w:p w14:paraId="7C71B7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地面冲洗废水</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77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105" w:type="dxa"/>
                  <w:vMerge w:val="restart"/>
                  <w:tcBorders>
                    <w:top w:val="single" w:color="000000" w:sz="4" w:space="0"/>
                    <w:left w:val="single" w:color="000000" w:sz="4" w:space="0"/>
                    <w:bottom w:val="nil"/>
                    <w:right w:val="single" w:color="000000" w:sz="4" w:space="0"/>
                  </w:tcBorders>
                  <w:shd w:val="clear" w:color="auto" w:fill="auto"/>
                  <w:vAlign w:val="center"/>
                </w:tcPr>
                <w:p w14:paraId="61CD8F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72</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109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6~7</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2BB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955" w:type="dxa"/>
                  <w:vMerge w:val="continue"/>
                  <w:tcBorders>
                    <w:top w:val="nil"/>
                    <w:left w:val="single" w:color="000000" w:sz="4" w:space="0"/>
                    <w:bottom w:val="nil"/>
                    <w:right w:val="single" w:color="000000" w:sz="4" w:space="0"/>
                  </w:tcBorders>
                  <w:shd w:val="clear" w:color="auto" w:fill="auto"/>
                  <w:vAlign w:val="center"/>
                </w:tcPr>
                <w:p w14:paraId="1B80A333">
                  <w:pPr>
                    <w:jc w:val="center"/>
                    <w:rPr>
                      <w:rFonts w:hint="eastAsia" w:ascii="宋体" w:hAnsi="宋体" w:eastAsia="宋体" w:cs="宋体"/>
                      <w:i w:val="0"/>
                      <w:iCs w:val="0"/>
                      <w:color w:val="000000"/>
                      <w:sz w:val="21"/>
                      <w:szCs w:val="21"/>
                      <w:u w:val="none"/>
                    </w:rPr>
                  </w:pPr>
                </w:p>
              </w:tc>
              <w:tc>
                <w:tcPr>
                  <w:tcW w:w="748" w:type="dxa"/>
                  <w:vMerge w:val="continue"/>
                  <w:tcBorders>
                    <w:top w:val="nil"/>
                    <w:left w:val="single" w:color="000000" w:sz="4" w:space="0"/>
                    <w:bottom w:val="nil"/>
                    <w:right w:val="single" w:color="000000" w:sz="4" w:space="0"/>
                  </w:tcBorders>
                  <w:shd w:val="clear" w:color="auto" w:fill="auto"/>
                  <w:vAlign w:val="center"/>
                </w:tcPr>
                <w:p w14:paraId="4A14B4CF">
                  <w:pPr>
                    <w:jc w:val="center"/>
                    <w:rPr>
                      <w:rFonts w:hint="eastAsia" w:ascii="宋体" w:hAnsi="宋体" w:eastAsia="宋体" w:cs="宋体"/>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E4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DA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6B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6~9</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98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118F4">
                  <w:pPr>
                    <w:jc w:val="center"/>
                    <w:rPr>
                      <w:rFonts w:hint="default" w:ascii="Times New Roman" w:hAnsi="Times New Roman" w:eastAsia="宋体" w:cs="Times New Roman"/>
                      <w:i w:val="0"/>
                      <w:iCs w:val="0"/>
                      <w:color w:val="000000"/>
                      <w:sz w:val="21"/>
                      <w:szCs w:val="21"/>
                      <w:u w:val="none"/>
                    </w:rPr>
                  </w:pPr>
                </w:p>
              </w:tc>
            </w:tr>
            <w:tr w14:paraId="331AE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continue"/>
                  <w:tcBorders>
                    <w:top w:val="single" w:color="000000" w:sz="4" w:space="0"/>
                    <w:left w:val="single" w:color="000000" w:sz="4" w:space="0"/>
                    <w:bottom w:val="nil"/>
                    <w:right w:val="single" w:color="000000" w:sz="4" w:space="0"/>
                  </w:tcBorders>
                  <w:shd w:val="clear" w:color="auto" w:fill="auto"/>
                  <w:vAlign w:val="center"/>
                </w:tcPr>
                <w:p w14:paraId="01FEDDEB">
                  <w:pPr>
                    <w:jc w:val="center"/>
                    <w:rPr>
                      <w:rFonts w:hint="eastAsia" w:ascii="宋体" w:hAnsi="宋体" w:eastAsia="宋体" w:cs="宋体"/>
                      <w:i w:val="0"/>
                      <w:iCs w:val="0"/>
                      <w:color w:val="000000"/>
                      <w:sz w:val="21"/>
                      <w:szCs w:val="21"/>
                      <w:u w:val="none"/>
                    </w:rPr>
                  </w:pPr>
                </w:p>
              </w:tc>
              <w:tc>
                <w:tcPr>
                  <w:tcW w:w="1799" w:type="dxa"/>
                  <w:vMerge w:val="continue"/>
                  <w:tcBorders>
                    <w:top w:val="single" w:color="000000" w:sz="4" w:space="0"/>
                    <w:left w:val="single" w:color="000000" w:sz="4" w:space="0"/>
                    <w:bottom w:val="nil"/>
                    <w:right w:val="single" w:color="000000" w:sz="4" w:space="0"/>
                  </w:tcBorders>
                  <w:shd w:val="clear" w:color="auto" w:fill="auto"/>
                  <w:vAlign w:val="center"/>
                </w:tcPr>
                <w:p w14:paraId="42D13561">
                  <w:pPr>
                    <w:jc w:val="center"/>
                    <w:rPr>
                      <w:rFonts w:hint="eastAsia" w:ascii="宋体" w:hAnsi="宋体" w:eastAsia="宋体" w:cs="宋体"/>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851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105" w:type="dxa"/>
                  <w:vMerge w:val="continue"/>
                  <w:tcBorders>
                    <w:top w:val="single" w:color="000000" w:sz="4" w:space="0"/>
                    <w:left w:val="single" w:color="000000" w:sz="4" w:space="0"/>
                    <w:bottom w:val="nil"/>
                    <w:right w:val="single" w:color="000000" w:sz="4" w:space="0"/>
                  </w:tcBorders>
                  <w:shd w:val="clear" w:color="auto" w:fill="auto"/>
                  <w:vAlign w:val="center"/>
                </w:tcPr>
                <w:p w14:paraId="159F0E69">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12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C55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0.043 </w:t>
                  </w:r>
                </w:p>
              </w:tc>
              <w:tc>
                <w:tcPr>
                  <w:tcW w:w="955" w:type="dxa"/>
                  <w:vMerge w:val="continue"/>
                  <w:tcBorders>
                    <w:top w:val="nil"/>
                    <w:left w:val="single" w:color="000000" w:sz="4" w:space="0"/>
                    <w:bottom w:val="nil"/>
                    <w:right w:val="single" w:color="000000" w:sz="4" w:space="0"/>
                  </w:tcBorders>
                  <w:shd w:val="clear" w:color="auto" w:fill="auto"/>
                  <w:vAlign w:val="center"/>
                </w:tcPr>
                <w:p w14:paraId="14B2DCB7">
                  <w:pPr>
                    <w:jc w:val="center"/>
                    <w:rPr>
                      <w:rFonts w:hint="eastAsia" w:ascii="宋体" w:hAnsi="宋体" w:eastAsia="宋体" w:cs="宋体"/>
                      <w:i w:val="0"/>
                      <w:iCs w:val="0"/>
                      <w:color w:val="000000"/>
                      <w:sz w:val="21"/>
                      <w:szCs w:val="21"/>
                      <w:u w:val="none"/>
                    </w:rPr>
                  </w:pPr>
                </w:p>
              </w:tc>
              <w:tc>
                <w:tcPr>
                  <w:tcW w:w="748" w:type="dxa"/>
                  <w:vMerge w:val="continue"/>
                  <w:tcBorders>
                    <w:top w:val="nil"/>
                    <w:left w:val="single" w:color="000000" w:sz="4" w:space="0"/>
                    <w:bottom w:val="nil"/>
                    <w:right w:val="single" w:color="000000" w:sz="4" w:space="0"/>
                  </w:tcBorders>
                  <w:shd w:val="clear" w:color="auto" w:fill="auto"/>
                  <w:vAlign w:val="center"/>
                </w:tcPr>
                <w:p w14:paraId="72EF20A0">
                  <w:pPr>
                    <w:jc w:val="center"/>
                    <w:rPr>
                      <w:rFonts w:hint="eastAsia" w:ascii="宋体" w:hAnsi="宋体" w:eastAsia="宋体" w:cs="宋体"/>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11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AE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02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120</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C0E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0.009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AFBFE">
                  <w:pPr>
                    <w:jc w:val="center"/>
                    <w:rPr>
                      <w:rFonts w:hint="default" w:ascii="Times New Roman" w:hAnsi="Times New Roman" w:eastAsia="宋体" w:cs="Times New Roman"/>
                      <w:i w:val="0"/>
                      <w:iCs w:val="0"/>
                      <w:color w:val="000000"/>
                      <w:sz w:val="21"/>
                      <w:szCs w:val="21"/>
                      <w:u w:val="none"/>
                    </w:rPr>
                  </w:pPr>
                </w:p>
              </w:tc>
            </w:tr>
            <w:tr w14:paraId="2A461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jc w:val="center"/>
              </w:trPr>
              <w:tc>
                <w:tcPr>
                  <w:tcW w:w="748" w:type="dxa"/>
                  <w:vMerge w:val="continue"/>
                  <w:tcBorders>
                    <w:top w:val="single" w:color="000000" w:sz="4" w:space="0"/>
                    <w:left w:val="single" w:color="000000" w:sz="4" w:space="0"/>
                    <w:bottom w:val="nil"/>
                    <w:right w:val="single" w:color="000000" w:sz="4" w:space="0"/>
                  </w:tcBorders>
                  <w:shd w:val="clear" w:color="auto" w:fill="auto"/>
                  <w:vAlign w:val="center"/>
                </w:tcPr>
                <w:p w14:paraId="44CDCA89">
                  <w:pPr>
                    <w:jc w:val="center"/>
                    <w:rPr>
                      <w:rFonts w:hint="eastAsia" w:ascii="宋体" w:hAnsi="宋体" w:eastAsia="宋体" w:cs="宋体"/>
                      <w:i w:val="0"/>
                      <w:iCs w:val="0"/>
                      <w:color w:val="000000"/>
                      <w:sz w:val="21"/>
                      <w:szCs w:val="21"/>
                      <w:u w:val="none"/>
                    </w:rPr>
                  </w:pPr>
                </w:p>
              </w:tc>
              <w:tc>
                <w:tcPr>
                  <w:tcW w:w="1799" w:type="dxa"/>
                  <w:vMerge w:val="continue"/>
                  <w:tcBorders>
                    <w:top w:val="single" w:color="000000" w:sz="4" w:space="0"/>
                    <w:left w:val="single" w:color="000000" w:sz="4" w:space="0"/>
                    <w:bottom w:val="nil"/>
                    <w:right w:val="single" w:color="000000" w:sz="4" w:space="0"/>
                  </w:tcBorders>
                  <w:shd w:val="clear" w:color="auto" w:fill="auto"/>
                  <w:vAlign w:val="center"/>
                </w:tcPr>
                <w:p w14:paraId="3A747FF7">
                  <w:pPr>
                    <w:jc w:val="center"/>
                    <w:rPr>
                      <w:rFonts w:hint="eastAsia" w:ascii="宋体" w:hAnsi="宋体" w:eastAsia="宋体" w:cs="宋体"/>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D7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色度</w:t>
                  </w:r>
                </w:p>
              </w:tc>
              <w:tc>
                <w:tcPr>
                  <w:tcW w:w="1105" w:type="dxa"/>
                  <w:vMerge w:val="continue"/>
                  <w:tcBorders>
                    <w:top w:val="single" w:color="000000" w:sz="4" w:space="0"/>
                    <w:left w:val="single" w:color="000000" w:sz="4" w:space="0"/>
                    <w:bottom w:val="nil"/>
                    <w:right w:val="single" w:color="000000" w:sz="4" w:space="0"/>
                  </w:tcBorders>
                  <w:shd w:val="clear" w:color="auto" w:fill="auto"/>
                  <w:vAlign w:val="center"/>
                </w:tcPr>
                <w:p w14:paraId="42FE5296">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0D3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E56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0.006 </w:t>
                  </w:r>
                </w:p>
              </w:tc>
              <w:tc>
                <w:tcPr>
                  <w:tcW w:w="955" w:type="dxa"/>
                  <w:vMerge w:val="continue"/>
                  <w:tcBorders>
                    <w:top w:val="nil"/>
                    <w:left w:val="single" w:color="000000" w:sz="4" w:space="0"/>
                    <w:bottom w:val="nil"/>
                    <w:right w:val="single" w:color="000000" w:sz="4" w:space="0"/>
                  </w:tcBorders>
                  <w:shd w:val="clear" w:color="auto" w:fill="auto"/>
                  <w:vAlign w:val="center"/>
                </w:tcPr>
                <w:p w14:paraId="14AB10C2">
                  <w:pPr>
                    <w:jc w:val="center"/>
                    <w:rPr>
                      <w:rFonts w:hint="eastAsia" w:ascii="宋体" w:hAnsi="宋体" w:eastAsia="宋体" w:cs="宋体"/>
                      <w:i w:val="0"/>
                      <w:iCs w:val="0"/>
                      <w:color w:val="000000"/>
                      <w:sz w:val="21"/>
                      <w:szCs w:val="21"/>
                      <w:u w:val="none"/>
                    </w:rPr>
                  </w:pPr>
                </w:p>
              </w:tc>
              <w:tc>
                <w:tcPr>
                  <w:tcW w:w="748" w:type="dxa"/>
                  <w:vMerge w:val="continue"/>
                  <w:tcBorders>
                    <w:top w:val="nil"/>
                    <w:left w:val="single" w:color="000000" w:sz="4" w:space="0"/>
                    <w:bottom w:val="nil"/>
                    <w:right w:val="single" w:color="000000" w:sz="4" w:space="0"/>
                  </w:tcBorders>
                  <w:shd w:val="clear" w:color="auto" w:fill="auto"/>
                  <w:vAlign w:val="center"/>
                </w:tcPr>
                <w:p w14:paraId="64BF35BE">
                  <w:pPr>
                    <w:jc w:val="center"/>
                    <w:rPr>
                      <w:rFonts w:hint="eastAsia" w:ascii="宋体" w:hAnsi="宋体" w:eastAsia="宋体" w:cs="宋体"/>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9CF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06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色度</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B0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32</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06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0.002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6E1E3">
                  <w:pPr>
                    <w:jc w:val="center"/>
                    <w:rPr>
                      <w:rFonts w:hint="default" w:ascii="Times New Roman" w:hAnsi="Times New Roman" w:eastAsia="宋体" w:cs="Times New Roman"/>
                      <w:i w:val="0"/>
                      <w:iCs w:val="0"/>
                      <w:color w:val="000000"/>
                      <w:sz w:val="21"/>
                      <w:szCs w:val="21"/>
                      <w:u w:val="none"/>
                    </w:rPr>
                  </w:pPr>
                </w:p>
              </w:tc>
            </w:tr>
            <w:tr w14:paraId="14A34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48" w:type="dxa"/>
                  <w:vMerge w:val="continue"/>
                  <w:tcBorders>
                    <w:top w:val="single" w:color="000000" w:sz="4" w:space="0"/>
                    <w:left w:val="single" w:color="000000" w:sz="4" w:space="0"/>
                    <w:bottom w:val="nil"/>
                    <w:right w:val="single" w:color="000000" w:sz="4" w:space="0"/>
                  </w:tcBorders>
                  <w:shd w:val="clear" w:color="auto" w:fill="auto"/>
                  <w:vAlign w:val="center"/>
                </w:tcPr>
                <w:p w14:paraId="03ABBA0B">
                  <w:pPr>
                    <w:jc w:val="center"/>
                    <w:rPr>
                      <w:rFonts w:hint="eastAsia" w:ascii="宋体" w:hAnsi="宋体" w:eastAsia="宋体" w:cs="宋体"/>
                      <w:i w:val="0"/>
                      <w:iCs w:val="0"/>
                      <w:color w:val="000000"/>
                      <w:sz w:val="21"/>
                      <w:szCs w:val="21"/>
                      <w:u w:val="none"/>
                    </w:rPr>
                  </w:pPr>
                </w:p>
              </w:tc>
              <w:tc>
                <w:tcPr>
                  <w:tcW w:w="1799" w:type="dxa"/>
                  <w:vMerge w:val="continue"/>
                  <w:tcBorders>
                    <w:top w:val="single" w:color="000000" w:sz="4" w:space="0"/>
                    <w:left w:val="single" w:color="000000" w:sz="4" w:space="0"/>
                    <w:bottom w:val="nil"/>
                    <w:right w:val="single" w:color="000000" w:sz="4" w:space="0"/>
                  </w:tcBorders>
                  <w:shd w:val="clear" w:color="auto" w:fill="auto"/>
                  <w:vAlign w:val="center"/>
                </w:tcPr>
                <w:p w14:paraId="7AF78B16">
                  <w:pPr>
                    <w:jc w:val="center"/>
                    <w:rPr>
                      <w:rFonts w:hint="eastAsia" w:ascii="宋体" w:hAnsi="宋体" w:eastAsia="宋体" w:cs="宋体"/>
                      <w:i w:val="0"/>
                      <w:iCs w:val="0"/>
                      <w:color w:val="000000"/>
                      <w:sz w:val="21"/>
                      <w:szCs w:val="21"/>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70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TOC</w:t>
                  </w:r>
                </w:p>
              </w:tc>
              <w:tc>
                <w:tcPr>
                  <w:tcW w:w="1105" w:type="dxa"/>
                  <w:vMerge w:val="continue"/>
                  <w:tcBorders>
                    <w:top w:val="single" w:color="000000" w:sz="4" w:space="0"/>
                    <w:left w:val="single" w:color="000000" w:sz="4" w:space="0"/>
                    <w:bottom w:val="nil"/>
                    <w:right w:val="single" w:color="000000" w:sz="4" w:space="0"/>
                  </w:tcBorders>
                  <w:shd w:val="clear" w:color="auto" w:fill="auto"/>
                  <w:vAlign w:val="center"/>
                </w:tcPr>
                <w:p w14:paraId="078910EC">
                  <w:pPr>
                    <w:jc w:val="center"/>
                    <w:rPr>
                      <w:rFonts w:hint="default" w:ascii="Times New Roman" w:hAnsi="Times New Roman" w:eastAsia="宋体" w:cs="Times New Roman"/>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84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3FB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0.003 </w:t>
                  </w:r>
                </w:p>
              </w:tc>
              <w:tc>
                <w:tcPr>
                  <w:tcW w:w="955" w:type="dxa"/>
                  <w:vMerge w:val="continue"/>
                  <w:tcBorders>
                    <w:top w:val="nil"/>
                    <w:left w:val="single" w:color="000000" w:sz="4" w:space="0"/>
                    <w:bottom w:val="nil"/>
                    <w:right w:val="single" w:color="000000" w:sz="4" w:space="0"/>
                  </w:tcBorders>
                  <w:shd w:val="clear" w:color="auto" w:fill="auto"/>
                  <w:vAlign w:val="center"/>
                </w:tcPr>
                <w:p w14:paraId="01DE6660">
                  <w:pPr>
                    <w:jc w:val="center"/>
                    <w:rPr>
                      <w:rFonts w:hint="eastAsia" w:ascii="宋体" w:hAnsi="宋体" w:eastAsia="宋体" w:cs="宋体"/>
                      <w:i w:val="0"/>
                      <w:iCs w:val="0"/>
                      <w:color w:val="000000"/>
                      <w:sz w:val="21"/>
                      <w:szCs w:val="21"/>
                      <w:u w:val="none"/>
                    </w:rPr>
                  </w:pPr>
                </w:p>
              </w:tc>
              <w:tc>
                <w:tcPr>
                  <w:tcW w:w="748" w:type="dxa"/>
                  <w:vMerge w:val="continue"/>
                  <w:tcBorders>
                    <w:top w:val="nil"/>
                    <w:left w:val="single" w:color="000000" w:sz="4" w:space="0"/>
                    <w:bottom w:val="nil"/>
                    <w:right w:val="single" w:color="000000" w:sz="4" w:space="0"/>
                  </w:tcBorders>
                  <w:shd w:val="clear" w:color="auto" w:fill="auto"/>
                  <w:vAlign w:val="center"/>
                </w:tcPr>
                <w:p w14:paraId="79495D5D">
                  <w:pPr>
                    <w:jc w:val="center"/>
                    <w:rPr>
                      <w:rFonts w:hint="eastAsia" w:ascii="宋体" w:hAnsi="宋体" w:eastAsia="宋体" w:cs="宋体"/>
                      <w:i w:val="0"/>
                      <w:iCs w:val="0"/>
                      <w:color w:val="000000"/>
                      <w:sz w:val="21"/>
                      <w:szCs w:val="21"/>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5D8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4B4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TOC</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A7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52C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0.003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AADFA">
                  <w:pPr>
                    <w:jc w:val="center"/>
                    <w:rPr>
                      <w:rFonts w:hint="default" w:ascii="Times New Roman" w:hAnsi="Times New Roman" w:eastAsia="宋体" w:cs="Times New Roman"/>
                      <w:i w:val="0"/>
                      <w:iCs w:val="0"/>
                      <w:color w:val="000000"/>
                      <w:sz w:val="21"/>
                      <w:szCs w:val="21"/>
                      <w:u w:val="none"/>
                    </w:rPr>
                  </w:pPr>
                </w:p>
              </w:tc>
            </w:tr>
            <w:tr w14:paraId="48C8A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4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B0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综合废水</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DF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1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BEB8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1591.2</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C5FE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4~5</w:t>
                  </w: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4F2A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97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A2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CFA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C4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05C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6~9</w:t>
                  </w:r>
                </w:p>
              </w:tc>
              <w:tc>
                <w:tcPr>
                  <w:tcW w:w="10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4BB3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9A712">
                  <w:pPr>
                    <w:jc w:val="center"/>
                    <w:rPr>
                      <w:rFonts w:hint="default" w:ascii="Times New Roman" w:hAnsi="Times New Roman" w:eastAsia="宋体" w:cs="Times New Roman"/>
                      <w:i w:val="0"/>
                      <w:iCs w:val="0"/>
                      <w:color w:val="000000"/>
                      <w:sz w:val="21"/>
                      <w:szCs w:val="21"/>
                      <w:u w:val="none"/>
                    </w:rPr>
                  </w:pPr>
                </w:p>
              </w:tc>
            </w:tr>
            <w:tr w14:paraId="51B8F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jc w:val="center"/>
              </w:trPr>
              <w:tc>
                <w:tcPr>
                  <w:tcW w:w="25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56B59">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18F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色度</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DED0E">
                  <w:pPr>
                    <w:jc w:val="center"/>
                    <w:rPr>
                      <w:rFonts w:hint="default" w:ascii="Times New Roman" w:hAnsi="Times New Roman" w:eastAsia="宋体" w:cs="Times New Roman"/>
                      <w:i w:val="0"/>
                      <w:iCs w:val="0"/>
                      <w:color w:val="000000"/>
                      <w:sz w:val="22"/>
                      <w:szCs w:val="22"/>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26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C2C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3E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EC1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21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041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色度</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660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4D8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348F7">
                  <w:pPr>
                    <w:jc w:val="center"/>
                    <w:rPr>
                      <w:rFonts w:hint="default" w:ascii="Times New Roman" w:hAnsi="Times New Roman" w:eastAsia="宋体" w:cs="Times New Roman"/>
                      <w:i w:val="0"/>
                      <w:iCs w:val="0"/>
                      <w:color w:val="000000"/>
                      <w:sz w:val="21"/>
                      <w:szCs w:val="21"/>
                      <w:u w:val="none"/>
                    </w:rPr>
                  </w:pPr>
                </w:p>
              </w:tc>
            </w:tr>
            <w:tr w14:paraId="31185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 w:hRule="atLeast"/>
                <w:jc w:val="center"/>
              </w:trPr>
              <w:tc>
                <w:tcPr>
                  <w:tcW w:w="25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BF369">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FEB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750E5">
                  <w:pPr>
                    <w:jc w:val="center"/>
                    <w:rPr>
                      <w:rFonts w:hint="default" w:ascii="Times New Roman" w:hAnsi="Times New Roman" w:eastAsia="宋体" w:cs="Times New Roman"/>
                      <w:i w:val="0"/>
                      <w:iCs w:val="0"/>
                      <w:color w:val="000000"/>
                      <w:sz w:val="22"/>
                      <w:szCs w:val="22"/>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64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2.986 </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539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0.005 </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0F6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FD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C39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D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F69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0.597 </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803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0.001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436B6">
                  <w:pPr>
                    <w:jc w:val="center"/>
                    <w:rPr>
                      <w:rFonts w:hint="default" w:ascii="Times New Roman" w:hAnsi="Times New Roman" w:eastAsia="宋体" w:cs="Times New Roman"/>
                      <w:i w:val="0"/>
                      <w:iCs w:val="0"/>
                      <w:color w:val="000000"/>
                      <w:sz w:val="21"/>
                      <w:szCs w:val="21"/>
                      <w:u w:val="none"/>
                    </w:rPr>
                  </w:pPr>
                </w:p>
              </w:tc>
            </w:tr>
            <w:tr w14:paraId="635CE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CBB0E">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5C4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COD</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184FE">
                  <w:pPr>
                    <w:jc w:val="center"/>
                    <w:rPr>
                      <w:rFonts w:hint="default" w:ascii="Times New Roman" w:hAnsi="Times New Roman" w:eastAsia="宋体" w:cs="Times New Roman"/>
                      <w:i w:val="0"/>
                      <w:iCs w:val="0"/>
                      <w:color w:val="000000"/>
                      <w:sz w:val="22"/>
                      <w:szCs w:val="22"/>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A31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307.692 </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A3B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0.490 </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F06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DB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4F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F38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COD</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59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307.692 </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39B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0.490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09D15">
                  <w:pPr>
                    <w:jc w:val="center"/>
                    <w:rPr>
                      <w:rFonts w:hint="default" w:ascii="Times New Roman" w:hAnsi="Times New Roman" w:eastAsia="宋体" w:cs="Times New Roman"/>
                      <w:i w:val="0"/>
                      <w:iCs w:val="0"/>
                      <w:color w:val="000000"/>
                      <w:sz w:val="21"/>
                      <w:szCs w:val="21"/>
                      <w:u w:val="none"/>
                    </w:rPr>
                  </w:pPr>
                </w:p>
              </w:tc>
            </w:tr>
            <w:tr w14:paraId="414F4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 w:hRule="atLeast"/>
                <w:jc w:val="center"/>
              </w:trPr>
              <w:tc>
                <w:tcPr>
                  <w:tcW w:w="25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8756B">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9C3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BOD</w:t>
                  </w:r>
                  <w:r>
                    <w:rPr>
                      <w:rFonts w:hint="default" w:ascii="Times New Roman" w:hAnsi="Times New Roman" w:eastAsia="宋体" w:cs="Times New Roman"/>
                      <w:i w:val="0"/>
                      <w:iCs w:val="0"/>
                      <w:color w:val="000000"/>
                      <w:kern w:val="0"/>
                      <w:sz w:val="21"/>
                      <w:szCs w:val="21"/>
                      <w:u w:val="none"/>
                      <w:vertAlign w:val="subscript"/>
                      <w:lang w:val="en-US" w:eastAsia="zh-CN" w:bidi="ar"/>
                    </w:rPr>
                    <w:t>5</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C9E94">
                  <w:pPr>
                    <w:jc w:val="center"/>
                    <w:rPr>
                      <w:rFonts w:hint="default" w:ascii="Times New Roman" w:hAnsi="Times New Roman" w:eastAsia="宋体" w:cs="Times New Roman"/>
                      <w:i w:val="0"/>
                      <w:iCs w:val="0"/>
                      <w:color w:val="000000"/>
                      <w:sz w:val="22"/>
                      <w:szCs w:val="22"/>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96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135.747 </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65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0.216 </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164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A4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A2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342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BOD</w:t>
                  </w:r>
                  <w:r>
                    <w:rPr>
                      <w:rFonts w:hint="default" w:ascii="Times New Roman" w:hAnsi="Times New Roman" w:eastAsia="宋体" w:cs="Times New Roman"/>
                      <w:i w:val="0"/>
                      <w:iCs w:val="0"/>
                      <w:color w:val="000000"/>
                      <w:kern w:val="0"/>
                      <w:sz w:val="21"/>
                      <w:szCs w:val="21"/>
                      <w:u w:val="none"/>
                      <w:vertAlign w:val="subscript"/>
                      <w:lang w:val="en-US" w:eastAsia="zh-CN" w:bidi="ar"/>
                    </w:rPr>
                    <w:t>5</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466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135.747 </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61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0.216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941A4">
                  <w:pPr>
                    <w:jc w:val="center"/>
                    <w:rPr>
                      <w:rFonts w:hint="default" w:ascii="Times New Roman" w:hAnsi="Times New Roman" w:eastAsia="宋体" w:cs="Times New Roman"/>
                      <w:i w:val="0"/>
                      <w:iCs w:val="0"/>
                      <w:color w:val="000000"/>
                      <w:sz w:val="21"/>
                      <w:szCs w:val="21"/>
                      <w:u w:val="none"/>
                    </w:rPr>
                  </w:pPr>
                </w:p>
              </w:tc>
            </w:tr>
            <w:tr w14:paraId="30FF0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93BED">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A0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95DC9">
                  <w:pPr>
                    <w:jc w:val="center"/>
                    <w:rPr>
                      <w:rFonts w:hint="default" w:ascii="Times New Roman" w:hAnsi="Times New Roman" w:eastAsia="宋体" w:cs="Times New Roman"/>
                      <w:i w:val="0"/>
                      <w:iCs w:val="0"/>
                      <w:color w:val="000000"/>
                      <w:sz w:val="22"/>
                      <w:szCs w:val="22"/>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4DE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94.268 </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47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0.150 </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67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A1A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F36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A3C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774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56.546 </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CB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0.090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CF73C">
                  <w:pPr>
                    <w:jc w:val="center"/>
                    <w:rPr>
                      <w:rFonts w:hint="default" w:ascii="Times New Roman" w:hAnsi="Times New Roman" w:eastAsia="宋体" w:cs="Times New Roman"/>
                      <w:i w:val="0"/>
                      <w:iCs w:val="0"/>
                      <w:color w:val="000000"/>
                      <w:sz w:val="21"/>
                      <w:szCs w:val="21"/>
                      <w:u w:val="none"/>
                    </w:rPr>
                  </w:pPr>
                </w:p>
              </w:tc>
            </w:tr>
            <w:tr w14:paraId="2C09B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7CA1F">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B8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TOC</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857FD">
                  <w:pPr>
                    <w:jc w:val="center"/>
                    <w:rPr>
                      <w:rFonts w:hint="default" w:ascii="Times New Roman" w:hAnsi="Times New Roman" w:eastAsia="宋体" w:cs="Times New Roman"/>
                      <w:i w:val="0"/>
                      <w:iCs w:val="0"/>
                      <w:color w:val="000000"/>
                      <w:sz w:val="22"/>
                      <w:szCs w:val="22"/>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73E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3.309 </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414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0.005 </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32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2B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5C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D2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TOC</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750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2.973 </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78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0.005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2F8CA">
                  <w:pPr>
                    <w:jc w:val="center"/>
                    <w:rPr>
                      <w:rFonts w:hint="default" w:ascii="Times New Roman" w:hAnsi="Times New Roman" w:eastAsia="宋体" w:cs="Times New Roman"/>
                      <w:i w:val="0"/>
                      <w:iCs w:val="0"/>
                      <w:color w:val="000000"/>
                      <w:sz w:val="21"/>
                      <w:szCs w:val="21"/>
                      <w:u w:val="none"/>
                    </w:rPr>
                  </w:pPr>
                </w:p>
              </w:tc>
            </w:tr>
            <w:tr w14:paraId="04ACD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 w:hRule="atLeast"/>
                <w:jc w:val="center"/>
              </w:trPr>
              <w:tc>
                <w:tcPr>
                  <w:tcW w:w="25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2858A">
                  <w:pPr>
                    <w:jc w:val="center"/>
                    <w:rPr>
                      <w:rFonts w:hint="eastAsia" w:ascii="宋体" w:hAnsi="宋体" w:eastAsia="宋体" w:cs="宋体"/>
                      <w:i w:val="0"/>
                      <w:iCs w:val="0"/>
                      <w:color w:val="000000"/>
                      <w:sz w:val="22"/>
                      <w:szCs w:val="22"/>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8E9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NH</w:t>
                  </w:r>
                  <w:r>
                    <w:rPr>
                      <w:rFonts w:hint="default" w:ascii="Times New Roman" w:hAnsi="Times New Roman" w:eastAsia="宋体" w:cs="Times New Roman"/>
                      <w:i w:val="0"/>
                      <w:iCs w:val="0"/>
                      <w:color w:val="000000"/>
                      <w:kern w:val="0"/>
                      <w:sz w:val="21"/>
                      <w:szCs w:val="21"/>
                      <w:u w:val="none"/>
                      <w:vertAlign w:val="subscript"/>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-N</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F6385">
                  <w:pPr>
                    <w:jc w:val="center"/>
                    <w:rPr>
                      <w:rFonts w:hint="default" w:ascii="Times New Roman" w:hAnsi="Times New Roman" w:eastAsia="宋体" w:cs="Times New Roman"/>
                      <w:i w:val="0"/>
                      <w:iCs w:val="0"/>
                      <w:color w:val="000000"/>
                      <w:sz w:val="22"/>
                      <w:szCs w:val="22"/>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D6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31.674 </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07A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0.050 </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28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36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CD7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AE8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NH</w:t>
                  </w:r>
                  <w:r>
                    <w:rPr>
                      <w:rFonts w:hint="default" w:ascii="Times New Roman" w:hAnsi="Times New Roman" w:eastAsia="宋体" w:cs="Times New Roman"/>
                      <w:i w:val="0"/>
                      <w:iCs w:val="0"/>
                      <w:color w:val="000000"/>
                      <w:kern w:val="0"/>
                      <w:sz w:val="21"/>
                      <w:szCs w:val="21"/>
                      <w:u w:val="none"/>
                      <w:vertAlign w:val="subscript"/>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-N</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0E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31.674 </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333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0.050 </w:t>
                  </w:r>
                </w:p>
              </w:tc>
              <w:tc>
                <w:tcPr>
                  <w:tcW w:w="7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EB62B">
                  <w:pPr>
                    <w:jc w:val="center"/>
                    <w:rPr>
                      <w:rFonts w:hint="default" w:ascii="Times New Roman" w:hAnsi="Times New Roman" w:eastAsia="宋体" w:cs="Times New Roman"/>
                      <w:i w:val="0"/>
                      <w:iCs w:val="0"/>
                      <w:color w:val="000000"/>
                      <w:sz w:val="21"/>
                      <w:szCs w:val="21"/>
                      <w:u w:val="none"/>
                    </w:rPr>
                  </w:pPr>
                </w:p>
              </w:tc>
            </w:tr>
          </w:tbl>
          <w:p w14:paraId="428B52D0">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eastAsia" w:ascii="Times New Roman" w:hAnsi="Times New Roman" w:eastAsia="宋体" w:cs="Times New Roman"/>
                <w:color w:val="auto"/>
                <w:spacing w:val="0"/>
                <w:sz w:val="24"/>
              </w:rPr>
            </w:pPr>
            <w:r>
              <w:rPr>
                <w:rFonts w:hint="eastAsia" w:ascii="Times New Roman" w:hAnsi="Times New Roman" w:eastAsia="宋体" w:cs="Times New Roman"/>
                <w:color w:val="auto"/>
                <w:spacing w:val="0"/>
                <w:sz w:val="24"/>
                <w:lang w:val="en-US" w:eastAsia="zh-CN"/>
              </w:rPr>
              <w:t>项目</w:t>
            </w:r>
            <w:r>
              <w:rPr>
                <w:rFonts w:hint="eastAsia" w:ascii="Times New Roman" w:hAnsi="Times New Roman" w:eastAsia="宋体" w:cs="Times New Roman"/>
                <w:color w:val="auto"/>
                <w:spacing w:val="0"/>
                <w:sz w:val="24"/>
              </w:rPr>
              <w:t>废</w:t>
            </w:r>
            <w:r>
              <w:rPr>
                <w:rFonts w:hint="eastAsia" w:ascii="Times New Roman" w:hAnsi="Times New Roman" w:eastAsia="宋体" w:cs="Times New Roman"/>
                <w:color w:val="auto"/>
                <w:spacing w:val="0"/>
                <w:sz w:val="24"/>
                <w:lang w:val="en-US" w:eastAsia="zh-CN"/>
              </w:rPr>
              <w:t>水</w:t>
            </w:r>
            <w:r>
              <w:rPr>
                <w:rFonts w:hint="eastAsia" w:ascii="Times New Roman" w:hAnsi="Times New Roman" w:eastAsia="宋体" w:cs="Times New Roman"/>
                <w:color w:val="auto"/>
                <w:spacing w:val="0"/>
                <w:sz w:val="24"/>
              </w:rPr>
              <w:t>产排污节点、污染物及污染治理设施信息</w:t>
            </w:r>
            <w:r>
              <w:rPr>
                <w:rFonts w:hint="eastAsia" w:ascii="Times New Roman" w:hAnsi="Times New Roman" w:eastAsia="宋体" w:cs="Times New Roman"/>
                <w:color w:val="auto"/>
                <w:spacing w:val="0"/>
                <w:sz w:val="24"/>
                <w:lang w:val="en-US" w:eastAsia="zh-CN"/>
              </w:rPr>
              <w:t>如下：</w:t>
            </w:r>
          </w:p>
          <w:p w14:paraId="76B7D119">
            <w:pPr>
              <w:keepNext w:val="0"/>
              <w:keepLines w:val="0"/>
              <w:pageBreakBefore w:val="0"/>
              <w:widowControl w:val="0"/>
              <w:kinsoku/>
              <w:wordWrap/>
              <w:overflowPunct/>
              <w:topLinePunct w:val="0"/>
              <w:autoSpaceDE/>
              <w:autoSpaceDN/>
              <w:bidi w:val="0"/>
              <w:adjustRightInd w:val="0"/>
              <w:snapToGrid/>
              <w:spacing w:line="480" w:lineRule="atLeast"/>
              <w:ind w:firstLine="0" w:firstLineChars="0"/>
              <w:jc w:val="center"/>
              <w:textAlignment w:val="auto"/>
              <w:rPr>
                <w:rFonts w:hint="eastAsia"/>
                <w:b/>
                <w:color w:val="auto"/>
                <w:spacing w:val="0"/>
                <w:szCs w:val="21"/>
              </w:rPr>
            </w:pPr>
            <w:r>
              <w:rPr>
                <w:b/>
                <w:color w:val="auto"/>
                <w:spacing w:val="0"/>
                <w:szCs w:val="21"/>
              </w:rPr>
              <w:t>表</w:t>
            </w:r>
            <w:r>
              <w:rPr>
                <w:rFonts w:hint="eastAsia"/>
                <w:b/>
                <w:color w:val="auto"/>
                <w:spacing w:val="0"/>
                <w:szCs w:val="21"/>
              </w:rPr>
              <w:t>4-</w:t>
            </w:r>
            <w:r>
              <w:rPr>
                <w:rFonts w:hint="eastAsia"/>
                <w:b/>
                <w:color w:val="auto"/>
                <w:spacing w:val="0"/>
                <w:szCs w:val="21"/>
                <w:lang w:val="en-US" w:eastAsia="zh-CN"/>
              </w:rPr>
              <w:t>25</w:t>
            </w:r>
            <w:r>
              <w:rPr>
                <w:rFonts w:hint="eastAsia"/>
                <w:b/>
                <w:color w:val="auto"/>
                <w:spacing w:val="0"/>
                <w:szCs w:val="21"/>
              </w:rPr>
              <w:t xml:space="preserve">  项目</w:t>
            </w:r>
            <w:r>
              <w:rPr>
                <w:b/>
                <w:color w:val="auto"/>
                <w:spacing w:val="0"/>
                <w:szCs w:val="21"/>
              </w:rPr>
              <w:t>废</w:t>
            </w:r>
            <w:r>
              <w:rPr>
                <w:rFonts w:hint="eastAsia"/>
                <w:b/>
                <w:color w:val="auto"/>
                <w:spacing w:val="0"/>
                <w:szCs w:val="21"/>
              </w:rPr>
              <w:t>水类别、</w:t>
            </w:r>
            <w:r>
              <w:rPr>
                <w:b/>
                <w:color w:val="auto"/>
                <w:spacing w:val="0"/>
                <w:szCs w:val="21"/>
              </w:rPr>
              <w:t>污染物</w:t>
            </w:r>
            <w:r>
              <w:rPr>
                <w:rFonts w:hint="eastAsia"/>
                <w:b/>
                <w:color w:val="auto"/>
                <w:spacing w:val="0"/>
                <w:szCs w:val="21"/>
              </w:rPr>
              <w:t>种类</w:t>
            </w:r>
            <w:r>
              <w:rPr>
                <w:b/>
                <w:color w:val="auto"/>
                <w:spacing w:val="0"/>
                <w:szCs w:val="21"/>
              </w:rPr>
              <w:t>及污染</w:t>
            </w:r>
            <w:r>
              <w:rPr>
                <w:rFonts w:hint="eastAsia"/>
                <w:b/>
                <w:color w:val="auto"/>
                <w:spacing w:val="0"/>
                <w:szCs w:val="21"/>
              </w:rPr>
              <w:t>防治设施一览表</w:t>
            </w:r>
          </w:p>
          <w:tbl>
            <w:tblPr>
              <w:tblStyle w:val="26"/>
              <w:tblW w:w="13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1523"/>
              <w:gridCol w:w="1968"/>
              <w:gridCol w:w="1187"/>
              <w:gridCol w:w="1187"/>
              <w:gridCol w:w="1413"/>
              <w:gridCol w:w="1486"/>
              <w:gridCol w:w="1216"/>
              <w:gridCol w:w="1089"/>
              <w:gridCol w:w="1453"/>
            </w:tblGrid>
            <w:tr w14:paraId="3F145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574" w:type="dxa"/>
                  <w:vMerge w:val="restart"/>
                  <w:tcBorders>
                    <w:tl2br w:val="nil"/>
                    <w:tr2bl w:val="nil"/>
                  </w:tcBorders>
                  <w:noWrap w:val="0"/>
                  <w:vAlign w:val="center"/>
                </w:tcPr>
                <w:p w14:paraId="211BABD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序号</w:t>
                  </w:r>
                </w:p>
              </w:tc>
              <w:tc>
                <w:tcPr>
                  <w:tcW w:w="1523" w:type="dxa"/>
                  <w:vMerge w:val="restart"/>
                  <w:tcBorders>
                    <w:tl2br w:val="nil"/>
                    <w:tr2bl w:val="nil"/>
                  </w:tcBorders>
                  <w:noWrap w:val="0"/>
                  <w:vAlign w:val="center"/>
                </w:tcPr>
                <w:p w14:paraId="209C0A0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废水类别</w:t>
                  </w:r>
                </w:p>
              </w:tc>
              <w:tc>
                <w:tcPr>
                  <w:tcW w:w="1968" w:type="dxa"/>
                  <w:vMerge w:val="restart"/>
                  <w:tcBorders>
                    <w:tl2br w:val="nil"/>
                    <w:tr2bl w:val="nil"/>
                  </w:tcBorders>
                  <w:noWrap w:val="0"/>
                  <w:vAlign w:val="center"/>
                </w:tcPr>
                <w:p w14:paraId="540D746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污染物种类</w:t>
                  </w:r>
                </w:p>
              </w:tc>
              <w:tc>
                <w:tcPr>
                  <w:tcW w:w="1187" w:type="dxa"/>
                  <w:vMerge w:val="restart"/>
                  <w:tcBorders>
                    <w:tl2br w:val="nil"/>
                    <w:tr2bl w:val="nil"/>
                  </w:tcBorders>
                  <w:noWrap w:val="0"/>
                  <w:vAlign w:val="center"/>
                </w:tcPr>
                <w:p w14:paraId="596F174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排放去向</w:t>
                  </w:r>
                </w:p>
              </w:tc>
              <w:tc>
                <w:tcPr>
                  <w:tcW w:w="1187" w:type="dxa"/>
                  <w:vMerge w:val="restart"/>
                  <w:tcBorders>
                    <w:tl2br w:val="nil"/>
                    <w:tr2bl w:val="nil"/>
                  </w:tcBorders>
                  <w:noWrap w:val="0"/>
                  <w:vAlign w:val="center"/>
                </w:tcPr>
                <w:p w14:paraId="16BCF17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排放规律</w:t>
                  </w:r>
                </w:p>
              </w:tc>
              <w:tc>
                <w:tcPr>
                  <w:tcW w:w="4115" w:type="dxa"/>
                  <w:gridSpan w:val="3"/>
                  <w:tcBorders>
                    <w:tl2br w:val="nil"/>
                    <w:tr2bl w:val="nil"/>
                  </w:tcBorders>
                  <w:noWrap w:val="0"/>
                  <w:vAlign w:val="center"/>
                </w:tcPr>
                <w:p w14:paraId="20DCFCE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污染治理设施</w:t>
                  </w:r>
                </w:p>
              </w:tc>
              <w:tc>
                <w:tcPr>
                  <w:tcW w:w="1089" w:type="dxa"/>
                  <w:vMerge w:val="restart"/>
                  <w:tcBorders>
                    <w:tl2br w:val="nil"/>
                    <w:tr2bl w:val="nil"/>
                  </w:tcBorders>
                  <w:noWrap w:val="0"/>
                  <w:vAlign w:val="center"/>
                </w:tcPr>
                <w:p w14:paraId="28CC4AC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排放口编号</w:t>
                  </w:r>
                </w:p>
              </w:tc>
              <w:tc>
                <w:tcPr>
                  <w:tcW w:w="1453" w:type="dxa"/>
                  <w:vMerge w:val="restart"/>
                  <w:tcBorders>
                    <w:tl2br w:val="nil"/>
                    <w:tr2bl w:val="nil"/>
                  </w:tcBorders>
                  <w:noWrap w:val="0"/>
                  <w:vAlign w:val="center"/>
                </w:tcPr>
                <w:p w14:paraId="618A4AB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排放口设置是否符合要求</w:t>
                  </w:r>
                </w:p>
              </w:tc>
            </w:tr>
            <w:tr w14:paraId="1BC47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574" w:type="dxa"/>
                  <w:vMerge w:val="continue"/>
                  <w:tcBorders>
                    <w:tl2br w:val="nil"/>
                    <w:tr2bl w:val="nil"/>
                  </w:tcBorders>
                  <w:noWrap w:val="0"/>
                  <w:vAlign w:val="center"/>
                </w:tcPr>
                <w:p w14:paraId="2E14500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p>
              </w:tc>
              <w:tc>
                <w:tcPr>
                  <w:tcW w:w="1523" w:type="dxa"/>
                  <w:vMerge w:val="continue"/>
                  <w:tcBorders>
                    <w:tl2br w:val="nil"/>
                    <w:tr2bl w:val="nil"/>
                  </w:tcBorders>
                  <w:noWrap w:val="0"/>
                  <w:vAlign w:val="center"/>
                </w:tcPr>
                <w:p w14:paraId="334F790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p>
              </w:tc>
              <w:tc>
                <w:tcPr>
                  <w:tcW w:w="1968" w:type="dxa"/>
                  <w:vMerge w:val="continue"/>
                  <w:tcBorders>
                    <w:tl2br w:val="nil"/>
                    <w:tr2bl w:val="nil"/>
                  </w:tcBorders>
                  <w:noWrap w:val="0"/>
                  <w:vAlign w:val="center"/>
                </w:tcPr>
                <w:p w14:paraId="3DD18EF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p>
              </w:tc>
              <w:tc>
                <w:tcPr>
                  <w:tcW w:w="1187" w:type="dxa"/>
                  <w:vMerge w:val="continue"/>
                  <w:tcBorders>
                    <w:tl2br w:val="nil"/>
                    <w:tr2bl w:val="nil"/>
                  </w:tcBorders>
                  <w:noWrap w:val="0"/>
                  <w:vAlign w:val="center"/>
                </w:tcPr>
                <w:p w14:paraId="1B9A613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p>
              </w:tc>
              <w:tc>
                <w:tcPr>
                  <w:tcW w:w="1187" w:type="dxa"/>
                  <w:vMerge w:val="continue"/>
                  <w:tcBorders>
                    <w:tl2br w:val="nil"/>
                    <w:tr2bl w:val="nil"/>
                  </w:tcBorders>
                  <w:noWrap w:val="0"/>
                  <w:vAlign w:val="center"/>
                </w:tcPr>
                <w:p w14:paraId="22ECE51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p>
              </w:tc>
              <w:tc>
                <w:tcPr>
                  <w:tcW w:w="1413" w:type="dxa"/>
                  <w:tcBorders>
                    <w:tl2br w:val="nil"/>
                    <w:tr2bl w:val="nil"/>
                  </w:tcBorders>
                  <w:noWrap w:val="0"/>
                  <w:vAlign w:val="center"/>
                </w:tcPr>
                <w:p w14:paraId="456C216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污染治理设施名称</w:t>
                  </w:r>
                </w:p>
              </w:tc>
              <w:tc>
                <w:tcPr>
                  <w:tcW w:w="1486" w:type="dxa"/>
                  <w:tcBorders>
                    <w:tl2br w:val="nil"/>
                    <w:tr2bl w:val="nil"/>
                  </w:tcBorders>
                  <w:noWrap w:val="0"/>
                  <w:vAlign w:val="center"/>
                </w:tcPr>
                <w:p w14:paraId="6C43370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r>
                    <w:rPr>
                      <w:rFonts w:hint="eastAsia"/>
                      <w:b/>
                      <w:color w:val="auto"/>
                      <w:spacing w:val="0"/>
                      <w:szCs w:val="21"/>
                    </w:rPr>
                    <w:t>污染治理设施工艺</w:t>
                  </w:r>
                </w:p>
              </w:tc>
              <w:tc>
                <w:tcPr>
                  <w:tcW w:w="1216" w:type="dxa"/>
                  <w:tcBorders>
                    <w:tl2br w:val="nil"/>
                    <w:tr2bl w:val="nil"/>
                  </w:tcBorders>
                  <w:noWrap w:val="0"/>
                  <w:vAlign w:val="center"/>
                </w:tcPr>
                <w:p w14:paraId="7405B43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hAnsi="宋体"/>
                      <w:b/>
                      <w:color w:val="auto"/>
                      <w:spacing w:val="0"/>
                      <w:szCs w:val="21"/>
                    </w:rPr>
                  </w:pPr>
                  <w:r>
                    <w:rPr>
                      <w:rFonts w:hint="eastAsia" w:hAnsi="宋体"/>
                      <w:b/>
                      <w:color w:val="auto"/>
                      <w:spacing w:val="0"/>
                      <w:szCs w:val="21"/>
                    </w:rPr>
                    <w:t>是否为可行技术</w:t>
                  </w:r>
                </w:p>
              </w:tc>
              <w:tc>
                <w:tcPr>
                  <w:tcW w:w="1089" w:type="dxa"/>
                  <w:vMerge w:val="continue"/>
                  <w:tcBorders>
                    <w:tl2br w:val="nil"/>
                    <w:tr2bl w:val="nil"/>
                  </w:tcBorders>
                  <w:noWrap w:val="0"/>
                  <w:vAlign w:val="center"/>
                </w:tcPr>
                <w:p w14:paraId="3FFFBF0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p>
              </w:tc>
              <w:tc>
                <w:tcPr>
                  <w:tcW w:w="1453" w:type="dxa"/>
                  <w:vMerge w:val="continue"/>
                  <w:tcBorders>
                    <w:tl2br w:val="nil"/>
                    <w:tr2bl w:val="nil"/>
                  </w:tcBorders>
                  <w:noWrap w:val="0"/>
                  <w:vAlign w:val="center"/>
                </w:tcPr>
                <w:p w14:paraId="2467957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b/>
                      <w:color w:val="auto"/>
                      <w:spacing w:val="0"/>
                      <w:szCs w:val="21"/>
                    </w:rPr>
                  </w:pPr>
                </w:p>
              </w:tc>
            </w:tr>
            <w:tr w14:paraId="1A9C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574" w:type="dxa"/>
                  <w:tcBorders>
                    <w:tl2br w:val="nil"/>
                    <w:tr2bl w:val="nil"/>
                  </w:tcBorders>
                  <w:noWrap w:val="0"/>
                  <w:vAlign w:val="center"/>
                </w:tcPr>
                <w:p w14:paraId="7B2C208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rPr>
                  </w:pPr>
                  <w:r>
                    <w:rPr>
                      <w:rFonts w:hint="eastAsia"/>
                      <w:color w:val="auto"/>
                      <w:spacing w:val="0"/>
                      <w:szCs w:val="21"/>
                    </w:rPr>
                    <w:t>1</w:t>
                  </w:r>
                </w:p>
              </w:tc>
              <w:tc>
                <w:tcPr>
                  <w:tcW w:w="1523" w:type="dxa"/>
                  <w:tcBorders>
                    <w:tl2br w:val="nil"/>
                    <w:tr2bl w:val="nil"/>
                  </w:tcBorders>
                  <w:noWrap w:val="0"/>
                  <w:vAlign w:val="center"/>
                </w:tcPr>
                <w:p w14:paraId="1E4FC4E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rPr>
                  </w:pPr>
                  <w:r>
                    <w:rPr>
                      <w:rFonts w:hint="eastAsia" w:hAnsi="宋体"/>
                      <w:color w:val="auto"/>
                      <w:spacing w:val="0"/>
                      <w:szCs w:val="21"/>
                    </w:rPr>
                    <w:t>生活污水</w:t>
                  </w:r>
                </w:p>
              </w:tc>
              <w:tc>
                <w:tcPr>
                  <w:tcW w:w="1968" w:type="dxa"/>
                  <w:tcBorders>
                    <w:tl2br w:val="nil"/>
                    <w:tr2bl w:val="nil"/>
                  </w:tcBorders>
                  <w:noWrap w:val="0"/>
                  <w:vAlign w:val="center"/>
                </w:tcPr>
                <w:p w14:paraId="328EDD1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eastAsia="宋体"/>
                      <w:color w:val="auto"/>
                      <w:spacing w:val="0"/>
                      <w:szCs w:val="21"/>
                      <w:vertAlign w:val="baseline"/>
                      <w:lang w:val="en-US" w:eastAsia="zh-CN"/>
                    </w:rPr>
                  </w:pPr>
                  <w:r>
                    <w:rPr>
                      <w:rFonts w:hint="eastAsia"/>
                      <w:color w:val="auto"/>
                      <w:spacing w:val="0"/>
                      <w:szCs w:val="21"/>
                    </w:rPr>
                    <w:t>COD、SS、</w:t>
                  </w:r>
                  <w:r>
                    <w:rPr>
                      <w:rFonts w:hint="eastAsia"/>
                      <w:color w:val="auto"/>
                      <w:spacing w:val="0"/>
                      <w:szCs w:val="21"/>
                      <w:lang w:val="en-US" w:eastAsia="zh-CN"/>
                    </w:rPr>
                    <w:t>氨氮</w:t>
                  </w:r>
                  <w:r>
                    <w:rPr>
                      <w:rFonts w:hint="eastAsia"/>
                      <w:color w:val="auto"/>
                      <w:spacing w:val="0"/>
                      <w:szCs w:val="21"/>
                    </w:rPr>
                    <w:t>、BOD</w:t>
                  </w:r>
                  <w:r>
                    <w:rPr>
                      <w:rFonts w:hint="eastAsia"/>
                      <w:color w:val="auto"/>
                      <w:spacing w:val="0"/>
                      <w:szCs w:val="21"/>
                      <w:vertAlign w:val="subscript"/>
                    </w:rPr>
                    <w:t>5</w:t>
                  </w:r>
                  <w:r>
                    <w:rPr>
                      <w:rFonts w:hint="eastAsia"/>
                      <w:color w:val="auto"/>
                      <w:spacing w:val="0"/>
                      <w:szCs w:val="21"/>
                      <w:vertAlign w:val="baseline"/>
                      <w:lang w:eastAsia="zh-CN"/>
                    </w:rPr>
                    <w:t>、</w:t>
                  </w:r>
                  <w:r>
                    <w:rPr>
                      <w:rFonts w:hint="eastAsia"/>
                      <w:color w:val="auto"/>
                      <w:spacing w:val="0"/>
                      <w:szCs w:val="21"/>
                      <w:vertAlign w:val="baseline"/>
                      <w:lang w:val="en-US" w:eastAsia="zh-CN"/>
                    </w:rPr>
                    <w:t>TP、TN</w:t>
                  </w:r>
                </w:p>
              </w:tc>
              <w:tc>
                <w:tcPr>
                  <w:tcW w:w="1187" w:type="dxa"/>
                  <w:vMerge w:val="restart"/>
                  <w:tcBorders>
                    <w:tl2br w:val="nil"/>
                    <w:tr2bl w:val="nil"/>
                  </w:tcBorders>
                  <w:noWrap w:val="0"/>
                  <w:vAlign w:val="center"/>
                </w:tcPr>
                <w:p w14:paraId="508C767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rPr>
                  </w:pPr>
                  <w:r>
                    <w:rPr>
                      <w:rFonts w:hint="eastAsia"/>
                      <w:color w:val="auto"/>
                      <w:spacing w:val="0"/>
                      <w:szCs w:val="21"/>
                      <w:lang w:val="en-US" w:eastAsia="zh-CN"/>
                    </w:rPr>
                    <w:t>皖江江南新兴产业集中区第一污水处理厂</w:t>
                  </w:r>
                </w:p>
              </w:tc>
              <w:tc>
                <w:tcPr>
                  <w:tcW w:w="1187" w:type="dxa"/>
                  <w:tcBorders>
                    <w:tl2br w:val="nil"/>
                    <w:tr2bl w:val="nil"/>
                  </w:tcBorders>
                  <w:noWrap w:val="0"/>
                  <w:vAlign w:val="center"/>
                </w:tcPr>
                <w:p w14:paraId="1C65424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rPr>
                  </w:pPr>
                  <w:r>
                    <w:rPr>
                      <w:rFonts w:hint="eastAsia"/>
                      <w:color w:val="auto"/>
                      <w:spacing w:val="0"/>
                      <w:szCs w:val="21"/>
                    </w:rPr>
                    <w:t>连续排放</w:t>
                  </w:r>
                </w:p>
              </w:tc>
              <w:tc>
                <w:tcPr>
                  <w:tcW w:w="1413" w:type="dxa"/>
                  <w:tcBorders>
                    <w:tl2br w:val="nil"/>
                    <w:tr2bl w:val="nil"/>
                  </w:tcBorders>
                  <w:noWrap w:val="0"/>
                  <w:vAlign w:val="center"/>
                </w:tcPr>
                <w:p w14:paraId="748BA58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rPr>
                  </w:pPr>
                  <w:r>
                    <w:rPr>
                      <w:rFonts w:hint="eastAsia"/>
                      <w:color w:val="auto"/>
                      <w:spacing w:val="0"/>
                      <w:szCs w:val="21"/>
                    </w:rPr>
                    <w:t>化粪池</w:t>
                  </w:r>
                </w:p>
              </w:tc>
              <w:tc>
                <w:tcPr>
                  <w:tcW w:w="1486" w:type="dxa"/>
                  <w:tcBorders>
                    <w:tl2br w:val="nil"/>
                    <w:tr2bl w:val="nil"/>
                  </w:tcBorders>
                  <w:noWrap w:val="0"/>
                  <w:vAlign w:val="center"/>
                </w:tcPr>
                <w:p w14:paraId="1353D3C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rPr>
                  </w:pPr>
                  <w:r>
                    <w:rPr>
                      <w:rFonts w:hint="eastAsia"/>
                      <w:color w:val="auto"/>
                      <w:spacing w:val="0"/>
                      <w:szCs w:val="21"/>
                    </w:rPr>
                    <w:t>化粪池</w:t>
                  </w:r>
                </w:p>
              </w:tc>
              <w:tc>
                <w:tcPr>
                  <w:tcW w:w="1216" w:type="dxa"/>
                  <w:tcBorders>
                    <w:tl2br w:val="nil"/>
                    <w:tr2bl w:val="nil"/>
                  </w:tcBorders>
                  <w:noWrap w:val="0"/>
                  <w:vAlign w:val="center"/>
                </w:tcPr>
                <w:p w14:paraId="7EFA889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hAnsi="宋体"/>
                      <w:color w:val="auto"/>
                      <w:spacing w:val="0"/>
                      <w:szCs w:val="21"/>
                    </w:rPr>
                  </w:pPr>
                  <w:r>
                    <w:rPr>
                      <w:rFonts w:hint="eastAsia" w:hAnsi="宋体"/>
                      <w:color w:val="auto"/>
                      <w:spacing w:val="0"/>
                      <w:szCs w:val="21"/>
                    </w:rPr>
                    <w:t>是</w:t>
                  </w:r>
                </w:p>
              </w:tc>
              <w:tc>
                <w:tcPr>
                  <w:tcW w:w="1089" w:type="dxa"/>
                  <w:tcBorders>
                    <w:tl2br w:val="nil"/>
                    <w:tr2bl w:val="nil"/>
                  </w:tcBorders>
                  <w:noWrap w:val="0"/>
                  <w:vAlign w:val="center"/>
                </w:tcPr>
                <w:p w14:paraId="479DE05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rPr>
                  </w:pPr>
                  <w:r>
                    <w:rPr>
                      <w:rFonts w:hint="eastAsia"/>
                      <w:color w:val="auto"/>
                      <w:spacing w:val="0"/>
                      <w:szCs w:val="21"/>
                    </w:rPr>
                    <w:t>DW001</w:t>
                  </w:r>
                </w:p>
              </w:tc>
              <w:tc>
                <w:tcPr>
                  <w:tcW w:w="1453" w:type="dxa"/>
                  <w:vMerge w:val="restart"/>
                  <w:tcBorders>
                    <w:tl2br w:val="nil"/>
                    <w:tr2bl w:val="nil"/>
                  </w:tcBorders>
                  <w:noWrap w:val="0"/>
                  <w:vAlign w:val="center"/>
                </w:tcPr>
                <w:p w14:paraId="177BF69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rPr>
                  </w:pPr>
                  <w:r>
                    <w:rPr>
                      <w:rFonts w:hint="eastAsia"/>
                      <w:color w:val="auto"/>
                      <w:spacing w:val="0"/>
                      <w:szCs w:val="21"/>
                    </w:rPr>
                    <w:t>是</w:t>
                  </w:r>
                </w:p>
              </w:tc>
            </w:tr>
            <w:tr w14:paraId="71E1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574" w:type="dxa"/>
                  <w:tcBorders>
                    <w:tl2br w:val="nil"/>
                    <w:tr2bl w:val="nil"/>
                  </w:tcBorders>
                  <w:noWrap w:val="0"/>
                  <w:vAlign w:val="center"/>
                </w:tcPr>
                <w:p w14:paraId="52D2E1C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eastAsia="宋体"/>
                      <w:color w:val="auto"/>
                      <w:spacing w:val="0"/>
                      <w:szCs w:val="21"/>
                      <w:lang w:val="en-US" w:eastAsia="zh-CN"/>
                    </w:rPr>
                  </w:pPr>
                  <w:r>
                    <w:rPr>
                      <w:rFonts w:hint="eastAsia"/>
                      <w:color w:val="auto"/>
                      <w:spacing w:val="0"/>
                      <w:szCs w:val="21"/>
                      <w:lang w:val="en-US" w:eastAsia="zh-CN"/>
                    </w:rPr>
                    <w:t>2</w:t>
                  </w:r>
                </w:p>
              </w:tc>
              <w:tc>
                <w:tcPr>
                  <w:tcW w:w="1523" w:type="dxa"/>
                  <w:tcBorders>
                    <w:tl2br w:val="nil"/>
                    <w:tr2bl w:val="nil"/>
                  </w:tcBorders>
                  <w:noWrap w:val="0"/>
                  <w:vAlign w:val="center"/>
                </w:tcPr>
                <w:p w14:paraId="61A6405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hAnsi="宋体" w:eastAsia="宋体"/>
                      <w:color w:val="auto"/>
                      <w:spacing w:val="0"/>
                      <w:szCs w:val="21"/>
                      <w:lang w:val="en-US" w:eastAsia="zh-CN"/>
                    </w:rPr>
                  </w:pPr>
                  <w:r>
                    <w:rPr>
                      <w:rFonts w:hint="eastAsia" w:hAnsi="宋体"/>
                      <w:color w:val="auto"/>
                      <w:spacing w:val="0"/>
                      <w:szCs w:val="21"/>
                      <w:lang w:val="en-US" w:eastAsia="zh-CN"/>
                    </w:rPr>
                    <w:t>喷淋塔定期排水、地面冲洗废水</w:t>
                  </w:r>
                </w:p>
              </w:tc>
              <w:tc>
                <w:tcPr>
                  <w:tcW w:w="1968" w:type="dxa"/>
                  <w:tcBorders>
                    <w:tl2br w:val="nil"/>
                    <w:tr2bl w:val="nil"/>
                  </w:tcBorders>
                  <w:noWrap w:val="0"/>
                  <w:vAlign w:val="center"/>
                </w:tcPr>
                <w:p w14:paraId="46CBDC83">
                  <w:pPr>
                    <w:keepNext w:val="0"/>
                    <w:keepLines w:val="0"/>
                    <w:widowControl/>
                    <w:suppressLineNumbers w:val="0"/>
                    <w:jc w:val="center"/>
                    <w:textAlignment w:val="center"/>
                    <w:rPr>
                      <w:rFonts w:hint="default" w:eastAsia="宋体"/>
                      <w:color w:val="auto"/>
                      <w:spacing w:val="0"/>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pH</w:t>
                  </w:r>
                  <w:r>
                    <w:rPr>
                      <w:rFonts w:hint="eastAsia" w:cs="Times New Roman"/>
                      <w:i w:val="0"/>
                      <w:iCs w:val="0"/>
                      <w:color w:val="000000"/>
                      <w:kern w:val="0"/>
                      <w:sz w:val="21"/>
                      <w:szCs w:val="21"/>
                      <w:u w:val="none"/>
                      <w:lang w:val="en-US" w:eastAsia="zh-CN" w:bidi="ar"/>
                    </w:rPr>
                    <w:t>、色度、</w:t>
                  </w:r>
                  <w:r>
                    <w:rPr>
                      <w:rFonts w:hint="default" w:ascii="Times New Roman" w:hAnsi="Times New Roman" w:eastAsia="宋体" w:cs="Times New Roman"/>
                      <w:i w:val="0"/>
                      <w:iCs w:val="0"/>
                      <w:color w:val="000000"/>
                      <w:kern w:val="0"/>
                      <w:sz w:val="21"/>
                      <w:szCs w:val="21"/>
                      <w:u w:val="none"/>
                      <w:lang w:val="en-US" w:eastAsia="zh-CN" w:bidi="ar"/>
                    </w:rPr>
                    <w:t>SS</w:t>
                  </w:r>
                  <w:r>
                    <w:rPr>
                      <w:rFonts w:hint="eastAsia" w:cs="Times New Roman"/>
                      <w:i w:val="0"/>
                      <w:iCs w:val="0"/>
                      <w:color w:val="000000"/>
                      <w:sz w:val="21"/>
                      <w:szCs w:val="21"/>
                      <w:u w:val="none"/>
                      <w:lang w:eastAsia="zh-CN"/>
                    </w:rPr>
                    <w:t>、</w:t>
                  </w:r>
                  <w:r>
                    <w:rPr>
                      <w:rFonts w:hint="default" w:ascii="Times New Roman" w:hAnsi="Times New Roman" w:eastAsia="宋体" w:cs="Times New Roman"/>
                      <w:i w:val="0"/>
                      <w:iCs w:val="0"/>
                      <w:color w:val="000000"/>
                      <w:kern w:val="0"/>
                      <w:sz w:val="21"/>
                      <w:szCs w:val="21"/>
                      <w:u w:val="none"/>
                      <w:lang w:val="en-US" w:eastAsia="zh-CN" w:bidi="ar"/>
                    </w:rPr>
                    <w:t>TOC</w:t>
                  </w:r>
                  <w:r>
                    <w:rPr>
                      <w:rFonts w:hint="eastAsia" w:cs="Times New Roman"/>
                      <w:i w:val="0"/>
                      <w:iCs w:val="0"/>
                      <w:color w:val="000000"/>
                      <w:kern w:val="0"/>
                      <w:sz w:val="21"/>
                      <w:szCs w:val="21"/>
                      <w:u w:val="none"/>
                      <w:lang w:val="en-US" w:eastAsia="zh-CN" w:bidi="ar"/>
                    </w:rPr>
                    <w:t>、氟化物</w:t>
                  </w:r>
                </w:p>
              </w:tc>
              <w:tc>
                <w:tcPr>
                  <w:tcW w:w="1187" w:type="dxa"/>
                  <w:vMerge w:val="continue"/>
                  <w:tcBorders>
                    <w:tl2br w:val="nil"/>
                    <w:tr2bl w:val="nil"/>
                  </w:tcBorders>
                  <w:noWrap w:val="0"/>
                  <w:vAlign w:val="center"/>
                </w:tcPr>
                <w:p w14:paraId="6F19B63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lang w:val="en-US" w:eastAsia="zh-CN"/>
                    </w:rPr>
                  </w:pPr>
                </w:p>
              </w:tc>
              <w:tc>
                <w:tcPr>
                  <w:tcW w:w="1187" w:type="dxa"/>
                  <w:tcBorders>
                    <w:tl2br w:val="nil"/>
                    <w:tr2bl w:val="nil"/>
                  </w:tcBorders>
                  <w:noWrap w:val="0"/>
                  <w:vAlign w:val="center"/>
                </w:tcPr>
                <w:p w14:paraId="467A5FB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eastAsia="宋体"/>
                      <w:color w:val="auto"/>
                      <w:spacing w:val="0"/>
                      <w:szCs w:val="21"/>
                      <w:lang w:val="en-US" w:eastAsia="zh-CN"/>
                    </w:rPr>
                  </w:pPr>
                  <w:r>
                    <w:rPr>
                      <w:rFonts w:hint="eastAsia"/>
                      <w:color w:val="auto"/>
                      <w:spacing w:val="0"/>
                      <w:szCs w:val="21"/>
                      <w:lang w:val="en-US" w:eastAsia="zh-CN"/>
                    </w:rPr>
                    <w:t>间歇排放</w:t>
                  </w:r>
                </w:p>
              </w:tc>
              <w:tc>
                <w:tcPr>
                  <w:tcW w:w="1413" w:type="dxa"/>
                  <w:tcBorders>
                    <w:tl2br w:val="nil"/>
                    <w:tr2bl w:val="nil"/>
                  </w:tcBorders>
                  <w:noWrap w:val="0"/>
                  <w:vAlign w:val="center"/>
                </w:tcPr>
                <w:p w14:paraId="281F15B2">
                  <w:pPr>
                    <w:keepNext w:val="0"/>
                    <w:keepLines w:val="0"/>
                    <w:widowControl/>
                    <w:suppressLineNumbers w:val="0"/>
                    <w:jc w:val="center"/>
                    <w:textAlignment w:val="center"/>
                    <w:rPr>
                      <w:rFonts w:hint="default" w:eastAsia="宋体"/>
                      <w:color w:val="auto"/>
                      <w:spacing w:val="0"/>
                      <w:szCs w:val="21"/>
                      <w:lang w:val="en-US" w:eastAsia="zh-CN"/>
                    </w:rPr>
                  </w:pPr>
                  <w:r>
                    <w:rPr>
                      <w:rFonts w:hint="eastAsia" w:ascii="宋体" w:hAnsi="宋体" w:cs="宋体"/>
                      <w:i w:val="0"/>
                      <w:iCs w:val="0"/>
                      <w:color w:val="auto"/>
                      <w:kern w:val="0"/>
                      <w:sz w:val="21"/>
                      <w:szCs w:val="21"/>
                      <w:u w:val="none"/>
                      <w:lang w:val="en-US" w:eastAsia="zh-CN" w:bidi="ar"/>
                    </w:rPr>
                    <w:t>污水处理池</w:t>
                  </w:r>
                </w:p>
              </w:tc>
              <w:tc>
                <w:tcPr>
                  <w:tcW w:w="1486" w:type="dxa"/>
                  <w:tcBorders>
                    <w:tl2br w:val="nil"/>
                    <w:tr2bl w:val="nil"/>
                  </w:tcBorders>
                  <w:noWrap w:val="0"/>
                  <w:vAlign w:val="center"/>
                </w:tcPr>
                <w:p w14:paraId="27957B2F">
                  <w:pPr>
                    <w:keepNext w:val="0"/>
                    <w:keepLines w:val="0"/>
                    <w:widowControl/>
                    <w:suppressLineNumbers w:val="0"/>
                    <w:jc w:val="center"/>
                    <w:textAlignment w:val="center"/>
                    <w:rPr>
                      <w:rFonts w:hint="eastAsia" w:eastAsia="宋体"/>
                      <w:color w:val="auto"/>
                      <w:spacing w:val="0"/>
                      <w:szCs w:val="21"/>
                      <w:lang w:val="en-US" w:eastAsia="zh-CN"/>
                    </w:rPr>
                  </w:pPr>
                  <w:r>
                    <w:rPr>
                      <w:rFonts w:hint="eastAsia" w:cs="Times New Roman"/>
                      <w:i w:val="0"/>
                      <w:iCs w:val="0"/>
                      <w:color w:val="000000"/>
                      <w:kern w:val="0"/>
                      <w:sz w:val="21"/>
                      <w:szCs w:val="21"/>
                      <w:u w:val="none"/>
                      <w:lang w:val="en-US" w:eastAsia="zh-CN" w:bidi="ar"/>
                    </w:rPr>
                    <w:t>中和+脱色+混凝沉淀</w:t>
                  </w:r>
                </w:p>
              </w:tc>
              <w:tc>
                <w:tcPr>
                  <w:tcW w:w="1216" w:type="dxa"/>
                  <w:tcBorders>
                    <w:tl2br w:val="nil"/>
                    <w:tr2bl w:val="nil"/>
                  </w:tcBorders>
                  <w:noWrap w:val="0"/>
                  <w:vAlign w:val="center"/>
                </w:tcPr>
                <w:p w14:paraId="5B74193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hAnsi="宋体" w:eastAsia="宋体"/>
                      <w:color w:val="auto"/>
                      <w:spacing w:val="0"/>
                      <w:szCs w:val="21"/>
                      <w:lang w:val="en-US" w:eastAsia="zh-CN"/>
                    </w:rPr>
                  </w:pPr>
                  <w:r>
                    <w:rPr>
                      <w:rFonts w:hint="eastAsia" w:hAnsi="宋体"/>
                      <w:color w:val="auto"/>
                      <w:spacing w:val="0"/>
                      <w:szCs w:val="21"/>
                      <w:lang w:val="en-US" w:eastAsia="zh-CN"/>
                    </w:rPr>
                    <w:t>是</w:t>
                  </w:r>
                </w:p>
              </w:tc>
              <w:tc>
                <w:tcPr>
                  <w:tcW w:w="1089" w:type="dxa"/>
                  <w:tcBorders>
                    <w:tl2br w:val="nil"/>
                    <w:tr2bl w:val="nil"/>
                  </w:tcBorders>
                  <w:noWrap w:val="0"/>
                  <w:vAlign w:val="center"/>
                </w:tcPr>
                <w:p w14:paraId="632226B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eastAsia="宋体"/>
                      <w:color w:val="auto"/>
                      <w:spacing w:val="0"/>
                      <w:szCs w:val="21"/>
                      <w:lang w:val="en-US" w:eastAsia="zh-CN"/>
                    </w:rPr>
                  </w:pPr>
                  <w:r>
                    <w:rPr>
                      <w:rFonts w:hint="eastAsia"/>
                      <w:color w:val="auto"/>
                      <w:spacing w:val="0"/>
                      <w:szCs w:val="21"/>
                      <w:lang w:val="en-US" w:eastAsia="zh-CN"/>
                    </w:rPr>
                    <w:t>DW002</w:t>
                  </w:r>
                </w:p>
              </w:tc>
              <w:tc>
                <w:tcPr>
                  <w:tcW w:w="1453" w:type="dxa"/>
                  <w:vMerge w:val="continue"/>
                  <w:tcBorders>
                    <w:tl2br w:val="nil"/>
                    <w:tr2bl w:val="nil"/>
                  </w:tcBorders>
                  <w:noWrap w:val="0"/>
                  <w:vAlign w:val="center"/>
                </w:tcPr>
                <w:p w14:paraId="5C79EA3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eastAsia"/>
                      <w:color w:val="auto"/>
                      <w:spacing w:val="0"/>
                      <w:szCs w:val="21"/>
                    </w:rPr>
                  </w:pPr>
                </w:p>
              </w:tc>
            </w:tr>
          </w:tbl>
          <w:p w14:paraId="6AFB41D6">
            <w:pPr>
              <w:keepNext w:val="0"/>
              <w:keepLines w:val="0"/>
              <w:pageBreakBefore w:val="0"/>
              <w:widowControl w:val="0"/>
              <w:kinsoku/>
              <w:wordWrap/>
              <w:overflowPunct/>
              <w:topLinePunct w:val="0"/>
              <w:autoSpaceDE/>
              <w:autoSpaceDN/>
              <w:bidi w:val="0"/>
              <w:adjustRightInd w:val="0"/>
              <w:snapToGrid/>
              <w:spacing w:line="480" w:lineRule="exact"/>
              <w:ind w:firstLine="0" w:firstLineChars="0"/>
              <w:jc w:val="center"/>
              <w:textAlignment w:val="auto"/>
              <w:rPr>
                <w:rFonts w:hint="eastAsia"/>
                <w:b/>
                <w:color w:val="auto"/>
                <w:spacing w:val="0"/>
                <w:szCs w:val="21"/>
              </w:rPr>
            </w:pPr>
            <w:r>
              <w:rPr>
                <w:rFonts w:hint="eastAsia"/>
                <w:b/>
                <w:color w:val="auto"/>
                <w:spacing w:val="0"/>
                <w:szCs w:val="21"/>
              </w:rPr>
              <w:t>表4-</w:t>
            </w:r>
            <w:r>
              <w:rPr>
                <w:rFonts w:hint="eastAsia"/>
                <w:b/>
                <w:color w:val="auto"/>
                <w:spacing w:val="0"/>
                <w:szCs w:val="21"/>
                <w:lang w:val="en-US" w:eastAsia="zh-CN"/>
              </w:rPr>
              <w:t>26</w:t>
            </w:r>
            <w:r>
              <w:rPr>
                <w:rFonts w:hint="eastAsia"/>
                <w:b/>
                <w:color w:val="auto"/>
                <w:spacing w:val="0"/>
                <w:szCs w:val="21"/>
              </w:rPr>
              <w:t xml:space="preserve">  废水间接排放口基本情况表</w:t>
            </w:r>
          </w:p>
          <w:tbl>
            <w:tblPr>
              <w:tblStyle w:val="26"/>
              <w:tblW w:w="13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469"/>
              <w:gridCol w:w="965"/>
              <w:gridCol w:w="992"/>
              <w:gridCol w:w="1584"/>
              <w:gridCol w:w="1222"/>
              <w:gridCol w:w="1260"/>
              <w:gridCol w:w="805"/>
              <w:gridCol w:w="1379"/>
              <w:gridCol w:w="1895"/>
              <w:gridCol w:w="1732"/>
              <w:gridCol w:w="873"/>
            </w:tblGrid>
            <w:tr w14:paraId="0AFFA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469" w:type="dxa"/>
                  <w:vMerge w:val="restart"/>
                  <w:tcBorders>
                    <w:tl2br w:val="nil"/>
                    <w:tr2bl w:val="nil"/>
                  </w:tcBorders>
                  <w:shd w:val="clear" w:color="auto" w:fill="auto"/>
                  <w:vAlign w:val="center"/>
                </w:tcPr>
                <w:p w14:paraId="776403D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序号</w:t>
                  </w:r>
                </w:p>
              </w:tc>
              <w:tc>
                <w:tcPr>
                  <w:tcW w:w="965" w:type="dxa"/>
                  <w:vMerge w:val="restart"/>
                  <w:tcBorders>
                    <w:tl2br w:val="nil"/>
                    <w:tr2bl w:val="nil"/>
                  </w:tcBorders>
                  <w:shd w:val="clear" w:color="auto" w:fill="auto"/>
                  <w:vAlign w:val="center"/>
                </w:tcPr>
                <w:p w14:paraId="3F59C90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排放口编号</w:t>
                  </w:r>
                </w:p>
              </w:tc>
              <w:tc>
                <w:tcPr>
                  <w:tcW w:w="992" w:type="dxa"/>
                  <w:vMerge w:val="restart"/>
                  <w:tcBorders>
                    <w:tl2br w:val="nil"/>
                    <w:tr2bl w:val="nil"/>
                  </w:tcBorders>
                  <w:shd w:val="clear" w:color="auto" w:fill="auto"/>
                  <w:vAlign w:val="center"/>
                </w:tcPr>
                <w:p w14:paraId="1108252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排放口名称</w:t>
                  </w:r>
                </w:p>
              </w:tc>
              <w:tc>
                <w:tcPr>
                  <w:tcW w:w="2806" w:type="dxa"/>
                  <w:gridSpan w:val="2"/>
                  <w:tcBorders>
                    <w:tl2br w:val="nil"/>
                    <w:tr2bl w:val="nil"/>
                  </w:tcBorders>
                  <w:shd w:val="clear" w:color="auto" w:fill="auto"/>
                  <w:vAlign w:val="center"/>
                </w:tcPr>
                <w:p w14:paraId="606A148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排放口地理坐标</w:t>
                  </w:r>
                </w:p>
              </w:tc>
              <w:tc>
                <w:tcPr>
                  <w:tcW w:w="1260" w:type="dxa"/>
                  <w:vMerge w:val="restart"/>
                  <w:tcBorders>
                    <w:tl2br w:val="nil"/>
                    <w:tr2bl w:val="nil"/>
                  </w:tcBorders>
                  <w:shd w:val="clear" w:color="auto" w:fill="auto"/>
                  <w:vAlign w:val="center"/>
                </w:tcPr>
                <w:p w14:paraId="28544B1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排放去向</w:t>
                  </w:r>
                </w:p>
              </w:tc>
              <w:tc>
                <w:tcPr>
                  <w:tcW w:w="805" w:type="dxa"/>
                  <w:vMerge w:val="restart"/>
                  <w:tcBorders>
                    <w:tl2br w:val="nil"/>
                    <w:tr2bl w:val="nil"/>
                  </w:tcBorders>
                  <w:shd w:val="clear" w:color="auto" w:fill="auto"/>
                  <w:vAlign w:val="center"/>
                </w:tcPr>
                <w:p w14:paraId="18AF398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排放规律</w:t>
                  </w:r>
                </w:p>
              </w:tc>
              <w:tc>
                <w:tcPr>
                  <w:tcW w:w="5006" w:type="dxa"/>
                  <w:gridSpan w:val="3"/>
                  <w:tcBorders>
                    <w:tl2br w:val="nil"/>
                    <w:tr2bl w:val="nil"/>
                  </w:tcBorders>
                  <w:shd w:val="clear" w:color="auto" w:fill="auto"/>
                  <w:vAlign w:val="center"/>
                </w:tcPr>
                <w:p w14:paraId="5DB59B0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排放标准</w:t>
                  </w:r>
                </w:p>
              </w:tc>
              <w:tc>
                <w:tcPr>
                  <w:tcW w:w="873" w:type="dxa"/>
                  <w:vMerge w:val="restart"/>
                  <w:tcBorders>
                    <w:tl2br w:val="nil"/>
                    <w:tr2bl w:val="nil"/>
                  </w:tcBorders>
                  <w:shd w:val="clear" w:color="auto" w:fill="auto"/>
                  <w:vAlign w:val="center"/>
                </w:tcPr>
                <w:p w14:paraId="6CD684D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排放口类型</w:t>
                  </w:r>
                </w:p>
              </w:tc>
            </w:tr>
            <w:tr w14:paraId="0F7F6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4" w:hRule="atLeast"/>
                <w:jc w:val="center"/>
              </w:trPr>
              <w:tc>
                <w:tcPr>
                  <w:tcW w:w="469" w:type="dxa"/>
                  <w:vMerge w:val="continue"/>
                  <w:tcBorders>
                    <w:tl2br w:val="nil"/>
                    <w:tr2bl w:val="nil"/>
                  </w:tcBorders>
                  <w:shd w:val="clear" w:color="auto" w:fill="auto"/>
                  <w:vAlign w:val="center"/>
                </w:tcPr>
                <w:p w14:paraId="27FD2570">
                  <w:pPr>
                    <w:jc w:val="center"/>
                    <w:rPr>
                      <w:rFonts w:hint="default" w:ascii="Times New Roman" w:hAnsi="Times New Roman" w:eastAsia="宋体" w:cs="Times New Roman"/>
                      <w:b/>
                      <w:bCs/>
                      <w:i w:val="0"/>
                      <w:iCs w:val="0"/>
                      <w:color w:val="000000"/>
                      <w:sz w:val="21"/>
                      <w:szCs w:val="21"/>
                      <w:u w:val="none"/>
                    </w:rPr>
                  </w:pPr>
                </w:p>
              </w:tc>
              <w:tc>
                <w:tcPr>
                  <w:tcW w:w="965" w:type="dxa"/>
                  <w:vMerge w:val="continue"/>
                  <w:tcBorders>
                    <w:tl2br w:val="nil"/>
                    <w:tr2bl w:val="nil"/>
                  </w:tcBorders>
                  <w:shd w:val="clear" w:color="auto" w:fill="auto"/>
                  <w:vAlign w:val="center"/>
                </w:tcPr>
                <w:p w14:paraId="7A7B7017">
                  <w:pPr>
                    <w:jc w:val="center"/>
                    <w:rPr>
                      <w:rFonts w:hint="default" w:ascii="Times New Roman" w:hAnsi="Times New Roman" w:eastAsia="宋体" w:cs="Times New Roman"/>
                      <w:b/>
                      <w:bCs/>
                      <w:i w:val="0"/>
                      <w:iCs w:val="0"/>
                      <w:color w:val="000000"/>
                      <w:sz w:val="21"/>
                      <w:szCs w:val="21"/>
                      <w:u w:val="none"/>
                    </w:rPr>
                  </w:pPr>
                </w:p>
              </w:tc>
              <w:tc>
                <w:tcPr>
                  <w:tcW w:w="992" w:type="dxa"/>
                  <w:vMerge w:val="continue"/>
                  <w:tcBorders>
                    <w:tl2br w:val="nil"/>
                    <w:tr2bl w:val="nil"/>
                  </w:tcBorders>
                  <w:shd w:val="clear" w:color="auto" w:fill="auto"/>
                  <w:vAlign w:val="center"/>
                </w:tcPr>
                <w:p w14:paraId="1FA164AA">
                  <w:pPr>
                    <w:jc w:val="center"/>
                    <w:rPr>
                      <w:rFonts w:hint="default" w:ascii="Times New Roman" w:hAnsi="Times New Roman" w:eastAsia="宋体" w:cs="Times New Roman"/>
                      <w:b/>
                      <w:bCs/>
                      <w:i w:val="0"/>
                      <w:iCs w:val="0"/>
                      <w:color w:val="000000"/>
                      <w:sz w:val="21"/>
                      <w:szCs w:val="21"/>
                      <w:u w:val="none"/>
                    </w:rPr>
                  </w:pPr>
                </w:p>
              </w:tc>
              <w:tc>
                <w:tcPr>
                  <w:tcW w:w="1584" w:type="dxa"/>
                  <w:tcBorders>
                    <w:tl2br w:val="nil"/>
                    <w:tr2bl w:val="nil"/>
                  </w:tcBorders>
                  <w:shd w:val="clear" w:color="auto" w:fill="auto"/>
                  <w:vAlign w:val="center"/>
                </w:tcPr>
                <w:p w14:paraId="3F92D6B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经度</w:t>
                  </w:r>
                </w:p>
              </w:tc>
              <w:tc>
                <w:tcPr>
                  <w:tcW w:w="1222" w:type="dxa"/>
                  <w:tcBorders>
                    <w:tl2br w:val="nil"/>
                    <w:tr2bl w:val="nil"/>
                  </w:tcBorders>
                  <w:shd w:val="clear" w:color="auto" w:fill="auto"/>
                  <w:vAlign w:val="center"/>
                </w:tcPr>
                <w:p w14:paraId="3BA66D1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纬度</w:t>
                  </w:r>
                </w:p>
              </w:tc>
              <w:tc>
                <w:tcPr>
                  <w:tcW w:w="1260" w:type="dxa"/>
                  <w:vMerge w:val="continue"/>
                  <w:tcBorders>
                    <w:tl2br w:val="nil"/>
                    <w:tr2bl w:val="nil"/>
                  </w:tcBorders>
                  <w:shd w:val="clear" w:color="auto" w:fill="auto"/>
                  <w:vAlign w:val="center"/>
                </w:tcPr>
                <w:p w14:paraId="65A25E44">
                  <w:pPr>
                    <w:jc w:val="center"/>
                    <w:rPr>
                      <w:rFonts w:hint="default" w:ascii="Times New Roman" w:hAnsi="Times New Roman" w:eastAsia="宋体" w:cs="Times New Roman"/>
                      <w:b/>
                      <w:bCs/>
                      <w:i w:val="0"/>
                      <w:iCs w:val="0"/>
                      <w:color w:val="000000"/>
                      <w:sz w:val="21"/>
                      <w:szCs w:val="21"/>
                      <w:u w:val="none"/>
                    </w:rPr>
                  </w:pPr>
                </w:p>
              </w:tc>
              <w:tc>
                <w:tcPr>
                  <w:tcW w:w="805" w:type="dxa"/>
                  <w:vMerge w:val="continue"/>
                  <w:tcBorders>
                    <w:tl2br w:val="nil"/>
                    <w:tr2bl w:val="nil"/>
                  </w:tcBorders>
                  <w:shd w:val="clear" w:color="auto" w:fill="auto"/>
                  <w:vAlign w:val="center"/>
                </w:tcPr>
                <w:p w14:paraId="7E185D1B">
                  <w:pPr>
                    <w:jc w:val="center"/>
                    <w:rPr>
                      <w:rFonts w:hint="default" w:ascii="Times New Roman" w:hAnsi="Times New Roman" w:eastAsia="宋体" w:cs="Times New Roman"/>
                      <w:b/>
                      <w:bCs/>
                      <w:i w:val="0"/>
                      <w:iCs w:val="0"/>
                      <w:color w:val="000000"/>
                      <w:sz w:val="21"/>
                      <w:szCs w:val="21"/>
                      <w:u w:val="none"/>
                    </w:rPr>
                  </w:pPr>
                </w:p>
              </w:tc>
              <w:tc>
                <w:tcPr>
                  <w:tcW w:w="1379" w:type="dxa"/>
                  <w:tcBorders>
                    <w:tl2br w:val="nil"/>
                    <w:tr2bl w:val="nil"/>
                  </w:tcBorders>
                  <w:shd w:val="clear" w:color="auto" w:fill="auto"/>
                  <w:vAlign w:val="center"/>
                </w:tcPr>
                <w:p w14:paraId="668A0C3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污染物种类</w:t>
                  </w:r>
                </w:p>
              </w:tc>
              <w:tc>
                <w:tcPr>
                  <w:tcW w:w="1895" w:type="dxa"/>
                  <w:tcBorders>
                    <w:tl2br w:val="nil"/>
                    <w:tr2bl w:val="nil"/>
                  </w:tcBorders>
                  <w:shd w:val="clear" w:color="auto" w:fill="auto"/>
                  <w:vAlign w:val="center"/>
                </w:tcPr>
                <w:p w14:paraId="7B57835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浓度限值/（mg/L）</w:t>
                  </w:r>
                </w:p>
              </w:tc>
              <w:tc>
                <w:tcPr>
                  <w:tcW w:w="1732" w:type="dxa"/>
                  <w:tcBorders>
                    <w:tl2br w:val="nil"/>
                    <w:tr2bl w:val="nil"/>
                  </w:tcBorders>
                  <w:shd w:val="clear" w:color="auto" w:fill="auto"/>
                  <w:vAlign w:val="center"/>
                </w:tcPr>
                <w:p w14:paraId="23C89C0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标准名称</w:t>
                  </w:r>
                </w:p>
              </w:tc>
              <w:tc>
                <w:tcPr>
                  <w:tcW w:w="873" w:type="dxa"/>
                  <w:vMerge w:val="continue"/>
                  <w:tcBorders>
                    <w:tl2br w:val="nil"/>
                    <w:tr2bl w:val="nil"/>
                  </w:tcBorders>
                  <w:shd w:val="clear" w:color="auto" w:fill="auto"/>
                  <w:vAlign w:val="center"/>
                </w:tcPr>
                <w:p w14:paraId="155ABD4C">
                  <w:pPr>
                    <w:jc w:val="center"/>
                    <w:rPr>
                      <w:rFonts w:hint="default" w:ascii="Times New Roman" w:hAnsi="Times New Roman" w:eastAsia="宋体" w:cs="Times New Roman"/>
                      <w:b/>
                      <w:bCs/>
                      <w:i w:val="0"/>
                      <w:iCs w:val="0"/>
                      <w:color w:val="000000"/>
                      <w:sz w:val="21"/>
                      <w:szCs w:val="21"/>
                      <w:u w:val="none"/>
                    </w:rPr>
                  </w:pPr>
                </w:p>
              </w:tc>
            </w:tr>
            <w:tr w14:paraId="30D03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44" w:hRule="atLeast"/>
                <w:jc w:val="center"/>
              </w:trPr>
              <w:tc>
                <w:tcPr>
                  <w:tcW w:w="469" w:type="dxa"/>
                  <w:vMerge w:val="restart"/>
                  <w:tcBorders>
                    <w:tl2br w:val="nil"/>
                    <w:tr2bl w:val="nil"/>
                  </w:tcBorders>
                  <w:shd w:val="clear" w:color="auto" w:fill="auto"/>
                  <w:vAlign w:val="center"/>
                </w:tcPr>
                <w:p w14:paraId="0DB65A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965" w:type="dxa"/>
                  <w:vMerge w:val="restart"/>
                  <w:tcBorders>
                    <w:tl2br w:val="nil"/>
                    <w:tr2bl w:val="nil"/>
                  </w:tcBorders>
                  <w:shd w:val="clear" w:color="auto" w:fill="auto"/>
                  <w:vAlign w:val="center"/>
                </w:tcPr>
                <w:p w14:paraId="10904E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DW001</w:t>
                  </w:r>
                </w:p>
              </w:tc>
              <w:tc>
                <w:tcPr>
                  <w:tcW w:w="992" w:type="dxa"/>
                  <w:vMerge w:val="restart"/>
                  <w:tcBorders>
                    <w:tl2br w:val="nil"/>
                    <w:tr2bl w:val="nil"/>
                  </w:tcBorders>
                  <w:shd w:val="clear" w:color="auto" w:fill="auto"/>
                  <w:vAlign w:val="center"/>
                </w:tcPr>
                <w:p w14:paraId="7D4946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废水总</w:t>
                  </w:r>
                  <w:r>
                    <w:rPr>
                      <w:rFonts w:hint="default" w:ascii="Times New Roman" w:hAnsi="Times New Roman" w:eastAsia="宋体" w:cs="Times New Roman"/>
                      <w:i w:val="0"/>
                      <w:iCs w:val="0"/>
                      <w:color w:val="000000"/>
                      <w:kern w:val="0"/>
                      <w:sz w:val="21"/>
                      <w:szCs w:val="21"/>
                      <w:u w:val="none"/>
                      <w:lang w:val="en-US" w:eastAsia="zh-CN" w:bidi="ar"/>
                    </w:rPr>
                    <w:t>排放口</w:t>
                  </w:r>
                </w:p>
              </w:tc>
              <w:tc>
                <w:tcPr>
                  <w:tcW w:w="1584" w:type="dxa"/>
                  <w:vMerge w:val="restart"/>
                  <w:tcBorders>
                    <w:tl2br w:val="nil"/>
                    <w:tr2bl w:val="nil"/>
                  </w:tcBorders>
                  <w:shd w:val="clear" w:color="auto" w:fill="auto"/>
                  <w:vAlign w:val="center"/>
                </w:tcPr>
                <w:p w14:paraId="3C7957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117.639129°</w:t>
                  </w:r>
                </w:p>
              </w:tc>
              <w:tc>
                <w:tcPr>
                  <w:tcW w:w="1222" w:type="dxa"/>
                  <w:vMerge w:val="restart"/>
                  <w:tcBorders>
                    <w:tl2br w:val="nil"/>
                    <w:tr2bl w:val="nil"/>
                  </w:tcBorders>
                  <w:shd w:val="clear" w:color="auto" w:fill="auto"/>
                  <w:vAlign w:val="center"/>
                </w:tcPr>
                <w:p w14:paraId="385B11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30.740186°</w:t>
                  </w:r>
                </w:p>
              </w:tc>
              <w:tc>
                <w:tcPr>
                  <w:tcW w:w="1260" w:type="dxa"/>
                  <w:vMerge w:val="restart"/>
                  <w:tcBorders>
                    <w:tl2br w:val="nil"/>
                    <w:tr2bl w:val="nil"/>
                  </w:tcBorders>
                  <w:shd w:val="clear" w:color="auto" w:fill="auto"/>
                  <w:vAlign w:val="center"/>
                </w:tcPr>
                <w:p w14:paraId="7D9B3F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皖江江南新兴产业集中区第一污水处理厂</w:t>
                  </w:r>
                </w:p>
              </w:tc>
              <w:tc>
                <w:tcPr>
                  <w:tcW w:w="805" w:type="dxa"/>
                  <w:vMerge w:val="restart"/>
                  <w:tcBorders>
                    <w:tl2br w:val="nil"/>
                    <w:tr2bl w:val="nil"/>
                  </w:tcBorders>
                  <w:shd w:val="clear" w:color="auto" w:fill="auto"/>
                  <w:vAlign w:val="center"/>
                </w:tcPr>
                <w:p w14:paraId="3175AA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连续排放</w:t>
                  </w:r>
                </w:p>
              </w:tc>
              <w:tc>
                <w:tcPr>
                  <w:tcW w:w="1379" w:type="dxa"/>
                  <w:tcBorders>
                    <w:tl2br w:val="nil"/>
                    <w:tr2bl w:val="nil"/>
                  </w:tcBorders>
                  <w:shd w:val="clear" w:color="auto" w:fill="auto"/>
                  <w:vAlign w:val="center"/>
                </w:tcPr>
                <w:p w14:paraId="36B5A67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895" w:type="dxa"/>
                  <w:tcBorders>
                    <w:tl2br w:val="nil"/>
                    <w:tr2bl w:val="nil"/>
                  </w:tcBorders>
                  <w:shd w:val="clear" w:color="auto" w:fill="auto"/>
                  <w:vAlign w:val="center"/>
                </w:tcPr>
                <w:p w14:paraId="3444BB2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6~9</w:t>
                  </w:r>
                </w:p>
              </w:tc>
              <w:tc>
                <w:tcPr>
                  <w:tcW w:w="1732" w:type="dxa"/>
                  <w:vMerge w:val="restart"/>
                  <w:tcBorders>
                    <w:tl2br w:val="nil"/>
                    <w:tr2bl w:val="nil"/>
                  </w:tcBorders>
                  <w:shd w:val="clear" w:color="auto" w:fill="auto"/>
                  <w:vAlign w:val="center"/>
                </w:tcPr>
                <w:p w14:paraId="26CB8E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皖江江南新兴产业集中区第一污水处理厂</w:t>
                  </w:r>
                  <w:r>
                    <w:rPr>
                      <w:rFonts w:hint="eastAsia" w:cs="Times New Roman"/>
                      <w:i w:val="0"/>
                      <w:iCs w:val="0"/>
                      <w:color w:val="000000"/>
                      <w:kern w:val="0"/>
                      <w:sz w:val="21"/>
                      <w:szCs w:val="21"/>
                      <w:u w:val="none"/>
                      <w:lang w:val="en-US" w:eastAsia="zh-CN" w:bidi="ar"/>
                    </w:rPr>
                    <w:t>接管限值及</w:t>
                  </w:r>
                  <w:r>
                    <w:rPr>
                      <w:rFonts w:hint="default" w:ascii="Times New Roman" w:hAnsi="Times New Roman" w:eastAsia="宋体" w:cs="Times New Roman"/>
                      <w:i w:val="0"/>
                      <w:iCs w:val="0"/>
                      <w:color w:val="000000"/>
                      <w:kern w:val="0"/>
                      <w:sz w:val="21"/>
                      <w:szCs w:val="21"/>
                      <w:u w:val="none"/>
                      <w:lang w:val="en-US" w:eastAsia="zh-CN" w:bidi="ar"/>
                    </w:rPr>
                    <w:t>《污水综合排放标准》（GB8978-1996）表4中三级标准</w:t>
                  </w:r>
                </w:p>
              </w:tc>
              <w:tc>
                <w:tcPr>
                  <w:tcW w:w="873" w:type="dxa"/>
                  <w:vMerge w:val="restart"/>
                  <w:tcBorders>
                    <w:tl2br w:val="nil"/>
                    <w:tr2bl w:val="nil"/>
                  </w:tcBorders>
                  <w:shd w:val="clear" w:color="auto" w:fill="auto"/>
                  <w:vAlign w:val="center"/>
                </w:tcPr>
                <w:p w14:paraId="1F62E5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一般排放口</w:t>
                  </w:r>
                </w:p>
              </w:tc>
            </w:tr>
            <w:tr w14:paraId="51250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44" w:hRule="atLeast"/>
                <w:jc w:val="center"/>
              </w:trPr>
              <w:tc>
                <w:tcPr>
                  <w:tcW w:w="469" w:type="dxa"/>
                  <w:vMerge w:val="continue"/>
                  <w:tcBorders>
                    <w:tl2br w:val="nil"/>
                    <w:tr2bl w:val="nil"/>
                  </w:tcBorders>
                  <w:shd w:val="clear" w:color="auto" w:fill="auto"/>
                  <w:vAlign w:val="center"/>
                </w:tcPr>
                <w:p w14:paraId="2642CBA4">
                  <w:pPr>
                    <w:jc w:val="center"/>
                    <w:rPr>
                      <w:rFonts w:hint="default" w:ascii="Times New Roman" w:hAnsi="Times New Roman" w:eastAsia="宋体" w:cs="Times New Roman"/>
                      <w:i w:val="0"/>
                      <w:iCs w:val="0"/>
                      <w:color w:val="000000"/>
                      <w:sz w:val="21"/>
                      <w:szCs w:val="21"/>
                      <w:u w:val="none"/>
                    </w:rPr>
                  </w:pPr>
                </w:p>
              </w:tc>
              <w:tc>
                <w:tcPr>
                  <w:tcW w:w="965" w:type="dxa"/>
                  <w:vMerge w:val="continue"/>
                  <w:tcBorders>
                    <w:tl2br w:val="nil"/>
                    <w:tr2bl w:val="nil"/>
                  </w:tcBorders>
                  <w:shd w:val="clear" w:color="auto" w:fill="auto"/>
                  <w:vAlign w:val="center"/>
                </w:tcPr>
                <w:p w14:paraId="19798BC5">
                  <w:pPr>
                    <w:jc w:val="center"/>
                    <w:rPr>
                      <w:rFonts w:hint="default" w:ascii="Times New Roman" w:hAnsi="Times New Roman" w:eastAsia="宋体" w:cs="Times New Roman"/>
                      <w:i w:val="0"/>
                      <w:iCs w:val="0"/>
                      <w:color w:val="000000"/>
                      <w:sz w:val="21"/>
                      <w:szCs w:val="21"/>
                      <w:u w:val="none"/>
                    </w:rPr>
                  </w:pPr>
                </w:p>
              </w:tc>
              <w:tc>
                <w:tcPr>
                  <w:tcW w:w="992" w:type="dxa"/>
                  <w:vMerge w:val="continue"/>
                  <w:tcBorders>
                    <w:tl2br w:val="nil"/>
                    <w:tr2bl w:val="nil"/>
                  </w:tcBorders>
                  <w:shd w:val="clear" w:color="auto" w:fill="auto"/>
                  <w:vAlign w:val="center"/>
                </w:tcPr>
                <w:p w14:paraId="05CF04D2">
                  <w:pPr>
                    <w:jc w:val="center"/>
                    <w:rPr>
                      <w:rFonts w:hint="default" w:ascii="Times New Roman" w:hAnsi="Times New Roman" w:eastAsia="宋体" w:cs="Times New Roman"/>
                      <w:i w:val="0"/>
                      <w:iCs w:val="0"/>
                      <w:color w:val="000000"/>
                      <w:sz w:val="21"/>
                      <w:szCs w:val="21"/>
                      <w:u w:val="none"/>
                    </w:rPr>
                  </w:pPr>
                </w:p>
              </w:tc>
              <w:tc>
                <w:tcPr>
                  <w:tcW w:w="1584" w:type="dxa"/>
                  <w:vMerge w:val="continue"/>
                  <w:tcBorders>
                    <w:tl2br w:val="nil"/>
                    <w:tr2bl w:val="nil"/>
                  </w:tcBorders>
                  <w:shd w:val="clear" w:color="auto" w:fill="auto"/>
                  <w:vAlign w:val="center"/>
                </w:tcPr>
                <w:p w14:paraId="297F6594">
                  <w:pPr>
                    <w:jc w:val="center"/>
                    <w:rPr>
                      <w:rFonts w:hint="default" w:ascii="Times New Roman" w:hAnsi="Times New Roman" w:eastAsia="宋体" w:cs="Times New Roman"/>
                      <w:i w:val="0"/>
                      <w:iCs w:val="0"/>
                      <w:color w:val="000000"/>
                      <w:sz w:val="21"/>
                      <w:szCs w:val="21"/>
                      <w:u w:val="none"/>
                    </w:rPr>
                  </w:pPr>
                </w:p>
              </w:tc>
              <w:tc>
                <w:tcPr>
                  <w:tcW w:w="1222" w:type="dxa"/>
                  <w:vMerge w:val="continue"/>
                  <w:tcBorders>
                    <w:tl2br w:val="nil"/>
                    <w:tr2bl w:val="nil"/>
                  </w:tcBorders>
                  <w:shd w:val="clear" w:color="auto" w:fill="auto"/>
                  <w:vAlign w:val="center"/>
                </w:tcPr>
                <w:p w14:paraId="60FF019F">
                  <w:pPr>
                    <w:jc w:val="center"/>
                    <w:rPr>
                      <w:rFonts w:hint="default" w:ascii="Times New Roman" w:hAnsi="Times New Roman" w:eastAsia="宋体" w:cs="Times New Roman"/>
                      <w:i w:val="0"/>
                      <w:iCs w:val="0"/>
                      <w:color w:val="000000"/>
                      <w:sz w:val="21"/>
                      <w:szCs w:val="21"/>
                      <w:u w:val="none"/>
                    </w:rPr>
                  </w:pPr>
                </w:p>
              </w:tc>
              <w:tc>
                <w:tcPr>
                  <w:tcW w:w="1260" w:type="dxa"/>
                  <w:vMerge w:val="continue"/>
                  <w:tcBorders>
                    <w:tl2br w:val="nil"/>
                    <w:tr2bl w:val="nil"/>
                  </w:tcBorders>
                  <w:shd w:val="clear" w:color="auto" w:fill="auto"/>
                  <w:vAlign w:val="center"/>
                </w:tcPr>
                <w:p w14:paraId="51CDE2A4">
                  <w:pPr>
                    <w:jc w:val="center"/>
                    <w:rPr>
                      <w:rFonts w:hint="default" w:ascii="Times New Roman" w:hAnsi="Times New Roman" w:eastAsia="宋体" w:cs="Times New Roman"/>
                      <w:i w:val="0"/>
                      <w:iCs w:val="0"/>
                      <w:color w:val="000000"/>
                      <w:sz w:val="21"/>
                      <w:szCs w:val="21"/>
                      <w:u w:val="none"/>
                    </w:rPr>
                  </w:pPr>
                </w:p>
              </w:tc>
              <w:tc>
                <w:tcPr>
                  <w:tcW w:w="805" w:type="dxa"/>
                  <w:vMerge w:val="continue"/>
                  <w:tcBorders>
                    <w:tl2br w:val="nil"/>
                    <w:tr2bl w:val="nil"/>
                  </w:tcBorders>
                  <w:shd w:val="clear" w:color="auto" w:fill="auto"/>
                  <w:vAlign w:val="center"/>
                </w:tcPr>
                <w:p w14:paraId="23310A59">
                  <w:pPr>
                    <w:jc w:val="center"/>
                    <w:rPr>
                      <w:rFonts w:hint="default" w:ascii="Times New Roman" w:hAnsi="Times New Roman" w:eastAsia="宋体" w:cs="Times New Roman"/>
                      <w:i w:val="0"/>
                      <w:iCs w:val="0"/>
                      <w:color w:val="000000"/>
                      <w:sz w:val="21"/>
                      <w:szCs w:val="21"/>
                      <w:u w:val="none"/>
                    </w:rPr>
                  </w:pPr>
                </w:p>
              </w:tc>
              <w:tc>
                <w:tcPr>
                  <w:tcW w:w="1379" w:type="dxa"/>
                  <w:tcBorders>
                    <w:tl2br w:val="nil"/>
                    <w:tr2bl w:val="nil"/>
                  </w:tcBorders>
                  <w:shd w:val="clear" w:color="auto" w:fill="auto"/>
                  <w:vAlign w:val="center"/>
                </w:tcPr>
                <w:p w14:paraId="2297A5F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色度</w:t>
                  </w:r>
                </w:p>
              </w:tc>
              <w:tc>
                <w:tcPr>
                  <w:tcW w:w="1895" w:type="dxa"/>
                  <w:tcBorders>
                    <w:tl2br w:val="nil"/>
                    <w:tr2bl w:val="nil"/>
                  </w:tcBorders>
                  <w:shd w:val="clear" w:color="auto" w:fill="auto"/>
                  <w:vAlign w:val="center"/>
                </w:tcPr>
                <w:p w14:paraId="5F879F5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732" w:type="dxa"/>
                  <w:vMerge w:val="continue"/>
                  <w:tcBorders>
                    <w:tl2br w:val="nil"/>
                    <w:tr2bl w:val="nil"/>
                  </w:tcBorders>
                  <w:shd w:val="clear" w:color="auto" w:fill="auto"/>
                  <w:vAlign w:val="center"/>
                </w:tcPr>
                <w:p w14:paraId="60FCDFA8">
                  <w:pPr>
                    <w:jc w:val="center"/>
                    <w:rPr>
                      <w:rFonts w:hint="default" w:ascii="Times New Roman" w:hAnsi="Times New Roman" w:eastAsia="宋体" w:cs="Times New Roman"/>
                      <w:i w:val="0"/>
                      <w:iCs w:val="0"/>
                      <w:color w:val="000000"/>
                      <w:sz w:val="21"/>
                      <w:szCs w:val="21"/>
                      <w:u w:val="none"/>
                    </w:rPr>
                  </w:pPr>
                </w:p>
              </w:tc>
              <w:tc>
                <w:tcPr>
                  <w:tcW w:w="873" w:type="dxa"/>
                  <w:vMerge w:val="continue"/>
                  <w:tcBorders>
                    <w:tl2br w:val="nil"/>
                    <w:tr2bl w:val="nil"/>
                  </w:tcBorders>
                  <w:shd w:val="clear" w:color="auto" w:fill="auto"/>
                  <w:vAlign w:val="center"/>
                </w:tcPr>
                <w:p w14:paraId="097B4908">
                  <w:pPr>
                    <w:jc w:val="center"/>
                    <w:rPr>
                      <w:rFonts w:hint="default" w:ascii="Times New Roman" w:hAnsi="Times New Roman" w:eastAsia="宋体" w:cs="Times New Roman"/>
                      <w:i w:val="0"/>
                      <w:iCs w:val="0"/>
                      <w:color w:val="000000"/>
                      <w:sz w:val="21"/>
                      <w:szCs w:val="21"/>
                      <w:u w:val="none"/>
                    </w:rPr>
                  </w:pPr>
                </w:p>
              </w:tc>
            </w:tr>
            <w:tr w14:paraId="2D5E6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44" w:hRule="atLeast"/>
                <w:jc w:val="center"/>
              </w:trPr>
              <w:tc>
                <w:tcPr>
                  <w:tcW w:w="469" w:type="dxa"/>
                  <w:vMerge w:val="continue"/>
                  <w:tcBorders>
                    <w:tl2br w:val="nil"/>
                    <w:tr2bl w:val="nil"/>
                  </w:tcBorders>
                  <w:shd w:val="clear" w:color="auto" w:fill="auto"/>
                  <w:vAlign w:val="center"/>
                </w:tcPr>
                <w:p w14:paraId="43CB427B">
                  <w:pPr>
                    <w:jc w:val="center"/>
                    <w:rPr>
                      <w:rFonts w:hint="default" w:ascii="Times New Roman" w:hAnsi="Times New Roman" w:eastAsia="宋体" w:cs="Times New Roman"/>
                      <w:i w:val="0"/>
                      <w:iCs w:val="0"/>
                      <w:color w:val="000000"/>
                      <w:sz w:val="21"/>
                      <w:szCs w:val="21"/>
                      <w:u w:val="none"/>
                    </w:rPr>
                  </w:pPr>
                </w:p>
              </w:tc>
              <w:tc>
                <w:tcPr>
                  <w:tcW w:w="965" w:type="dxa"/>
                  <w:vMerge w:val="continue"/>
                  <w:tcBorders>
                    <w:tl2br w:val="nil"/>
                    <w:tr2bl w:val="nil"/>
                  </w:tcBorders>
                  <w:shd w:val="clear" w:color="auto" w:fill="auto"/>
                  <w:vAlign w:val="center"/>
                </w:tcPr>
                <w:p w14:paraId="138DE7C1">
                  <w:pPr>
                    <w:jc w:val="center"/>
                    <w:rPr>
                      <w:rFonts w:hint="default" w:ascii="Times New Roman" w:hAnsi="Times New Roman" w:eastAsia="宋体" w:cs="Times New Roman"/>
                      <w:i w:val="0"/>
                      <w:iCs w:val="0"/>
                      <w:color w:val="000000"/>
                      <w:sz w:val="21"/>
                      <w:szCs w:val="21"/>
                      <w:u w:val="none"/>
                    </w:rPr>
                  </w:pPr>
                </w:p>
              </w:tc>
              <w:tc>
                <w:tcPr>
                  <w:tcW w:w="992" w:type="dxa"/>
                  <w:vMerge w:val="continue"/>
                  <w:tcBorders>
                    <w:tl2br w:val="nil"/>
                    <w:tr2bl w:val="nil"/>
                  </w:tcBorders>
                  <w:shd w:val="clear" w:color="auto" w:fill="auto"/>
                  <w:vAlign w:val="center"/>
                </w:tcPr>
                <w:p w14:paraId="2114D977">
                  <w:pPr>
                    <w:jc w:val="center"/>
                    <w:rPr>
                      <w:rFonts w:hint="default" w:ascii="Times New Roman" w:hAnsi="Times New Roman" w:eastAsia="宋体" w:cs="Times New Roman"/>
                      <w:i w:val="0"/>
                      <w:iCs w:val="0"/>
                      <w:color w:val="000000"/>
                      <w:sz w:val="21"/>
                      <w:szCs w:val="21"/>
                      <w:u w:val="none"/>
                    </w:rPr>
                  </w:pPr>
                </w:p>
              </w:tc>
              <w:tc>
                <w:tcPr>
                  <w:tcW w:w="1584" w:type="dxa"/>
                  <w:vMerge w:val="continue"/>
                  <w:tcBorders>
                    <w:tl2br w:val="nil"/>
                    <w:tr2bl w:val="nil"/>
                  </w:tcBorders>
                  <w:shd w:val="clear" w:color="auto" w:fill="auto"/>
                  <w:vAlign w:val="center"/>
                </w:tcPr>
                <w:p w14:paraId="2BC479A4">
                  <w:pPr>
                    <w:jc w:val="center"/>
                    <w:rPr>
                      <w:rFonts w:hint="default" w:ascii="Times New Roman" w:hAnsi="Times New Roman" w:eastAsia="宋体" w:cs="Times New Roman"/>
                      <w:i w:val="0"/>
                      <w:iCs w:val="0"/>
                      <w:color w:val="000000"/>
                      <w:sz w:val="21"/>
                      <w:szCs w:val="21"/>
                      <w:u w:val="none"/>
                    </w:rPr>
                  </w:pPr>
                </w:p>
              </w:tc>
              <w:tc>
                <w:tcPr>
                  <w:tcW w:w="1222" w:type="dxa"/>
                  <w:vMerge w:val="continue"/>
                  <w:tcBorders>
                    <w:tl2br w:val="nil"/>
                    <w:tr2bl w:val="nil"/>
                  </w:tcBorders>
                  <w:shd w:val="clear" w:color="auto" w:fill="auto"/>
                  <w:vAlign w:val="center"/>
                </w:tcPr>
                <w:p w14:paraId="6C68855A">
                  <w:pPr>
                    <w:jc w:val="center"/>
                    <w:rPr>
                      <w:rFonts w:hint="default" w:ascii="Times New Roman" w:hAnsi="Times New Roman" w:eastAsia="宋体" w:cs="Times New Roman"/>
                      <w:i w:val="0"/>
                      <w:iCs w:val="0"/>
                      <w:color w:val="000000"/>
                      <w:sz w:val="21"/>
                      <w:szCs w:val="21"/>
                      <w:u w:val="none"/>
                    </w:rPr>
                  </w:pPr>
                </w:p>
              </w:tc>
              <w:tc>
                <w:tcPr>
                  <w:tcW w:w="1260" w:type="dxa"/>
                  <w:vMerge w:val="continue"/>
                  <w:tcBorders>
                    <w:tl2br w:val="nil"/>
                    <w:tr2bl w:val="nil"/>
                  </w:tcBorders>
                  <w:shd w:val="clear" w:color="auto" w:fill="auto"/>
                  <w:vAlign w:val="center"/>
                </w:tcPr>
                <w:p w14:paraId="2812E41D">
                  <w:pPr>
                    <w:jc w:val="center"/>
                    <w:rPr>
                      <w:rFonts w:hint="default" w:ascii="Times New Roman" w:hAnsi="Times New Roman" w:eastAsia="宋体" w:cs="Times New Roman"/>
                      <w:i w:val="0"/>
                      <w:iCs w:val="0"/>
                      <w:color w:val="000000"/>
                      <w:sz w:val="21"/>
                      <w:szCs w:val="21"/>
                      <w:u w:val="none"/>
                    </w:rPr>
                  </w:pPr>
                </w:p>
              </w:tc>
              <w:tc>
                <w:tcPr>
                  <w:tcW w:w="805" w:type="dxa"/>
                  <w:vMerge w:val="continue"/>
                  <w:tcBorders>
                    <w:tl2br w:val="nil"/>
                    <w:tr2bl w:val="nil"/>
                  </w:tcBorders>
                  <w:shd w:val="clear" w:color="auto" w:fill="auto"/>
                  <w:vAlign w:val="center"/>
                </w:tcPr>
                <w:p w14:paraId="2A7FFE3E">
                  <w:pPr>
                    <w:jc w:val="center"/>
                    <w:rPr>
                      <w:rFonts w:hint="default" w:ascii="Times New Roman" w:hAnsi="Times New Roman" w:eastAsia="宋体" w:cs="Times New Roman"/>
                      <w:i w:val="0"/>
                      <w:iCs w:val="0"/>
                      <w:color w:val="000000"/>
                      <w:sz w:val="21"/>
                      <w:szCs w:val="21"/>
                      <w:u w:val="none"/>
                    </w:rPr>
                  </w:pPr>
                </w:p>
              </w:tc>
              <w:tc>
                <w:tcPr>
                  <w:tcW w:w="1379" w:type="dxa"/>
                  <w:tcBorders>
                    <w:tl2br w:val="nil"/>
                    <w:tr2bl w:val="nil"/>
                  </w:tcBorders>
                  <w:shd w:val="clear" w:color="auto" w:fill="auto"/>
                  <w:vAlign w:val="center"/>
                </w:tcPr>
                <w:p w14:paraId="5DAC9E0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TOC</w:t>
                  </w:r>
                </w:p>
              </w:tc>
              <w:tc>
                <w:tcPr>
                  <w:tcW w:w="1895" w:type="dxa"/>
                  <w:tcBorders>
                    <w:tl2br w:val="nil"/>
                    <w:tr2bl w:val="nil"/>
                  </w:tcBorders>
                  <w:shd w:val="clear" w:color="auto" w:fill="auto"/>
                  <w:vAlign w:val="center"/>
                </w:tcPr>
                <w:p w14:paraId="572FE74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732" w:type="dxa"/>
                  <w:vMerge w:val="continue"/>
                  <w:tcBorders>
                    <w:tl2br w:val="nil"/>
                    <w:tr2bl w:val="nil"/>
                  </w:tcBorders>
                  <w:shd w:val="clear" w:color="auto" w:fill="auto"/>
                  <w:vAlign w:val="center"/>
                </w:tcPr>
                <w:p w14:paraId="0B9CCB50">
                  <w:pPr>
                    <w:jc w:val="center"/>
                    <w:rPr>
                      <w:rFonts w:hint="default" w:ascii="Times New Roman" w:hAnsi="Times New Roman" w:eastAsia="宋体" w:cs="Times New Roman"/>
                      <w:i w:val="0"/>
                      <w:iCs w:val="0"/>
                      <w:color w:val="000000"/>
                      <w:sz w:val="21"/>
                      <w:szCs w:val="21"/>
                      <w:u w:val="none"/>
                    </w:rPr>
                  </w:pPr>
                </w:p>
              </w:tc>
              <w:tc>
                <w:tcPr>
                  <w:tcW w:w="873" w:type="dxa"/>
                  <w:vMerge w:val="continue"/>
                  <w:tcBorders>
                    <w:tl2br w:val="nil"/>
                    <w:tr2bl w:val="nil"/>
                  </w:tcBorders>
                  <w:shd w:val="clear" w:color="auto" w:fill="auto"/>
                  <w:vAlign w:val="center"/>
                </w:tcPr>
                <w:p w14:paraId="27207553">
                  <w:pPr>
                    <w:jc w:val="center"/>
                    <w:rPr>
                      <w:rFonts w:hint="default" w:ascii="Times New Roman" w:hAnsi="Times New Roman" w:eastAsia="宋体" w:cs="Times New Roman"/>
                      <w:i w:val="0"/>
                      <w:iCs w:val="0"/>
                      <w:color w:val="000000"/>
                      <w:sz w:val="21"/>
                      <w:szCs w:val="21"/>
                      <w:u w:val="none"/>
                    </w:rPr>
                  </w:pPr>
                </w:p>
              </w:tc>
            </w:tr>
            <w:tr w14:paraId="638D2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44" w:hRule="atLeast"/>
                <w:jc w:val="center"/>
              </w:trPr>
              <w:tc>
                <w:tcPr>
                  <w:tcW w:w="469" w:type="dxa"/>
                  <w:vMerge w:val="continue"/>
                  <w:tcBorders>
                    <w:tl2br w:val="nil"/>
                    <w:tr2bl w:val="nil"/>
                  </w:tcBorders>
                  <w:shd w:val="clear" w:color="auto" w:fill="auto"/>
                  <w:vAlign w:val="center"/>
                </w:tcPr>
                <w:p w14:paraId="49CFBADF">
                  <w:pPr>
                    <w:jc w:val="center"/>
                    <w:rPr>
                      <w:rFonts w:hint="default" w:ascii="Times New Roman" w:hAnsi="Times New Roman" w:eastAsia="宋体" w:cs="Times New Roman"/>
                      <w:i w:val="0"/>
                      <w:iCs w:val="0"/>
                      <w:color w:val="000000"/>
                      <w:sz w:val="21"/>
                      <w:szCs w:val="21"/>
                      <w:u w:val="none"/>
                    </w:rPr>
                  </w:pPr>
                </w:p>
              </w:tc>
              <w:tc>
                <w:tcPr>
                  <w:tcW w:w="965" w:type="dxa"/>
                  <w:vMerge w:val="continue"/>
                  <w:tcBorders>
                    <w:tl2br w:val="nil"/>
                    <w:tr2bl w:val="nil"/>
                  </w:tcBorders>
                  <w:shd w:val="clear" w:color="auto" w:fill="auto"/>
                  <w:vAlign w:val="center"/>
                </w:tcPr>
                <w:p w14:paraId="663FB810">
                  <w:pPr>
                    <w:jc w:val="center"/>
                    <w:rPr>
                      <w:rFonts w:hint="default" w:ascii="Times New Roman" w:hAnsi="Times New Roman" w:eastAsia="宋体" w:cs="Times New Roman"/>
                      <w:i w:val="0"/>
                      <w:iCs w:val="0"/>
                      <w:color w:val="000000"/>
                      <w:sz w:val="21"/>
                      <w:szCs w:val="21"/>
                      <w:u w:val="none"/>
                    </w:rPr>
                  </w:pPr>
                </w:p>
              </w:tc>
              <w:tc>
                <w:tcPr>
                  <w:tcW w:w="992" w:type="dxa"/>
                  <w:vMerge w:val="continue"/>
                  <w:tcBorders>
                    <w:tl2br w:val="nil"/>
                    <w:tr2bl w:val="nil"/>
                  </w:tcBorders>
                  <w:shd w:val="clear" w:color="auto" w:fill="auto"/>
                  <w:vAlign w:val="center"/>
                </w:tcPr>
                <w:p w14:paraId="5A745806">
                  <w:pPr>
                    <w:jc w:val="center"/>
                    <w:rPr>
                      <w:rFonts w:hint="default" w:ascii="Times New Roman" w:hAnsi="Times New Roman" w:eastAsia="宋体" w:cs="Times New Roman"/>
                      <w:i w:val="0"/>
                      <w:iCs w:val="0"/>
                      <w:color w:val="000000"/>
                      <w:sz w:val="21"/>
                      <w:szCs w:val="21"/>
                      <w:u w:val="none"/>
                    </w:rPr>
                  </w:pPr>
                </w:p>
              </w:tc>
              <w:tc>
                <w:tcPr>
                  <w:tcW w:w="1584" w:type="dxa"/>
                  <w:vMerge w:val="continue"/>
                  <w:tcBorders>
                    <w:tl2br w:val="nil"/>
                    <w:tr2bl w:val="nil"/>
                  </w:tcBorders>
                  <w:shd w:val="clear" w:color="auto" w:fill="auto"/>
                  <w:vAlign w:val="center"/>
                </w:tcPr>
                <w:p w14:paraId="3B15D32D">
                  <w:pPr>
                    <w:jc w:val="center"/>
                    <w:rPr>
                      <w:rFonts w:hint="default" w:ascii="Times New Roman" w:hAnsi="Times New Roman" w:eastAsia="宋体" w:cs="Times New Roman"/>
                      <w:i w:val="0"/>
                      <w:iCs w:val="0"/>
                      <w:color w:val="000000"/>
                      <w:sz w:val="21"/>
                      <w:szCs w:val="21"/>
                      <w:u w:val="none"/>
                    </w:rPr>
                  </w:pPr>
                </w:p>
              </w:tc>
              <w:tc>
                <w:tcPr>
                  <w:tcW w:w="1222" w:type="dxa"/>
                  <w:vMerge w:val="continue"/>
                  <w:tcBorders>
                    <w:tl2br w:val="nil"/>
                    <w:tr2bl w:val="nil"/>
                  </w:tcBorders>
                  <w:shd w:val="clear" w:color="auto" w:fill="auto"/>
                  <w:vAlign w:val="center"/>
                </w:tcPr>
                <w:p w14:paraId="5FE5F262">
                  <w:pPr>
                    <w:jc w:val="center"/>
                    <w:rPr>
                      <w:rFonts w:hint="default" w:ascii="Times New Roman" w:hAnsi="Times New Roman" w:eastAsia="宋体" w:cs="Times New Roman"/>
                      <w:i w:val="0"/>
                      <w:iCs w:val="0"/>
                      <w:color w:val="000000"/>
                      <w:sz w:val="21"/>
                      <w:szCs w:val="21"/>
                      <w:u w:val="none"/>
                    </w:rPr>
                  </w:pPr>
                </w:p>
              </w:tc>
              <w:tc>
                <w:tcPr>
                  <w:tcW w:w="1260" w:type="dxa"/>
                  <w:vMerge w:val="continue"/>
                  <w:tcBorders>
                    <w:tl2br w:val="nil"/>
                    <w:tr2bl w:val="nil"/>
                  </w:tcBorders>
                  <w:shd w:val="clear" w:color="auto" w:fill="auto"/>
                  <w:vAlign w:val="center"/>
                </w:tcPr>
                <w:p w14:paraId="4F1F4364">
                  <w:pPr>
                    <w:jc w:val="center"/>
                    <w:rPr>
                      <w:rFonts w:hint="default" w:ascii="Times New Roman" w:hAnsi="Times New Roman" w:eastAsia="宋体" w:cs="Times New Roman"/>
                      <w:i w:val="0"/>
                      <w:iCs w:val="0"/>
                      <w:color w:val="000000"/>
                      <w:sz w:val="21"/>
                      <w:szCs w:val="21"/>
                      <w:u w:val="none"/>
                    </w:rPr>
                  </w:pPr>
                </w:p>
              </w:tc>
              <w:tc>
                <w:tcPr>
                  <w:tcW w:w="805" w:type="dxa"/>
                  <w:vMerge w:val="continue"/>
                  <w:tcBorders>
                    <w:tl2br w:val="nil"/>
                    <w:tr2bl w:val="nil"/>
                  </w:tcBorders>
                  <w:shd w:val="clear" w:color="auto" w:fill="auto"/>
                  <w:vAlign w:val="center"/>
                </w:tcPr>
                <w:p w14:paraId="6FEAA781">
                  <w:pPr>
                    <w:jc w:val="center"/>
                    <w:rPr>
                      <w:rFonts w:hint="default" w:ascii="Times New Roman" w:hAnsi="Times New Roman" w:eastAsia="宋体" w:cs="Times New Roman"/>
                      <w:i w:val="0"/>
                      <w:iCs w:val="0"/>
                      <w:color w:val="000000"/>
                      <w:sz w:val="21"/>
                      <w:szCs w:val="21"/>
                      <w:u w:val="none"/>
                    </w:rPr>
                  </w:pPr>
                </w:p>
              </w:tc>
              <w:tc>
                <w:tcPr>
                  <w:tcW w:w="1379" w:type="dxa"/>
                  <w:tcBorders>
                    <w:tl2br w:val="nil"/>
                    <w:tr2bl w:val="nil"/>
                  </w:tcBorders>
                  <w:shd w:val="clear" w:color="auto" w:fill="auto"/>
                  <w:vAlign w:val="center"/>
                </w:tcPr>
                <w:p w14:paraId="34E4818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COD</w:t>
                  </w:r>
                </w:p>
              </w:tc>
              <w:tc>
                <w:tcPr>
                  <w:tcW w:w="1895" w:type="dxa"/>
                  <w:tcBorders>
                    <w:tl2br w:val="nil"/>
                    <w:tr2bl w:val="nil"/>
                  </w:tcBorders>
                  <w:shd w:val="clear" w:color="auto" w:fill="auto"/>
                  <w:vAlign w:val="center"/>
                </w:tcPr>
                <w:p w14:paraId="426130F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500</w:t>
                  </w:r>
                </w:p>
              </w:tc>
              <w:tc>
                <w:tcPr>
                  <w:tcW w:w="1732" w:type="dxa"/>
                  <w:vMerge w:val="continue"/>
                  <w:tcBorders>
                    <w:tl2br w:val="nil"/>
                    <w:tr2bl w:val="nil"/>
                  </w:tcBorders>
                  <w:shd w:val="clear" w:color="auto" w:fill="auto"/>
                  <w:vAlign w:val="center"/>
                </w:tcPr>
                <w:p w14:paraId="3078033D">
                  <w:pPr>
                    <w:jc w:val="center"/>
                    <w:rPr>
                      <w:rFonts w:hint="default" w:ascii="Times New Roman" w:hAnsi="Times New Roman" w:eastAsia="宋体" w:cs="Times New Roman"/>
                      <w:i w:val="0"/>
                      <w:iCs w:val="0"/>
                      <w:color w:val="000000"/>
                      <w:sz w:val="21"/>
                      <w:szCs w:val="21"/>
                      <w:u w:val="none"/>
                    </w:rPr>
                  </w:pPr>
                </w:p>
              </w:tc>
              <w:tc>
                <w:tcPr>
                  <w:tcW w:w="873" w:type="dxa"/>
                  <w:vMerge w:val="continue"/>
                  <w:tcBorders>
                    <w:tl2br w:val="nil"/>
                    <w:tr2bl w:val="nil"/>
                  </w:tcBorders>
                  <w:shd w:val="clear" w:color="auto" w:fill="auto"/>
                  <w:vAlign w:val="center"/>
                </w:tcPr>
                <w:p w14:paraId="4FFEFB52">
                  <w:pPr>
                    <w:jc w:val="center"/>
                    <w:rPr>
                      <w:rFonts w:hint="default" w:ascii="Times New Roman" w:hAnsi="Times New Roman" w:eastAsia="宋体" w:cs="Times New Roman"/>
                      <w:i w:val="0"/>
                      <w:iCs w:val="0"/>
                      <w:color w:val="000000"/>
                      <w:sz w:val="21"/>
                      <w:szCs w:val="21"/>
                      <w:u w:val="none"/>
                    </w:rPr>
                  </w:pPr>
                </w:p>
              </w:tc>
            </w:tr>
            <w:tr w14:paraId="40358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44" w:hRule="atLeast"/>
                <w:jc w:val="center"/>
              </w:trPr>
              <w:tc>
                <w:tcPr>
                  <w:tcW w:w="469" w:type="dxa"/>
                  <w:vMerge w:val="continue"/>
                  <w:tcBorders>
                    <w:tl2br w:val="nil"/>
                    <w:tr2bl w:val="nil"/>
                  </w:tcBorders>
                  <w:shd w:val="clear" w:color="auto" w:fill="auto"/>
                  <w:vAlign w:val="center"/>
                </w:tcPr>
                <w:p w14:paraId="07687950">
                  <w:pPr>
                    <w:jc w:val="center"/>
                    <w:rPr>
                      <w:rFonts w:hint="default" w:ascii="Times New Roman" w:hAnsi="Times New Roman" w:eastAsia="宋体" w:cs="Times New Roman"/>
                      <w:i w:val="0"/>
                      <w:iCs w:val="0"/>
                      <w:color w:val="000000"/>
                      <w:sz w:val="21"/>
                      <w:szCs w:val="21"/>
                      <w:u w:val="none"/>
                    </w:rPr>
                  </w:pPr>
                </w:p>
              </w:tc>
              <w:tc>
                <w:tcPr>
                  <w:tcW w:w="965" w:type="dxa"/>
                  <w:vMerge w:val="continue"/>
                  <w:tcBorders>
                    <w:tl2br w:val="nil"/>
                    <w:tr2bl w:val="nil"/>
                  </w:tcBorders>
                  <w:shd w:val="clear" w:color="auto" w:fill="auto"/>
                  <w:vAlign w:val="center"/>
                </w:tcPr>
                <w:p w14:paraId="3222BD16">
                  <w:pPr>
                    <w:jc w:val="center"/>
                    <w:rPr>
                      <w:rFonts w:hint="default" w:ascii="Times New Roman" w:hAnsi="Times New Roman" w:eastAsia="宋体" w:cs="Times New Roman"/>
                      <w:i w:val="0"/>
                      <w:iCs w:val="0"/>
                      <w:color w:val="000000"/>
                      <w:sz w:val="21"/>
                      <w:szCs w:val="21"/>
                      <w:u w:val="none"/>
                    </w:rPr>
                  </w:pPr>
                </w:p>
              </w:tc>
              <w:tc>
                <w:tcPr>
                  <w:tcW w:w="992" w:type="dxa"/>
                  <w:vMerge w:val="continue"/>
                  <w:tcBorders>
                    <w:tl2br w:val="nil"/>
                    <w:tr2bl w:val="nil"/>
                  </w:tcBorders>
                  <w:shd w:val="clear" w:color="auto" w:fill="auto"/>
                  <w:vAlign w:val="center"/>
                </w:tcPr>
                <w:p w14:paraId="204D6477">
                  <w:pPr>
                    <w:jc w:val="center"/>
                    <w:rPr>
                      <w:rFonts w:hint="default" w:ascii="Times New Roman" w:hAnsi="Times New Roman" w:eastAsia="宋体" w:cs="Times New Roman"/>
                      <w:i w:val="0"/>
                      <w:iCs w:val="0"/>
                      <w:color w:val="000000"/>
                      <w:sz w:val="21"/>
                      <w:szCs w:val="21"/>
                      <w:u w:val="none"/>
                    </w:rPr>
                  </w:pPr>
                </w:p>
              </w:tc>
              <w:tc>
                <w:tcPr>
                  <w:tcW w:w="1584" w:type="dxa"/>
                  <w:vMerge w:val="continue"/>
                  <w:tcBorders>
                    <w:tl2br w:val="nil"/>
                    <w:tr2bl w:val="nil"/>
                  </w:tcBorders>
                  <w:shd w:val="clear" w:color="auto" w:fill="auto"/>
                  <w:vAlign w:val="center"/>
                </w:tcPr>
                <w:p w14:paraId="67F9C6FD">
                  <w:pPr>
                    <w:jc w:val="center"/>
                    <w:rPr>
                      <w:rFonts w:hint="default" w:ascii="Times New Roman" w:hAnsi="Times New Roman" w:eastAsia="宋体" w:cs="Times New Roman"/>
                      <w:i w:val="0"/>
                      <w:iCs w:val="0"/>
                      <w:color w:val="000000"/>
                      <w:sz w:val="21"/>
                      <w:szCs w:val="21"/>
                      <w:u w:val="none"/>
                    </w:rPr>
                  </w:pPr>
                </w:p>
              </w:tc>
              <w:tc>
                <w:tcPr>
                  <w:tcW w:w="1222" w:type="dxa"/>
                  <w:vMerge w:val="continue"/>
                  <w:tcBorders>
                    <w:tl2br w:val="nil"/>
                    <w:tr2bl w:val="nil"/>
                  </w:tcBorders>
                  <w:shd w:val="clear" w:color="auto" w:fill="auto"/>
                  <w:vAlign w:val="center"/>
                </w:tcPr>
                <w:p w14:paraId="13893398">
                  <w:pPr>
                    <w:jc w:val="center"/>
                    <w:rPr>
                      <w:rFonts w:hint="default" w:ascii="Times New Roman" w:hAnsi="Times New Roman" w:eastAsia="宋体" w:cs="Times New Roman"/>
                      <w:i w:val="0"/>
                      <w:iCs w:val="0"/>
                      <w:color w:val="000000"/>
                      <w:sz w:val="21"/>
                      <w:szCs w:val="21"/>
                      <w:u w:val="none"/>
                    </w:rPr>
                  </w:pPr>
                </w:p>
              </w:tc>
              <w:tc>
                <w:tcPr>
                  <w:tcW w:w="1260" w:type="dxa"/>
                  <w:vMerge w:val="continue"/>
                  <w:tcBorders>
                    <w:tl2br w:val="nil"/>
                    <w:tr2bl w:val="nil"/>
                  </w:tcBorders>
                  <w:shd w:val="clear" w:color="auto" w:fill="auto"/>
                  <w:vAlign w:val="center"/>
                </w:tcPr>
                <w:p w14:paraId="2E845309">
                  <w:pPr>
                    <w:jc w:val="center"/>
                    <w:rPr>
                      <w:rFonts w:hint="default" w:ascii="Times New Roman" w:hAnsi="Times New Roman" w:eastAsia="宋体" w:cs="Times New Roman"/>
                      <w:i w:val="0"/>
                      <w:iCs w:val="0"/>
                      <w:color w:val="000000"/>
                      <w:sz w:val="21"/>
                      <w:szCs w:val="21"/>
                      <w:u w:val="none"/>
                    </w:rPr>
                  </w:pPr>
                </w:p>
              </w:tc>
              <w:tc>
                <w:tcPr>
                  <w:tcW w:w="805" w:type="dxa"/>
                  <w:vMerge w:val="continue"/>
                  <w:tcBorders>
                    <w:tl2br w:val="nil"/>
                    <w:tr2bl w:val="nil"/>
                  </w:tcBorders>
                  <w:shd w:val="clear" w:color="auto" w:fill="auto"/>
                  <w:vAlign w:val="center"/>
                </w:tcPr>
                <w:p w14:paraId="07030664">
                  <w:pPr>
                    <w:jc w:val="center"/>
                    <w:rPr>
                      <w:rFonts w:hint="default" w:ascii="Times New Roman" w:hAnsi="Times New Roman" w:eastAsia="宋体" w:cs="Times New Roman"/>
                      <w:i w:val="0"/>
                      <w:iCs w:val="0"/>
                      <w:color w:val="000000"/>
                      <w:sz w:val="21"/>
                      <w:szCs w:val="21"/>
                      <w:u w:val="none"/>
                    </w:rPr>
                  </w:pPr>
                </w:p>
              </w:tc>
              <w:tc>
                <w:tcPr>
                  <w:tcW w:w="1379" w:type="dxa"/>
                  <w:tcBorders>
                    <w:tl2br w:val="nil"/>
                    <w:tr2bl w:val="nil"/>
                  </w:tcBorders>
                  <w:shd w:val="clear" w:color="auto" w:fill="auto"/>
                  <w:vAlign w:val="center"/>
                </w:tcPr>
                <w:p w14:paraId="4FFCC8B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BOD</w:t>
                  </w:r>
                  <w:r>
                    <w:rPr>
                      <w:rFonts w:hint="default" w:ascii="Times New Roman" w:hAnsi="Times New Roman" w:eastAsia="宋体" w:cs="Times New Roman"/>
                      <w:i w:val="0"/>
                      <w:iCs w:val="0"/>
                      <w:color w:val="000000"/>
                      <w:kern w:val="0"/>
                      <w:sz w:val="21"/>
                      <w:szCs w:val="21"/>
                      <w:u w:val="none"/>
                      <w:vertAlign w:val="subscript"/>
                      <w:lang w:val="en-US" w:eastAsia="zh-CN" w:bidi="ar"/>
                    </w:rPr>
                    <w:t>5</w:t>
                  </w:r>
                </w:p>
              </w:tc>
              <w:tc>
                <w:tcPr>
                  <w:tcW w:w="1895" w:type="dxa"/>
                  <w:tcBorders>
                    <w:tl2br w:val="nil"/>
                    <w:tr2bl w:val="nil"/>
                  </w:tcBorders>
                  <w:shd w:val="clear" w:color="auto" w:fill="auto"/>
                  <w:vAlign w:val="center"/>
                </w:tcPr>
                <w:p w14:paraId="16B0200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150</w:t>
                  </w:r>
                </w:p>
              </w:tc>
              <w:tc>
                <w:tcPr>
                  <w:tcW w:w="1732" w:type="dxa"/>
                  <w:vMerge w:val="continue"/>
                  <w:tcBorders>
                    <w:tl2br w:val="nil"/>
                    <w:tr2bl w:val="nil"/>
                  </w:tcBorders>
                  <w:shd w:val="clear" w:color="auto" w:fill="auto"/>
                  <w:vAlign w:val="center"/>
                </w:tcPr>
                <w:p w14:paraId="27A1227A">
                  <w:pPr>
                    <w:jc w:val="center"/>
                    <w:rPr>
                      <w:rFonts w:hint="default" w:ascii="Times New Roman" w:hAnsi="Times New Roman" w:eastAsia="宋体" w:cs="Times New Roman"/>
                      <w:i w:val="0"/>
                      <w:iCs w:val="0"/>
                      <w:color w:val="000000"/>
                      <w:sz w:val="21"/>
                      <w:szCs w:val="21"/>
                      <w:u w:val="none"/>
                    </w:rPr>
                  </w:pPr>
                </w:p>
              </w:tc>
              <w:tc>
                <w:tcPr>
                  <w:tcW w:w="873" w:type="dxa"/>
                  <w:vMerge w:val="continue"/>
                  <w:tcBorders>
                    <w:tl2br w:val="nil"/>
                    <w:tr2bl w:val="nil"/>
                  </w:tcBorders>
                  <w:shd w:val="clear" w:color="auto" w:fill="auto"/>
                  <w:vAlign w:val="center"/>
                </w:tcPr>
                <w:p w14:paraId="6EF50C5E">
                  <w:pPr>
                    <w:jc w:val="center"/>
                    <w:rPr>
                      <w:rFonts w:hint="default" w:ascii="Times New Roman" w:hAnsi="Times New Roman" w:eastAsia="宋体" w:cs="Times New Roman"/>
                      <w:i w:val="0"/>
                      <w:iCs w:val="0"/>
                      <w:color w:val="000000"/>
                      <w:sz w:val="21"/>
                      <w:szCs w:val="21"/>
                      <w:u w:val="none"/>
                    </w:rPr>
                  </w:pPr>
                </w:p>
              </w:tc>
            </w:tr>
            <w:tr w14:paraId="7B0CD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44" w:hRule="atLeast"/>
                <w:jc w:val="center"/>
              </w:trPr>
              <w:tc>
                <w:tcPr>
                  <w:tcW w:w="469" w:type="dxa"/>
                  <w:vMerge w:val="continue"/>
                  <w:tcBorders>
                    <w:tl2br w:val="nil"/>
                    <w:tr2bl w:val="nil"/>
                  </w:tcBorders>
                  <w:shd w:val="clear" w:color="auto" w:fill="auto"/>
                  <w:vAlign w:val="center"/>
                </w:tcPr>
                <w:p w14:paraId="66714034">
                  <w:pPr>
                    <w:jc w:val="center"/>
                    <w:rPr>
                      <w:rFonts w:hint="default" w:ascii="Times New Roman" w:hAnsi="Times New Roman" w:eastAsia="宋体" w:cs="Times New Roman"/>
                      <w:i w:val="0"/>
                      <w:iCs w:val="0"/>
                      <w:color w:val="000000"/>
                      <w:sz w:val="21"/>
                      <w:szCs w:val="21"/>
                      <w:u w:val="none"/>
                    </w:rPr>
                  </w:pPr>
                </w:p>
              </w:tc>
              <w:tc>
                <w:tcPr>
                  <w:tcW w:w="965" w:type="dxa"/>
                  <w:vMerge w:val="continue"/>
                  <w:tcBorders>
                    <w:tl2br w:val="nil"/>
                    <w:tr2bl w:val="nil"/>
                  </w:tcBorders>
                  <w:shd w:val="clear" w:color="auto" w:fill="auto"/>
                  <w:vAlign w:val="center"/>
                </w:tcPr>
                <w:p w14:paraId="71D0F892">
                  <w:pPr>
                    <w:jc w:val="center"/>
                    <w:rPr>
                      <w:rFonts w:hint="default" w:ascii="Times New Roman" w:hAnsi="Times New Roman" w:eastAsia="宋体" w:cs="Times New Roman"/>
                      <w:i w:val="0"/>
                      <w:iCs w:val="0"/>
                      <w:color w:val="000000"/>
                      <w:sz w:val="21"/>
                      <w:szCs w:val="21"/>
                      <w:u w:val="none"/>
                    </w:rPr>
                  </w:pPr>
                </w:p>
              </w:tc>
              <w:tc>
                <w:tcPr>
                  <w:tcW w:w="992" w:type="dxa"/>
                  <w:vMerge w:val="continue"/>
                  <w:tcBorders>
                    <w:tl2br w:val="nil"/>
                    <w:tr2bl w:val="nil"/>
                  </w:tcBorders>
                  <w:shd w:val="clear" w:color="auto" w:fill="auto"/>
                  <w:vAlign w:val="center"/>
                </w:tcPr>
                <w:p w14:paraId="0759C10E">
                  <w:pPr>
                    <w:jc w:val="center"/>
                    <w:rPr>
                      <w:rFonts w:hint="default" w:ascii="Times New Roman" w:hAnsi="Times New Roman" w:eastAsia="宋体" w:cs="Times New Roman"/>
                      <w:i w:val="0"/>
                      <w:iCs w:val="0"/>
                      <w:color w:val="000000"/>
                      <w:sz w:val="21"/>
                      <w:szCs w:val="21"/>
                      <w:u w:val="none"/>
                    </w:rPr>
                  </w:pPr>
                </w:p>
              </w:tc>
              <w:tc>
                <w:tcPr>
                  <w:tcW w:w="1584" w:type="dxa"/>
                  <w:vMerge w:val="continue"/>
                  <w:tcBorders>
                    <w:tl2br w:val="nil"/>
                    <w:tr2bl w:val="nil"/>
                  </w:tcBorders>
                  <w:shd w:val="clear" w:color="auto" w:fill="auto"/>
                  <w:vAlign w:val="center"/>
                </w:tcPr>
                <w:p w14:paraId="304C3213">
                  <w:pPr>
                    <w:jc w:val="center"/>
                    <w:rPr>
                      <w:rFonts w:hint="default" w:ascii="Times New Roman" w:hAnsi="Times New Roman" w:eastAsia="宋体" w:cs="Times New Roman"/>
                      <w:i w:val="0"/>
                      <w:iCs w:val="0"/>
                      <w:color w:val="000000"/>
                      <w:sz w:val="21"/>
                      <w:szCs w:val="21"/>
                      <w:u w:val="none"/>
                    </w:rPr>
                  </w:pPr>
                </w:p>
              </w:tc>
              <w:tc>
                <w:tcPr>
                  <w:tcW w:w="1222" w:type="dxa"/>
                  <w:vMerge w:val="continue"/>
                  <w:tcBorders>
                    <w:tl2br w:val="nil"/>
                    <w:tr2bl w:val="nil"/>
                  </w:tcBorders>
                  <w:shd w:val="clear" w:color="auto" w:fill="auto"/>
                  <w:vAlign w:val="center"/>
                </w:tcPr>
                <w:p w14:paraId="13D02EB8">
                  <w:pPr>
                    <w:jc w:val="center"/>
                    <w:rPr>
                      <w:rFonts w:hint="default" w:ascii="Times New Roman" w:hAnsi="Times New Roman" w:eastAsia="宋体" w:cs="Times New Roman"/>
                      <w:i w:val="0"/>
                      <w:iCs w:val="0"/>
                      <w:color w:val="000000"/>
                      <w:sz w:val="21"/>
                      <w:szCs w:val="21"/>
                      <w:u w:val="none"/>
                    </w:rPr>
                  </w:pPr>
                </w:p>
              </w:tc>
              <w:tc>
                <w:tcPr>
                  <w:tcW w:w="1260" w:type="dxa"/>
                  <w:vMerge w:val="continue"/>
                  <w:tcBorders>
                    <w:tl2br w:val="nil"/>
                    <w:tr2bl w:val="nil"/>
                  </w:tcBorders>
                  <w:shd w:val="clear" w:color="auto" w:fill="auto"/>
                  <w:vAlign w:val="center"/>
                </w:tcPr>
                <w:p w14:paraId="02478364">
                  <w:pPr>
                    <w:jc w:val="center"/>
                    <w:rPr>
                      <w:rFonts w:hint="default" w:ascii="Times New Roman" w:hAnsi="Times New Roman" w:eastAsia="宋体" w:cs="Times New Roman"/>
                      <w:i w:val="0"/>
                      <w:iCs w:val="0"/>
                      <w:color w:val="000000"/>
                      <w:sz w:val="21"/>
                      <w:szCs w:val="21"/>
                      <w:u w:val="none"/>
                    </w:rPr>
                  </w:pPr>
                </w:p>
              </w:tc>
              <w:tc>
                <w:tcPr>
                  <w:tcW w:w="805" w:type="dxa"/>
                  <w:vMerge w:val="continue"/>
                  <w:tcBorders>
                    <w:tl2br w:val="nil"/>
                    <w:tr2bl w:val="nil"/>
                  </w:tcBorders>
                  <w:shd w:val="clear" w:color="auto" w:fill="auto"/>
                  <w:vAlign w:val="center"/>
                </w:tcPr>
                <w:p w14:paraId="4B000A6A">
                  <w:pPr>
                    <w:jc w:val="center"/>
                    <w:rPr>
                      <w:rFonts w:hint="default" w:ascii="Times New Roman" w:hAnsi="Times New Roman" w:eastAsia="宋体" w:cs="Times New Roman"/>
                      <w:i w:val="0"/>
                      <w:iCs w:val="0"/>
                      <w:color w:val="000000"/>
                      <w:sz w:val="21"/>
                      <w:szCs w:val="21"/>
                      <w:u w:val="none"/>
                    </w:rPr>
                  </w:pPr>
                </w:p>
              </w:tc>
              <w:tc>
                <w:tcPr>
                  <w:tcW w:w="1379" w:type="dxa"/>
                  <w:tcBorders>
                    <w:tl2br w:val="nil"/>
                    <w:tr2bl w:val="nil"/>
                  </w:tcBorders>
                  <w:shd w:val="clear" w:color="auto" w:fill="auto"/>
                  <w:vAlign w:val="center"/>
                </w:tcPr>
                <w:p w14:paraId="2E984B4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氨氮</w:t>
                  </w:r>
                </w:p>
              </w:tc>
              <w:tc>
                <w:tcPr>
                  <w:tcW w:w="1895" w:type="dxa"/>
                  <w:tcBorders>
                    <w:tl2br w:val="nil"/>
                    <w:tr2bl w:val="nil"/>
                  </w:tcBorders>
                  <w:shd w:val="clear" w:color="auto" w:fill="auto"/>
                  <w:vAlign w:val="center"/>
                </w:tcPr>
                <w:p w14:paraId="5CADEAF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1732" w:type="dxa"/>
                  <w:vMerge w:val="continue"/>
                  <w:tcBorders>
                    <w:tl2br w:val="nil"/>
                    <w:tr2bl w:val="nil"/>
                  </w:tcBorders>
                  <w:shd w:val="clear" w:color="auto" w:fill="auto"/>
                  <w:vAlign w:val="center"/>
                </w:tcPr>
                <w:p w14:paraId="0FC552A1">
                  <w:pPr>
                    <w:jc w:val="center"/>
                    <w:rPr>
                      <w:rFonts w:hint="default" w:ascii="Times New Roman" w:hAnsi="Times New Roman" w:eastAsia="宋体" w:cs="Times New Roman"/>
                      <w:i w:val="0"/>
                      <w:iCs w:val="0"/>
                      <w:color w:val="000000"/>
                      <w:sz w:val="21"/>
                      <w:szCs w:val="21"/>
                      <w:u w:val="none"/>
                    </w:rPr>
                  </w:pPr>
                </w:p>
              </w:tc>
              <w:tc>
                <w:tcPr>
                  <w:tcW w:w="873" w:type="dxa"/>
                  <w:vMerge w:val="continue"/>
                  <w:tcBorders>
                    <w:tl2br w:val="nil"/>
                    <w:tr2bl w:val="nil"/>
                  </w:tcBorders>
                  <w:shd w:val="clear" w:color="auto" w:fill="auto"/>
                  <w:vAlign w:val="center"/>
                </w:tcPr>
                <w:p w14:paraId="49D68446">
                  <w:pPr>
                    <w:jc w:val="center"/>
                    <w:rPr>
                      <w:rFonts w:hint="default" w:ascii="Times New Roman" w:hAnsi="Times New Roman" w:eastAsia="宋体" w:cs="Times New Roman"/>
                      <w:i w:val="0"/>
                      <w:iCs w:val="0"/>
                      <w:color w:val="000000"/>
                      <w:sz w:val="21"/>
                      <w:szCs w:val="21"/>
                      <w:u w:val="none"/>
                    </w:rPr>
                  </w:pPr>
                </w:p>
              </w:tc>
            </w:tr>
            <w:tr w14:paraId="12CF3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 w:hRule="atLeast"/>
                <w:jc w:val="center"/>
              </w:trPr>
              <w:tc>
                <w:tcPr>
                  <w:tcW w:w="469" w:type="dxa"/>
                  <w:vMerge w:val="continue"/>
                  <w:tcBorders>
                    <w:tl2br w:val="nil"/>
                    <w:tr2bl w:val="nil"/>
                  </w:tcBorders>
                  <w:shd w:val="clear" w:color="auto" w:fill="auto"/>
                  <w:vAlign w:val="center"/>
                </w:tcPr>
                <w:p w14:paraId="0E145FC2">
                  <w:pPr>
                    <w:jc w:val="center"/>
                    <w:rPr>
                      <w:rFonts w:hint="default" w:ascii="Times New Roman" w:hAnsi="Times New Roman" w:eastAsia="宋体" w:cs="Times New Roman"/>
                      <w:i w:val="0"/>
                      <w:iCs w:val="0"/>
                      <w:color w:val="000000"/>
                      <w:sz w:val="21"/>
                      <w:szCs w:val="21"/>
                      <w:u w:val="none"/>
                    </w:rPr>
                  </w:pPr>
                </w:p>
              </w:tc>
              <w:tc>
                <w:tcPr>
                  <w:tcW w:w="965" w:type="dxa"/>
                  <w:vMerge w:val="continue"/>
                  <w:tcBorders>
                    <w:tl2br w:val="nil"/>
                    <w:tr2bl w:val="nil"/>
                  </w:tcBorders>
                  <w:shd w:val="clear" w:color="auto" w:fill="auto"/>
                  <w:vAlign w:val="center"/>
                </w:tcPr>
                <w:p w14:paraId="4E0A4BEC">
                  <w:pPr>
                    <w:jc w:val="center"/>
                    <w:rPr>
                      <w:rFonts w:hint="default" w:ascii="Times New Roman" w:hAnsi="Times New Roman" w:eastAsia="宋体" w:cs="Times New Roman"/>
                      <w:i w:val="0"/>
                      <w:iCs w:val="0"/>
                      <w:color w:val="000000"/>
                      <w:sz w:val="21"/>
                      <w:szCs w:val="21"/>
                      <w:u w:val="none"/>
                    </w:rPr>
                  </w:pPr>
                </w:p>
              </w:tc>
              <w:tc>
                <w:tcPr>
                  <w:tcW w:w="992" w:type="dxa"/>
                  <w:vMerge w:val="continue"/>
                  <w:tcBorders>
                    <w:tl2br w:val="nil"/>
                    <w:tr2bl w:val="nil"/>
                  </w:tcBorders>
                  <w:shd w:val="clear" w:color="auto" w:fill="auto"/>
                  <w:vAlign w:val="center"/>
                </w:tcPr>
                <w:p w14:paraId="7A06A7CB">
                  <w:pPr>
                    <w:jc w:val="center"/>
                    <w:rPr>
                      <w:rFonts w:hint="default" w:ascii="Times New Roman" w:hAnsi="Times New Roman" w:eastAsia="宋体" w:cs="Times New Roman"/>
                      <w:i w:val="0"/>
                      <w:iCs w:val="0"/>
                      <w:color w:val="000000"/>
                      <w:sz w:val="21"/>
                      <w:szCs w:val="21"/>
                      <w:u w:val="none"/>
                    </w:rPr>
                  </w:pPr>
                </w:p>
              </w:tc>
              <w:tc>
                <w:tcPr>
                  <w:tcW w:w="1584" w:type="dxa"/>
                  <w:vMerge w:val="continue"/>
                  <w:tcBorders>
                    <w:tl2br w:val="nil"/>
                    <w:tr2bl w:val="nil"/>
                  </w:tcBorders>
                  <w:shd w:val="clear" w:color="auto" w:fill="auto"/>
                  <w:vAlign w:val="center"/>
                </w:tcPr>
                <w:p w14:paraId="0373BD2B">
                  <w:pPr>
                    <w:jc w:val="center"/>
                    <w:rPr>
                      <w:rFonts w:hint="default" w:ascii="Times New Roman" w:hAnsi="Times New Roman" w:eastAsia="宋体" w:cs="Times New Roman"/>
                      <w:i w:val="0"/>
                      <w:iCs w:val="0"/>
                      <w:color w:val="000000"/>
                      <w:sz w:val="21"/>
                      <w:szCs w:val="21"/>
                      <w:u w:val="none"/>
                    </w:rPr>
                  </w:pPr>
                </w:p>
              </w:tc>
              <w:tc>
                <w:tcPr>
                  <w:tcW w:w="1222" w:type="dxa"/>
                  <w:vMerge w:val="continue"/>
                  <w:tcBorders>
                    <w:tl2br w:val="nil"/>
                    <w:tr2bl w:val="nil"/>
                  </w:tcBorders>
                  <w:shd w:val="clear" w:color="auto" w:fill="auto"/>
                  <w:vAlign w:val="center"/>
                </w:tcPr>
                <w:p w14:paraId="7A745F11">
                  <w:pPr>
                    <w:jc w:val="center"/>
                    <w:rPr>
                      <w:rFonts w:hint="default" w:ascii="Times New Roman" w:hAnsi="Times New Roman" w:eastAsia="宋体" w:cs="Times New Roman"/>
                      <w:i w:val="0"/>
                      <w:iCs w:val="0"/>
                      <w:color w:val="000000"/>
                      <w:sz w:val="21"/>
                      <w:szCs w:val="21"/>
                      <w:u w:val="none"/>
                    </w:rPr>
                  </w:pPr>
                </w:p>
              </w:tc>
              <w:tc>
                <w:tcPr>
                  <w:tcW w:w="1260" w:type="dxa"/>
                  <w:vMerge w:val="continue"/>
                  <w:tcBorders>
                    <w:tl2br w:val="nil"/>
                    <w:tr2bl w:val="nil"/>
                  </w:tcBorders>
                  <w:shd w:val="clear" w:color="auto" w:fill="auto"/>
                  <w:vAlign w:val="center"/>
                </w:tcPr>
                <w:p w14:paraId="3A04EAC2">
                  <w:pPr>
                    <w:jc w:val="center"/>
                    <w:rPr>
                      <w:rFonts w:hint="default" w:ascii="Times New Roman" w:hAnsi="Times New Roman" w:eastAsia="宋体" w:cs="Times New Roman"/>
                      <w:i w:val="0"/>
                      <w:iCs w:val="0"/>
                      <w:color w:val="000000"/>
                      <w:sz w:val="21"/>
                      <w:szCs w:val="21"/>
                      <w:u w:val="none"/>
                    </w:rPr>
                  </w:pPr>
                </w:p>
              </w:tc>
              <w:tc>
                <w:tcPr>
                  <w:tcW w:w="805" w:type="dxa"/>
                  <w:vMerge w:val="continue"/>
                  <w:tcBorders>
                    <w:tl2br w:val="nil"/>
                    <w:tr2bl w:val="nil"/>
                  </w:tcBorders>
                  <w:shd w:val="clear" w:color="auto" w:fill="auto"/>
                  <w:vAlign w:val="center"/>
                </w:tcPr>
                <w:p w14:paraId="316FD03E">
                  <w:pPr>
                    <w:jc w:val="center"/>
                    <w:rPr>
                      <w:rFonts w:hint="default" w:ascii="Times New Roman" w:hAnsi="Times New Roman" w:eastAsia="宋体" w:cs="Times New Roman"/>
                      <w:i w:val="0"/>
                      <w:iCs w:val="0"/>
                      <w:color w:val="000000"/>
                      <w:sz w:val="21"/>
                      <w:szCs w:val="21"/>
                      <w:u w:val="none"/>
                    </w:rPr>
                  </w:pPr>
                </w:p>
              </w:tc>
              <w:tc>
                <w:tcPr>
                  <w:tcW w:w="1379" w:type="dxa"/>
                  <w:tcBorders>
                    <w:tl2br w:val="nil"/>
                    <w:tr2bl w:val="nil"/>
                  </w:tcBorders>
                  <w:shd w:val="clear" w:color="auto" w:fill="auto"/>
                  <w:vAlign w:val="center"/>
                </w:tcPr>
                <w:p w14:paraId="616965B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895" w:type="dxa"/>
                  <w:tcBorders>
                    <w:tl2br w:val="nil"/>
                    <w:tr2bl w:val="nil"/>
                  </w:tcBorders>
                  <w:shd w:val="clear" w:color="auto" w:fill="auto"/>
                  <w:vAlign w:val="center"/>
                </w:tcPr>
                <w:p w14:paraId="4A32B3E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240</w:t>
                  </w:r>
                </w:p>
              </w:tc>
              <w:tc>
                <w:tcPr>
                  <w:tcW w:w="1732" w:type="dxa"/>
                  <w:vMerge w:val="continue"/>
                  <w:tcBorders>
                    <w:tl2br w:val="nil"/>
                    <w:tr2bl w:val="nil"/>
                  </w:tcBorders>
                  <w:shd w:val="clear" w:color="auto" w:fill="auto"/>
                  <w:vAlign w:val="center"/>
                </w:tcPr>
                <w:p w14:paraId="43771E1B">
                  <w:pPr>
                    <w:jc w:val="center"/>
                    <w:rPr>
                      <w:rFonts w:hint="default" w:ascii="Times New Roman" w:hAnsi="Times New Roman" w:eastAsia="宋体" w:cs="Times New Roman"/>
                      <w:i w:val="0"/>
                      <w:iCs w:val="0"/>
                      <w:color w:val="000000"/>
                      <w:sz w:val="21"/>
                      <w:szCs w:val="21"/>
                      <w:u w:val="none"/>
                    </w:rPr>
                  </w:pPr>
                </w:p>
              </w:tc>
              <w:tc>
                <w:tcPr>
                  <w:tcW w:w="873" w:type="dxa"/>
                  <w:vMerge w:val="continue"/>
                  <w:tcBorders>
                    <w:tl2br w:val="nil"/>
                    <w:tr2bl w:val="nil"/>
                  </w:tcBorders>
                  <w:shd w:val="clear" w:color="auto" w:fill="auto"/>
                  <w:vAlign w:val="center"/>
                </w:tcPr>
                <w:p w14:paraId="6D8FF8D3">
                  <w:pPr>
                    <w:jc w:val="center"/>
                    <w:rPr>
                      <w:rFonts w:hint="default" w:ascii="Times New Roman" w:hAnsi="Times New Roman" w:eastAsia="宋体" w:cs="Times New Roman"/>
                      <w:i w:val="0"/>
                      <w:iCs w:val="0"/>
                      <w:color w:val="000000"/>
                      <w:sz w:val="21"/>
                      <w:szCs w:val="21"/>
                      <w:u w:val="none"/>
                    </w:rPr>
                  </w:pPr>
                </w:p>
              </w:tc>
            </w:tr>
            <w:tr w14:paraId="620F1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 w:hRule="atLeast"/>
                <w:jc w:val="center"/>
              </w:trPr>
              <w:tc>
                <w:tcPr>
                  <w:tcW w:w="469" w:type="dxa"/>
                  <w:vMerge w:val="continue"/>
                  <w:tcBorders>
                    <w:tl2br w:val="nil"/>
                    <w:tr2bl w:val="nil"/>
                  </w:tcBorders>
                  <w:shd w:val="clear" w:color="auto" w:fill="auto"/>
                  <w:vAlign w:val="center"/>
                </w:tcPr>
                <w:p w14:paraId="0606FCA4">
                  <w:pPr>
                    <w:jc w:val="center"/>
                    <w:rPr>
                      <w:rFonts w:hint="default" w:ascii="Times New Roman" w:hAnsi="Times New Roman" w:eastAsia="宋体" w:cs="Times New Roman"/>
                      <w:i w:val="0"/>
                      <w:iCs w:val="0"/>
                      <w:color w:val="000000"/>
                      <w:sz w:val="21"/>
                      <w:szCs w:val="21"/>
                      <w:u w:val="none"/>
                    </w:rPr>
                  </w:pPr>
                </w:p>
              </w:tc>
              <w:tc>
                <w:tcPr>
                  <w:tcW w:w="965" w:type="dxa"/>
                  <w:vMerge w:val="continue"/>
                  <w:tcBorders>
                    <w:tl2br w:val="nil"/>
                    <w:tr2bl w:val="nil"/>
                  </w:tcBorders>
                  <w:shd w:val="clear" w:color="auto" w:fill="auto"/>
                  <w:vAlign w:val="center"/>
                </w:tcPr>
                <w:p w14:paraId="60ABB2A4">
                  <w:pPr>
                    <w:jc w:val="center"/>
                    <w:rPr>
                      <w:rFonts w:hint="default" w:ascii="Times New Roman" w:hAnsi="Times New Roman" w:eastAsia="宋体" w:cs="Times New Roman"/>
                      <w:i w:val="0"/>
                      <w:iCs w:val="0"/>
                      <w:color w:val="000000"/>
                      <w:sz w:val="21"/>
                      <w:szCs w:val="21"/>
                      <w:u w:val="none"/>
                    </w:rPr>
                  </w:pPr>
                </w:p>
              </w:tc>
              <w:tc>
                <w:tcPr>
                  <w:tcW w:w="992" w:type="dxa"/>
                  <w:vMerge w:val="continue"/>
                  <w:tcBorders>
                    <w:tl2br w:val="nil"/>
                    <w:tr2bl w:val="nil"/>
                  </w:tcBorders>
                  <w:shd w:val="clear" w:color="auto" w:fill="auto"/>
                  <w:vAlign w:val="center"/>
                </w:tcPr>
                <w:p w14:paraId="322E60C5">
                  <w:pPr>
                    <w:jc w:val="center"/>
                    <w:rPr>
                      <w:rFonts w:hint="default" w:ascii="Times New Roman" w:hAnsi="Times New Roman" w:eastAsia="宋体" w:cs="Times New Roman"/>
                      <w:i w:val="0"/>
                      <w:iCs w:val="0"/>
                      <w:color w:val="000000"/>
                      <w:sz w:val="21"/>
                      <w:szCs w:val="21"/>
                      <w:u w:val="none"/>
                    </w:rPr>
                  </w:pPr>
                </w:p>
              </w:tc>
              <w:tc>
                <w:tcPr>
                  <w:tcW w:w="1584" w:type="dxa"/>
                  <w:vMerge w:val="continue"/>
                  <w:tcBorders>
                    <w:tl2br w:val="nil"/>
                    <w:tr2bl w:val="nil"/>
                  </w:tcBorders>
                  <w:shd w:val="clear" w:color="auto" w:fill="auto"/>
                  <w:vAlign w:val="center"/>
                </w:tcPr>
                <w:p w14:paraId="3402BCD1">
                  <w:pPr>
                    <w:jc w:val="center"/>
                    <w:rPr>
                      <w:rFonts w:hint="default" w:ascii="Times New Roman" w:hAnsi="Times New Roman" w:eastAsia="宋体" w:cs="Times New Roman"/>
                      <w:i w:val="0"/>
                      <w:iCs w:val="0"/>
                      <w:color w:val="000000"/>
                      <w:sz w:val="21"/>
                      <w:szCs w:val="21"/>
                      <w:u w:val="none"/>
                    </w:rPr>
                  </w:pPr>
                </w:p>
              </w:tc>
              <w:tc>
                <w:tcPr>
                  <w:tcW w:w="1222" w:type="dxa"/>
                  <w:vMerge w:val="continue"/>
                  <w:tcBorders>
                    <w:tl2br w:val="nil"/>
                    <w:tr2bl w:val="nil"/>
                  </w:tcBorders>
                  <w:shd w:val="clear" w:color="auto" w:fill="auto"/>
                  <w:vAlign w:val="center"/>
                </w:tcPr>
                <w:p w14:paraId="6CA18EEB">
                  <w:pPr>
                    <w:jc w:val="center"/>
                    <w:rPr>
                      <w:rFonts w:hint="default" w:ascii="Times New Roman" w:hAnsi="Times New Roman" w:eastAsia="宋体" w:cs="Times New Roman"/>
                      <w:i w:val="0"/>
                      <w:iCs w:val="0"/>
                      <w:color w:val="000000"/>
                      <w:sz w:val="21"/>
                      <w:szCs w:val="21"/>
                      <w:u w:val="none"/>
                    </w:rPr>
                  </w:pPr>
                </w:p>
              </w:tc>
              <w:tc>
                <w:tcPr>
                  <w:tcW w:w="1260" w:type="dxa"/>
                  <w:vMerge w:val="continue"/>
                  <w:tcBorders>
                    <w:tl2br w:val="nil"/>
                    <w:tr2bl w:val="nil"/>
                  </w:tcBorders>
                  <w:shd w:val="clear" w:color="auto" w:fill="auto"/>
                  <w:vAlign w:val="center"/>
                </w:tcPr>
                <w:p w14:paraId="6B739386">
                  <w:pPr>
                    <w:jc w:val="center"/>
                    <w:rPr>
                      <w:rFonts w:hint="default" w:ascii="Times New Roman" w:hAnsi="Times New Roman" w:eastAsia="宋体" w:cs="Times New Roman"/>
                      <w:i w:val="0"/>
                      <w:iCs w:val="0"/>
                      <w:color w:val="000000"/>
                      <w:sz w:val="21"/>
                      <w:szCs w:val="21"/>
                      <w:u w:val="none"/>
                    </w:rPr>
                  </w:pPr>
                </w:p>
              </w:tc>
              <w:tc>
                <w:tcPr>
                  <w:tcW w:w="805" w:type="dxa"/>
                  <w:vMerge w:val="continue"/>
                  <w:tcBorders>
                    <w:tl2br w:val="nil"/>
                    <w:tr2bl w:val="nil"/>
                  </w:tcBorders>
                  <w:shd w:val="clear" w:color="auto" w:fill="auto"/>
                  <w:vAlign w:val="center"/>
                </w:tcPr>
                <w:p w14:paraId="14464BD6">
                  <w:pPr>
                    <w:jc w:val="center"/>
                    <w:rPr>
                      <w:rFonts w:hint="default" w:ascii="Times New Roman" w:hAnsi="Times New Roman" w:eastAsia="宋体" w:cs="Times New Roman"/>
                      <w:i w:val="0"/>
                      <w:iCs w:val="0"/>
                      <w:color w:val="000000"/>
                      <w:sz w:val="21"/>
                      <w:szCs w:val="21"/>
                      <w:u w:val="none"/>
                    </w:rPr>
                  </w:pPr>
                </w:p>
              </w:tc>
              <w:tc>
                <w:tcPr>
                  <w:tcW w:w="1379" w:type="dxa"/>
                  <w:tcBorders>
                    <w:tl2br w:val="nil"/>
                    <w:tr2bl w:val="nil"/>
                  </w:tcBorders>
                  <w:shd w:val="clear" w:color="auto" w:fill="auto"/>
                  <w:vAlign w:val="center"/>
                </w:tcPr>
                <w:p w14:paraId="6F645B3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氟化物</w:t>
                  </w:r>
                </w:p>
              </w:tc>
              <w:tc>
                <w:tcPr>
                  <w:tcW w:w="1895" w:type="dxa"/>
                  <w:tcBorders>
                    <w:tl2br w:val="nil"/>
                    <w:tr2bl w:val="nil"/>
                  </w:tcBorders>
                  <w:shd w:val="clear" w:color="auto" w:fill="auto"/>
                  <w:vAlign w:val="center"/>
                </w:tcPr>
                <w:p w14:paraId="52E083C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1732" w:type="dxa"/>
                  <w:vMerge w:val="continue"/>
                  <w:tcBorders>
                    <w:tl2br w:val="nil"/>
                    <w:tr2bl w:val="nil"/>
                  </w:tcBorders>
                  <w:shd w:val="clear" w:color="auto" w:fill="auto"/>
                  <w:vAlign w:val="center"/>
                </w:tcPr>
                <w:p w14:paraId="63A8A023">
                  <w:pPr>
                    <w:jc w:val="center"/>
                    <w:rPr>
                      <w:rFonts w:hint="default" w:ascii="Times New Roman" w:hAnsi="Times New Roman" w:eastAsia="宋体" w:cs="Times New Roman"/>
                      <w:i w:val="0"/>
                      <w:iCs w:val="0"/>
                      <w:color w:val="000000"/>
                      <w:sz w:val="21"/>
                      <w:szCs w:val="21"/>
                      <w:u w:val="none"/>
                    </w:rPr>
                  </w:pPr>
                </w:p>
              </w:tc>
              <w:tc>
                <w:tcPr>
                  <w:tcW w:w="873" w:type="dxa"/>
                  <w:vMerge w:val="continue"/>
                  <w:tcBorders>
                    <w:tl2br w:val="nil"/>
                    <w:tr2bl w:val="nil"/>
                  </w:tcBorders>
                  <w:shd w:val="clear" w:color="auto" w:fill="auto"/>
                  <w:vAlign w:val="center"/>
                </w:tcPr>
                <w:p w14:paraId="1FB3C3DE">
                  <w:pPr>
                    <w:jc w:val="center"/>
                    <w:rPr>
                      <w:rFonts w:hint="default" w:ascii="Times New Roman" w:hAnsi="Times New Roman" w:eastAsia="宋体" w:cs="Times New Roman"/>
                      <w:i w:val="0"/>
                      <w:iCs w:val="0"/>
                      <w:color w:val="000000"/>
                      <w:sz w:val="21"/>
                      <w:szCs w:val="21"/>
                      <w:u w:val="none"/>
                    </w:rPr>
                  </w:pPr>
                </w:p>
              </w:tc>
            </w:tr>
          </w:tbl>
          <w:p w14:paraId="460BC5CA">
            <w:pPr>
              <w:pStyle w:val="64"/>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both"/>
              <w:textAlignment w:val="auto"/>
              <w:rPr>
                <w:rFonts w:hint="eastAsia" w:cs="Times New Roman"/>
                <w:b/>
                <w:bCs/>
                <w:color w:val="auto"/>
                <w:spacing w:val="0"/>
                <w:position w:val="0"/>
                <w:lang w:val="en-US" w:eastAsia="zh-CN"/>
              </w:rPr>
            </w:pPr>
          </w:p>
          <w:p w14:paraId="244F2DC7">
            <w:pPr>
              <w:pStyle w:val="64"/>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both"/>
              <w:textAlignment w:val="auto"/>
              <w:rPr>
                <w:rFonts w:hint="eastAsia" w:cs="Times New Roman"/>
                <w:b/>
                <w:bCs/>
                <w:color w:val="auto"/>
                <w:spacing w:val="0"/>
                <w:position w:val="0"/>
                <w:lang w:val="en-US" w:eastAsia="zh-CN"/>
              </w:rPr>
            </w:pPr>
          </w:p>
          <w:p w14:paraId="5A2539A8">
            <w:pPr>
              <w:pStyle w:val="64"/>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both"/>
              <w:textAlignment w:val="auto"/>
              <w:rPr>
                <w:rFonts w:hint="eastAsia" w:cs="Times New Roman"/>
                <w:b/>
                <w:bCs/>
                <w:color w:val="auto"/>
                <w:spacing w:val="0"/>
                <w:position w:val="0"/>
                <w:lang w:val="en-US" w:eastAsia="zh-CN"/>
              </w:rPr>
            </w:pPr>
          </w:p>
          <w:p w14:paraId="25F5AA6A">
            <w:pPr>
              <w:pStyle w:val="64"/>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both"/>
              <w:textAlignment w:val="auto"/>
              <w:rPr>
                <w:rFonts w:hint="default" w:ascii="Times New Roman" w:hAnsi="Times New Roman" w:eastAsia="宋体" w:cs="Times New Roman"/>
                <w:color w:val="auto"/>
                <w:spacing w:val="0"/>
                <w:position w:val="0"/>
                <w:lang w:val="en-US" w:eastAsia="zh-CN"/>
              </w:rPr>
            </w:pPr>
            <w:r>
              <w:rPr>
                <w:rFonts w:hint="eastAsia" w:cs="Times New Roman"/>
                <w:b/>
                <w:bCs/>
                <w:color w:val="auto"/>
                <w:spacing w:val="0"/>
                <w:position w:val="0"/>
                <w:lang w:val="en-US" w:eastAsia="zh-CN"/>
              </w:rPr>
              <w:t>4.3</w:t>
            </w:r>
            <w:r>
              <w:rPr>
                <w:rFonts w:hint="default" w:ascii="Times New Roman" w:hAnsi="Times New Roman" w:eastAsia="宋体" w:cs="Times New Roman"/>
                <w:b/>
                <w:bCs/>
                <w:color w:val="auto"/>
                <w:spacing w:val="0"/>
                <w:position w:val="0"/>
                <w:lang w:val="en-US" w:eastAsia="zh-CN"/>
              </w:rPr>
              <w:t>声</w:t>
            </w:r>
            <w:r>
              <w:rPr>
                <w:rFonts w:hint="default" w:ascii="Times New Roman" w:hAnsi="Times New Roman" w:eastAsia="宋体" w:cs="Times New Roman"/>
                <w:b/>
                <w:bCs/>
                <w:color w:val="auto"/>
                <w:spacing w:val="0"/>
                <w:sz w:val="24"/>
                <w:lang w:val="en-US" w:eastAsia="zh-CN"/>
              </w:rPr>
              <w:t>环境影响及保护措施</w:t>
            </w:r>
          </w:p>
          <w:p w14:paraId="4861CCDB">
            <w:pPr>
              <w:pStyle w:val="64"/>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both"/>
              <w:textAlignment w:val="auto"/>
              <w:rPr>
                <w:rFonts w:hint="default" w:ascii="Times New Roman" w:hAnsi="Times New Roman" w:eastAsia="宋体" w:cs="Times New Roman"/>
                <w:b/>
                <w:bCs/>
                <w:color w:val="auto"/>
                <w:spacing w:val="0"/>
                <w:position w:val="0"/>
                <w:lang w:val="en-US" w:eastAsia="zh-CN"/>
              </w:rPr>
            </w:pPr>
            <w:r>
              <w:rPr>
                <w:rFonts w:hint="eastAsia" w:cs="Times New Roman"/>
                <w:b/>
                <w:bCs/>
                <w:color w:val="auto"/>
                <w:spacing w:val="0"/>
                <w:position w:val="0"/>
                <w:lang w:val="en-US" w:eastAsia="zh-CN"/>
              </w:rPr>
              <w:t>4.3.1</w:t>
            </w:r>
            <w:r>
              <w:rPr>
                <w:rFonts w:hint="default" w:ascii="Times New Roman" w:hAnsi="Times New Roman" w:eastAsia="宋体" w:cs="Times New Roman"/>
                <w:b/>
                <w:bCs/>
                <w:color w:val="auto"/>
                <w:spacing w:val="0"/>
                <w:position w:val="0"/>
                <w:lang w:val="en-US" w:eastAsia="zh-CN"/>
              </w:rPr>
              <w:t>主要噪声源强</w:t>
            </w:r>
          </w:p>
          <w:p w14:paraId="67A41359">
            <w:pPr>
              <w:pStyle w:val="64"/>
              <w:keepNext w:val="0"/>
              <w:keepLines w:val="0"/>
              <w:pageBreakBefore w:val="0"/>
              <w:widowControl w:val="0"/>
              <w:kinsoku/>
              <w:wordWrap/>
              <w:overflowPunct/>
              <w:topLinePunct w:val="0"/>
              <w:autoSpaceDE/>
              <w:autoSpaceDN/>
              <w:bidi w:val="0"/>
              <w:adjustRightInd w:val="0"/>
              <w:snapToGrid/>
              <w:spacing w:before="0" w:line="480" w:lineRule="exact"/>
              <w:ind w:left="0" w:leftChars="0" w:firstLine="480" w:firstLineChars="200"/>
              <w:jc w:val="both"/>
              <w:textAlignment w:val="auto"/>
              <w:rPr>
                <w:rFonts w:hint="default" w:ascii="Times New Roman" w:hAnsi="Times New Roman" w:eastAsia="宋体" w:cs="Times New Roman"/>
                <w:color w:val="auto"/>
                <w:spacing w:val="0"/>
                <w:position w:val="0"/>
                <w:lang w:val="en-US" w:eastAsia="zh-CN"/>
              </w:rPr>
            </w:pPr>
            <w:r>
              <w:rPr>
                <w:rFonts w:hint="default" w:ascii="Times New Roman" w:hAnsi="Times New Roman" w:eastAsia="宋体" w:cs="Times New Roman"/>
                <w:color w:val="auto"/>
                <w:spacing w:val="0"/>
                <w:position w:val="0"/>
                <w:lang w:val="en-US" w:eastAsia="zh-CN"/>
              </w:rPr>
              <w:t>本项目的噪声主要是机械设备运行时产生的噪声。</w:t>
            </w:r>
            <w:r>
              <w:rPr>
                <w:rFonts w:hint="default" w:ascii="Times New Roman" w:hAnsi="Times New Roman" w:cs="Times New Roman"/>
                <w:caps w:val="0"/>
                <w:smallCaps w:val="0"/>
                <w:color w:val="auto"/>
                <w:spacing w:val="0"/>
                <w:w w:val="100"/>
                <w:position w:val="0"/>
                <w:lang w:val="en-US" w:eastAsia="zh-CN"/>
              </w:rPr>
              <w:t>以项目</w:t>
            </w:r>
            <w:r>
              <w:rPr>
                <w:rFonts w:hint="eastAsia" w:ascii="Times New Roman" w:hAnsi="Times New Roman" w:cs="Times New Roman"/>
                <w:caps w:val="0"/>
                <w:smallCaps w:val="0"/>
                <w:color w:val="auto"/>
                <w:spacing w:val="0"/>
                <w:w w:val="100"/>
                <w:position w:val="0"/>
                <w:lang w:val="en-US" w:eastAsia="zh-CN"/>
              </w:rPr>
              <w:t>厂区</w:t>
            </w:r>
            <w:r>
              <w:rPr>
                <w:rFonts w:hint="default" w:ascii="Times New Roman" w:hAnsi="Times New Roman" w:cs="Times New Roman"/>
                <w:caps w:val="0"/>
                <w:smallCaps w:val="0"/>
                <w:color w:val="auto"/>
                <w:spacing w:val="0"/>
                <w:w w:val="100"/>
                <w:position w:val="0"/>
                <w:lang w:val="en-US" w:eastAsia="zh-CN"/>
              </w:rPr>
              <w:t>西南角为坐标原点</w:t>
            </w:r>
            <w:r>
              <w:rPr>
                <w:rFonts w:hint="eastAsia" w:cs="Times New Roman"/>
                <w:caps w:val="0"/>
                <w:smallCaps w:val="0"/>
                <w:color w:val="auto"/>
                <w:spacing w:val="0"/>
                <w:w w:val="100"/>
                <w:position w:val="0"/>
                <w:lang w:val="en-US" w:eastAsia="zh-CN"/>
              </w:rPr>
              <w:t>（</w:t>
            </w:r>
            <w:r>
              <w:rPr>
                <w:rFonts w:hint="default" w:ascii="Times New Roman" w:hAnsi="Times New Roman" w:cs="Times New Roman"/>
                <w:caps w:val="0"/>
                <w:smallCaps w:val="0"/>
                <w:color w:val="auto"/>
                <w:spacing w:val="0"/>
                <w:w w:val="100"/>
                <w:position w:val="0"/>
                <w:lang w:val="en-US" w:eastAsia="zh-CN"/>
              </w:rPr>
              <w:t>0，0），正北方向为Y轴，正东方向为X轴，列出主要设备坐标。</w:t>
            </w:r>
            <w:r>
              <w:rPr>
                <w:rFonts w:hint="default" w:ascii="Times New Roman" w:hAnsi="Times New Roman" w:eastAsia="宋体" w:cs="Times New Roman"/>
                <w:color w:val="auto"/>
                <w:spacing w:val="0"/>
                <w:position w:val="0"/>
                <w:lang w:val="en-US" w:eastAsia="zh-CN"/>
              </w:rPr>
              <w:t>噪声特征以连续性噪声为主，间歇性噪声为辅，噪声污染源强核算结果及相关参数如下表。</w:t>
            </w:r>
          </w:p>
          <w:p w14:paraId="06D326F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宋体" w:cs="Times New Roman"/>
                <w:b/>
                <w:color w:val="auto"/>
                <w:spacing w:val="0"/>
                <w:szCs w:val="21"/>
              </w:rPr>
            </w:pPr>
            <w:r>
              <w:rPr>
                <w:rFonts w:hint="default" w:ascii="Times New Roman" w:hAnsi="Times New Roman" w:cs="Times New Roman"/>
                <w:b/>
                <w:color w:val="auto"/>
                <w:spacing w:val="0"/>
                <w:szCs w:val="21"/>
              </w:rPr>
              <w:t>表4-</w:t>
            </w:r>
            <w:r>
              <w:rPr>
                <w:rFonts w:hint="eastAsia" w:cs="Times New Roman"/>
                <w:b/>
                <w:color w:val="auto"/>
                <w:spacing w:val="0"/>
                <w:szCs w:val="21"/>
                <w:lang w:val="en-US" w:eastAsia="zh-CN"/>
              </w:rPr>
              <w:t>27</w:t>
            </w:r>
            <w:r>
              <w:rPr>
                <w:rFonts w:hint="default" w:ascii="Times New Roman" w:hAnsi="Times New Roman" w:cs="Times New Roman"/>
                <w:b/>
                <w:color w:val="auto"/>
                <w:spacing w:val="0"/>
                <w:szCs w:val="21"/>
                <w:lang w:val="en-US" w:eastAsia="zh-CN"/>
              </w:rPr>
              <w:t xml:space="preserve">  </w:t>
            </w:r>
            <w:r>
              <w:rPr>
                <w:rFonts w:hint="default" w:ascii="Times New Roman" w:hAnsi="Times New Roman" w:eastAsia="宋体" w:cs="Times New Roman"/>
                <w:b/>
                <w:color w:val="auto"/>
                <w:spacing w:val="0"/>
                <w:szCs w:val="21"/>
              </w:rPr>
              <w:t>项目噪声</w:t>
            </w:r>
            <w:r>
              <w:rPr>
                <w:rFonts w:hint="default" w:ascii="Times New Roman" w:hAnsi="Times New Roman" w:eastAsia="宋体" w:cs="Times New Roman"/>
                <w:b/>
                <w:color w:val="auto"/>
                <w:spacing w:val="0"/>
                <w:szCs w:val="21"/>
                <w:lang w:val="en-US" w:eastAsia="zh-CN"/>
              </w:rPr>
              <w:t>源强调查清单</w:t>
            </w:r>
            <w:r>
              <w:rPr>
                <w:rFonts w:hint="eastAsia" w:cs="Times New Roman"/>
                <w:b/>
                <w:color w:val="auto"/>
                <w:spacing w:val="0"/>
                <w:szCs w:val="21"/>
                <w:lang w:val="en-US" w:eastAsia="zh-CN"/>
              </w:rPr>
              <w:t>（</w:t>
            </w:r>
            <w:r>
              <w:rPr>
                <w:rFonts w:hint="default" w:ascii="Times New Roman" w:hAnsi="Times New Roman" w:eastAsia="宋体" w:cs="Times New Roman"/>
                <w:b/>
                <w:color w:val="auto"/>
                <w:spacing w:val="0"/>
                <w:szCs w:val="21"/>
                <w:lang w:val="en-US" w:eastAsia="zh-CN"/>
              </w:rPr>
              <w:t>室内）</w:t>
            </w:r>
          </w:p>
          <w:tbl>
            <w:tblPr>
              <w:tblStyle w:val="26"/>
              <w:tblW w:w="131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6"/>
              <w:gridCol w:w="753"/>
              <w:gridCol w:w="633"/>
              <w:gridCol w:w="1639"/>
              <w:gridCol w:w="762"/>
              <w:gridCol w:w="762"/>
              <w:gridCol w:w="762"/>
              <w:gridCol w:w="771"/>
              <w:gridCol w:w="847"/>
              <w:gridCol w:w="765"/>
              <w:gridCol w:w="762"/>
              <w:gridCol w:w="762"/>
              <w:gridCol w:w="762"/>
              <w:gridCol w:w="762"/>
              <w:gridCol w:w="1105"/>
              <w:gridCol w:w="763"/>
            </w:tblGrid>
            <w:tr w14:paraId="44032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D6954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7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7F0E4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建筑物名称</w:t>
                  </w:r>
                </w:p>
              </w:tc>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4337F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生产线</w:t>
                  </w:r>
                </w:p>
              </w:tc>
              <w:tc>
                <w:tcPr>
                  <w:tcW w:w="16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F5BC8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声源名称</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FD23F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A5AD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声源源强</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36E43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声源控制措施</w:t>
                  </w:r>
                </w:p>
              </w:tc>
              <w:tc>
                <w:tcPr>
                  <w:tcW w:w="238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1D576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空间相对位置</w:t>
                  </w:r>
                  <w:r>
                    <w:rPr>
                      <w:rFonts w:hint="default" w:ascii="Times New Roman" w:hAnsi="Times New Roman" w:eastAsia="宋体" w:cs="Times New Roman"/>
                      <w:b/>
                      <w:bCs/>
                      <w:i w:val="0"/>
                      <w:iCs w:val="0"/>
                      <w:color w:val="000000"/>
                      <w:kern w:val="0"/>
                      <w:sz w:val="21"/>
                      <w:szCs w:val="21"/>
                      <w:u w:val="none"/>
                      <w:lang w:val="en-US" w:eastAsia="zh-CN" w:bidi="ar"/>
                    </w:rPr>
                    <w:t>/m</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3D53D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距室内边界距离</w:t>
                  </w:r>
                  <w:r>
                    <w:rPr>
                      <w:rFonts w:hint="default" w:ascii="Times New Roman" w:hAnsi="Times New Roman" w:eastAsia="宋体" w:cs="Times New Roman"/>
                      <w:b/>
                      <w:bCs/>
                      <w:i w:val="0"/>
                      <w:iCs w:val="0"/>
                      <w:color w:val="000000"/>
                      <w:kern w:val="0"/>
                      <w:sz w:val="21"/>
                      <w:szCs w:val="21"/>
                      <w:u w:val="none"/>
                      <w:lang w:val="en-US" w:eastAsia="zh-CN" w:bidi="ar"/>
                    </w:rPr>
                    <w:t>/m</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FE7D5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室内边界声级</w:t>
                  </w:r>
                  <w:r>
                    <w:rPr>
                      <w:rFonts w:hint="default" w:ascii="Times New Roman" w:hAnsi="Times New Roman" w:eastAsia="宋体" w:cs="Times New Roman"/>
                      <w:b/>
                      <w:bCs/>
                      <w:i w:val="0"/>
                      <w:iCs w:val="0"/>
                      <w:color w:val="000000"/>
                      <w:kern w:val="0"/>
                      <w:sz w:val="21"/>
                      <w:szCs w:val="21"/>
                      <w:u w:val="none"/>
                      <w:lang w:val="en-US" w:eastAsia="zh-CN" w:bidi="ar"/>
                    </w:rPr>
                    <w:t>/dB</w:t>
                  </w:r>
                  <w:r>
                    <w:rPr>
                      <w:rFonts w:hint="eastAsia" w:ascii="宋体" w:hAnsi="宋体" w:eastAsia="宋体" w:cs="宋体"/>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A</w:t>
                  </w:r>
                  <w:r>
                    <w:rPr>
                      <w:rFonts w:hint="eastAsia" w:ascii="宋体" w:hAnsi="宋体" w:eastAsia="宋体" w:cs="宋体"/>
                      <w:b/>
                      <w:bCs/>
                      <w:i w:val="0"/>
                      <w:iCs w:val="0"/>
                      <w:color w:val="000000"/>
                      <w:kern w:val="0"/>
                      <w:sz w:val="21"/>
                      <w:szCs w:val="21"/>
                      <w:u w:val="none"/>
                      <w:lang w:val="en-US" w:eastAsia="zh-CN" w:bidi="ar"/>
                    </w:rPr>
                    <w:t>）</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1EA99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运行时段</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DEEC3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建筑物插入损失</w:t>
                  </w:r>
                  <w:r>
                    <w:rPr>
                      <w:rFonts w:hint="default" w:ascii="Times New Roman" w:hAnsi="Times New Roman" w:eastAsia="宋体" w:cs="Times New Roman"/>
                      <w:b/>
                      <w:bCs/>
                      <w:i w:val="0"/>
                      <w:iCs w:val="0"/>
                      <w:color w:val="000000"/>
                      <w:kern w:val="0"/>
                      <w:sz w:val="21"/>
                      <w:szCs w:val="21"/>
                      <w:u w:val="none"/>
                      <w:lang w:val="en-US" w:eastAsia="zh-CN" w:bidi="ar"/>
                    </w:rPr>
                    <w:t>/dB</w:t>
                  </w:r>
                  <w:r>
                    <w:rPr>
                      <w:rFonts w:hint="eastAsia" w:ascii="宋体" w:hAnsi="宋体" w:eastAsia="宋体" w:cs="宋体"/>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A</w:t>
                  </w:r>
                  <w:r>
                    <w:rPr>
                      <w:rFonts w:hint="eastAsia" w:ascii="宋体" w:hAnsi="宋体" w:eastAsia="宋体" w:cs="宋体"/>
                      <w:b/>
                      <w:bCs/>
                      <w:i w:val="0"/>
                      <w:iCs w:val="0"/>
                      <w:color w:val="000000"/>
                      <w:kern w:val="0"/>
                      <w:sz w:val="21"/>
                      <w:szCs w:val="21"/>
                      <w:u w:val="none"/>
                      <w:lang w:val="en-US" w:eastAsia="zh-CN" w:bidi="ar"/>
                    </w:rPr>
                    <w:t>）</w:t>
                  </w:r>
                </w:p>
              </w:tc>
              <w:tc>
                <w:tcPr>
                  <w:tcW w:w="18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B3689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建筑物外噪声</w:t>
                  </w:r>
                </w:p>
              </w:tc>
            </w:tr>
            <w:tr w14:paraId="0A697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jc w:val="center"/>
              </w:trPr>
              <w:tc>
                <w:tcPr>
                  <w:tcW w:w="5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48AF3">
                  <w:pPr>
                    <w:jc w:val="center"/>
                    <w:rPr>
                      <w:rFonts w:hint="default" w:ascii="Times New Roman" w:hAnsi="Times New Roman" w:eastAsia="宋体" w:cs="Times New Roman"/>
                      <w:b/>
                      <w:bCs/>
                      <w:i w:val="0"/>
                      <w:iCs w:val="0"/>
                      <w:color w:val="000000"/>
                      <w:sz w:val="21"/>
                      <w:szCs w:val="21"/>
                      <w:u w:val="none"/>
                    </w:rPr>
                  </w:pP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2ECB4">
                  <w:pPr>
                    <w:jc w:val="center"/>
                    <w:rPr>
                      <w:rFonts w:hint="default" w:ascii="Times New Roman" w:hAnsi="Times New Roman" w:eastAsia="宋体" w:cs="Times New Roman"/>
                      <w:b/>
                      <w:bCs/>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F8742">
                  <w:pPr>
                    <w:jc w:val="center"/>
                    <w:rPr>
                      <w:rFonts w:hint="default" w:ascii="Times New Roman" w:hAnsi="Times New Roman" w:eastAsia="宋体" w:cs="Times New Roman"/>
                      <w:b/>
                      <w:bCs/>
                      <w:i w:val="0"/>
                      <w:iCs w:val="0"/>
                      <w:color w:val="000000"/>
                      <w:sz w:val="21"/>
                      <w:szCs w:val="21"/>
                      <w:u w:val="none"/>
                    </w:rPr>
                  </w:pPr>
                </w:p>
              </w:tc>
              <w:tc>
                <w:tcPr>
                  <w:tcW w:w="16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BE8CB">
                  <w:pPr>
                    <w:jc w:val="center"/>
                    <w:rPr>
                      <w:rFonts w:hint="default" w:ascii="Times New Roman" w:hAnsi="Times New Roman" w:eastAsia="宋体" w:cs="Times New Roman"/>
                      <w:b/>
                      <w:bCs/>
                      <w:i w:val="0"/>
                      <w:iCs w:val="0"/>
                      <w:color w:val="000000"/>
                      <w:sz w:val="21"/>
                      <w:szCs w:val="21"/>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CDACE">
                  <w:pPr>
                    <w:jc w:val="center"/>
                    <w:rPr>
                      <w:rFonts w:hint="default" w:ascii="Times New Roman" w:hAnsi="Times New Roman" w:eastAsia="宋体" w:cs="Times New Roman"/>
                      <w:b/>
                      <w:bCs/>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B4B8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声压级</w:t>
                  </w:r>
                  <w:r>
                    <w:rPr>
                      <w:rFonts w:hint="default" w:ascii="Times New Roman" w:hAnsi="Times New Roman" w:eastAsia="宋体" w:cs="Times New Roman"/>
                      <w:b/>
                      <w:bCs/>
                      <w:i w:val="0"/>
                      <w:iCs w:val="0"/>
                      <w:color w:val="000000"/>
                      <w:kern w:val="0"/>
                      <w:sz w:val="21"/>
                      <w:szCs w:val="21"/>
                      <w:u w:val="none"/>
                      <w:lang w:val="en-US" w:eastAsia="zh-CN" w:bidi="ar"/>
                    </w:rPr>
                    <w:t>/dB</w:t>
                  </w:r>
                  <w:r>
                    <w:rPr>
                      <w:rFonts w:hint="eastAsia" w:ascii="宋体" w:hAnsi="宋体" w:eastAsia="宋体" w:cs="宋体"/>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A</w:t>
                  </w:r>
                  <w:r>
                    <w:rPr>
                      <w:rFonts w:hint="eastAsia" w:ascii="宋体" w:hAnsi="宋体" w:eastAsia="宋体" w:cs="宋体"/>
                      <w:b/>
                      <w:bCs/>
                      <w:i w:val="0"/>
                      <w:iCs w:val="0"/>
                      <w:color w:val="000000"/>
                      <w:kern w:val="0"/>
                      <w:sz w:val="21"/>
                      <w:szCs w:val="21"/>
                      <w:u w:val="none"/>
                      <w:lang w:val="en-US" w:eastAsia="zh-CN" w:bidi="ar"/>
                    </w:rPr>
                    <w:t>）</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8D18C">
                  <w:pPr>
                    <w:jc w:val="center"/>
                    <w:rPr>
                      <w:rFonts w:hint="default" w:ascii="Times New Roman" w:hAnsi="Times New Roman" w:eastAsia="宋体" w:cs="Times New Roman"/>
                      <w:b/>
                      <w:bCs/>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922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X</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4C8E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Y</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DE4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Z</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0D0BA">
                  <w:pPr>
                    <w:jc w:val="center"/>
                    <w:rPr>
                      <w:rFonts w:hint="default" w:ascii="Times New Roman" w:hAnsi="Times New Roman" w:eastAsia="宋体" w:cs="Times New Roman"/>
                      <w:b/>
                      <w:bCs/>
                      <w:i w:val="0"/>
                      <w:iCs w:val="0"/>
                      <w:color w:val="000000"/>
                      <w:sz w:val="21"/>
                      <w:szCs w:val="21"/>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D91BE">
                  <w:pPr>
                    <w:jc w:val="center"/>
                    <w:rPr>
                      <w:rFonts w:hint="default" w:ascii="Times New Roman" w:hAnsi="Times New Roman" w:eastAsia="宋体" w:cs="Times New Roman"/>
                      <w:b/>
                      <w:bCs/>
                      <w:i w:val="0"/>
                      <w:iCs w:val="0"/>
                      <w:color w:val="000000"/>
                      <w:sz w:val="21"/>
                      <w:szCs w:val="21"/>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7077D">
                  <w:pPr>
                    <w:jc w:val="center"/>
                    <w:rPr>
                      <w:rFonts w:hint="default" w:ascii="Times New Roman" w:hAnsi="Times New Roman" w:eastAsia="宋体" w:cs="Times New Roman"/>
                      <w:b/>
                      <w:bCs/>
                      <w:i w:val="0"/>
                      <w:iCs w:val="0"/>
                      <w:color w:val="000000"/>
                      <w:sz w:val="21"/>
                      <w:szCs w:val="21"/>
                      <w:u w:val="none"/>
                    </w:rPr>
                  </w:pP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A45BD">
                  <w:pPr>
                    <w:jc w:val="center"/>
                    <w:rPr>
                      <w:rFonts w:hint="default" w:ascii="Times New Roman" w:hAnsi="Times New Roman" w:eastAsia="宋体" w:cs="Times New Roman"/>
                      <w:b/>
                      <w:bCs/>
                      <w:i w:val="0"/>
                      <w:iCs w:val="0"/>
                      <w:color w:val="000000"/>
                      <w:sz w:val="21"/>
                      <w:szCs w:val="21"/>
                      <w:u w:val="none"/>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CD7B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声压级</w:t>
                  </w:r>
                  <w:r>
                    <w:rPr>
                      <w:rFonts w:hint="default" w:ascii="Times New Roman" w:hAnsi="Times New Roman" w:eastAsia="宋体" w:cs="Times New Roman"/>
                      <w:b/>
                      <w:bCs/>
                      <w:i w:val="0"/>
                      <w:iCs w:val="0"/>
                      <w:color w:val="000000"/>
                      <w:kern w:val="0"/>
                      <w:sz w:val="21"/>
                      <w:szCs w:val="21"/>
                      <w:u w:val="none"/>
                      <w:lang w:val="en-US" w:eastAsia="zh-CN" w:bidi="ar"/>
                    </w:rPr>
                    <w:t xml:space="preserve">  /dB</w:t>
                  </w:r>
                  <w:r>
                    <w:rPr>
                      <w:rFonts w:hint="eastAsia" w:ascii="宋体" w:hAnsi="宋体" w:eastAsia="宋体" w:cs="宋体"/>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A</w:t>
                  </w:r>
                  <w:r>
                    <w:rPr>
                      <w:rFonts w:hint="eastAsia" w:ascii="宋体" w:hAnsi="宋体" w:eastAsia="宋体" w:cs="宋体"/>
                      <w:b/>
                      <w:bCs/>
                      <w:i w:val="0"/>
                      <w:iCs w:val="0"/>
                      <w:color w:val="000000"/>
                      <w:kern w:val="0"/>
                      <w:sz w:val="21"/>
                      <w:szCs w:val="21"/>
                      <w:u w:val="none"/>
                      <w:lang w:val="en-US" w:eastAsia="zh-CN" w:bidi="ar"/>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66EA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建筑物外距离</w:t>
                  </w:r>
                </w:p>
              </w:tc>
            </w:tr>
            <w:tr w14:paraId="20A51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078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CA9D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r>
                    <w:rPr>
                      <w:rFonts w:hint="eastAsia" w:ascii="宋体" w:hAnsi="宋体" w:eastAsia="宋体" w:cs="宋体"/>
                      <w:i w:val="0"/>
                      <w:iCs w:val="0"/>
                      <w:color w:val="000000"/>
                      <w:kern w:val="0"/>
                      <w:sz w:val="21"/>
                      <w:szCs w:val="21"/>
                      <w:u w:val="none"/>
                      <w:lang w:val="en-US" w:eastAsia="zh-CN" w:bidi="ar"/>
                    </w:rPr>
                    <w:t>厂房</w:t>
                  </w:r>
                </w:p>
              </w:tc>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02D8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拆框区</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3C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单玻拆框机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44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FD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1494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减震、隔声</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D31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BC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992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FB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55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64.0 </w:t>
                  </w:r>
                </w:p>
              </w:tc>
              <w:tc>
                <w:tcPr>
                  <w:tcW w:w="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ECCC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昼夜</w:t>
                  </w:r>
                  <w:r>
                    <w:rPr>
                      <w:rFonts w:hint="default" w:ascii="Times New Roman" w:hAnsi="Times New Roman" w:eastAsia="宋体" w:cs="Times New Roman"/>
                      <w:i w:val="0"/>
                      <w:iCs w:val="0"/>
                      <w:color w:val="000000"/>
                      <w:kern w:val="0"/>
                      <w:sz w:val="21"/>
                      <w:szCs w:val="21"/>
                      <w:u w:val="none"/>
                      <w:lang w:val="en-US" w:eastAsia="zh-CN" w:bidi="ar"/>
                    </w:rPr>
                    <w:t>24h</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22F6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CC9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49.0 </w:t>
                  </w:r>
                </w:p>
              </w:tc>
              <w:tc>
                <w:tcPr>
                  <w:tcW w:w="7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72B5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1m</w:t>
                  </w:r>
                </w:p>
              </w:tc>
            </w:tr>
            <w:tr w14:paraId="1DB3C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F03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982F3">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6A229">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365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双玻拆框机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49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04D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4FD32">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A00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2F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7A7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D0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BD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64.0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E3D3F">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91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994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49.0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98658">
                  <w:pPr>
                    <w:jc w:val="center"/>
                    <w:rPr>
                      <w:rFonts w:hint="default" w:ascii="Times New Roman" w:hAnsi="Times New Roman" w:eastAsia="宋体" w:cs="Times New Roman"/>
                      <w:i w:val="0"/>
                      <w:iCs w:val="0"/>
                      <w:color w:val="000000"/>
                      <w:sz w:val="21"/>
                      <w:szCs w:val="21"/>
                      <w:u w:val="none"/>
                    </w:rPr>
                  </w:pPr>
                </w:p>
              </w:tc>
            </w:tr>
            <w:tr w14:paraId="39B56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8A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BD8F7">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7B795">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00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撕碎机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185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3B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A1FC4">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74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EBA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6EB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875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A6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64.0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331D6">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57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C15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49.0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35DF1">
                  <w:pPr>
                    <w:jc w:val="center"/>
                    <w:rPr>
                      <w:rFonts w:hint="default" w:ascii="Times New Roman" w:hAnsi="Times New Roman" w:eastAsia="宋体" w:cs="Times New Roman"/>
                      <w:i w:val="0"/>
                      <w:iCs w:val="0"/>
                      <w:color w:val="000000"/>
                      <w:sz w:val="21"/>
                      <w:szCs w:val="21"/>
                      <w:u w:val="none"/>
                    </w:rPr>
                  </w:pPr>
                </w:p>
              </w:tc>
            </w:tr>
            <w:tr w14:paraId="386AE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D88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71DCE">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077D5">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4B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铜米机器</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24F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1C1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06801">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7D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18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EBE1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42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19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59.0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80048">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28D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73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44.0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A29DF">
                  <w:pPr>
                    <w:jc w:val="center"/>
                    <w:rPr>
                      <w:rFonts w:hint="default" w:ascii="Times New Roman" w:hAnsi="Times New Roman" w:eastAsia="宋体" w:cs="Times New Roman"/>
                      <w:i w:val="0"/>
                      <w:iCs w:val="0"/>
                      <w:color w:val="000000"/>
                      <w:sz w:val="21"/>
                      <w:szCs w:val="21"/>
                      <w:u w:val="none"/>
                    </w:rPr>
                  </w:pPr>
                </w:p>
              </w:tc>
            </w:tr>
            <w:tr w14:paraId="36E68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55A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D8A07">
                  <w:pPr>
                    <w:jc w:val="center"/>
                    <w:rPr>
                      <w:rFonts w:hint="default" w:ascii="Times New Roman" w:hAnsi="Times New Roman" w:eastAsia="宋体" w:cs="Times New Roman"/>
                      <w:i w:val="0"/>
                      <w:iCs w:val="0"/>
                      <w:color w:val="000000"/>
                      <w:sz w:val="21"/>
                      <w:szCs w:val="21"/>
                      <w:u w:val="none"/>
                    </w:rPr>
                  </w:pPr>
                </w:p>
              </w:tc>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DD5B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生产区</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966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大振动筛</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30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23D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04419">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22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A3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EB7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B31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74D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41.0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89856">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7DA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59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26.0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E3FE0">
                  <w:pPr>
                    <w:jc w:val="center"/>
                    <w:rPr>
                      <w:rFonts w:hint="default" w:ascii="Times New Roman" w:hAnsi="Times New Roman" w:eastAsia="宋体" w:cs="Times New Roman"/>
                      <w:i w:val="0"/>
                      <w:iCs w:val="0"/>
                      <w:color w:val="000000"/>
                      <w:sz w:val="21"/>
                      <w:szCs w:val="21"/>
                      <w:u w:val="none"/>
                    </w:rPr>
                  </w:pPr>
                </w:p>
              </w:tc>
            </w:tr>
            <w:tr w14:paraId="091BA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E1C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F26F4">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86313">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88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旋风分离器</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255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DDC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E7568">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DB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117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ED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163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FCF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50.2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2B14B">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C9A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8AE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35.2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74249">
                  <w:pPr>
                    <w:jc w:val="center"/>
                    <w:rPr>
                      <w:rFonts w:hint="default" w:ascii="Times New Roman" w:hAnsi="Times New Roman" w:eastAsia="宋体" w:cs="Times New Roman"/>
                      <w:i w:val="0"/>
                      <w:iCs w:val="0"/>
                      <w:color w:val="000000"/>
                      <w:sz w:val="21"/>
                      <w:szCs w:val="21"/>
                      <w:u w:val="none"/>
                    </w:rPr>
                  </w:pPr>
                </w:p>
              </w:tc>
            </w:tr>
            <w:tr w14:paraId="6A864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35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69264">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5ABAC">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D6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涡电流分选机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F12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3F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7B666">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6E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52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26</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3A6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68C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26</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D1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43.7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3D40D">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335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184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28.7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15B71">
                  <w:pPr>
                    <w:jc w:val="center"/>
                    <w:rPr>
                      <w:rFonts w:hint="default" w:ascii="Times New Roman" w:hAnsi="Times New Roman" w:eastAsia="宋体" w:cs="Times New Roman"/>
                      <w:i w:val="0"/>
                      <w:iCs w:val="0"/>
                      <w:color w:val="000000"/>
                      <w:sz w:val="21"/>
                      <w:szCs w:val="21"/>
                      <w:u w:val="none"/>
                    </w:rPr>
                  </w:pPr>
                </w:p>
              </w:tc>
            </w:tr>
            <w:tr w14:paraId="5C17E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638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13445">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93A75">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72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风选机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0E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300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F2DE1">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738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53~60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AE2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18~23</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D30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B4A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CB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46.0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190A8">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7A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564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31.0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D99B0">
                  <w:pPr>
                    <w:jc w:val="center"/>
                    <w:rPr>
                      <w:rFonts w:hint="default" w:ascii="Times New Roman" w:hAnsi="Times New Roman" w:eastAsia="宋体" w:cs="Times New Roman"/>
                      <w:i w:val="0"/>
                      <w:iCs w:val="0"/>
                      <w:color w:val="000000"/>
                      <w:sz w:val="21"/>
                      <w:szCs w:val="21"/>
                      <w:u w:val="none"/>
                    </w:rPr>
                  </w:pPr>
                </w:p>
              </w:tc>
            </w:tr>
            <w:tr w14:paraId="4A579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E16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1D10C">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FD288">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876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比重色选机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D5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879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289BC">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D0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1AE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F1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B3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12D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51.2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5C0E5">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AB8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D4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36.2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034C5">
                  <w:pPr>
                    <w:jc w:val="center"/>
                    <w:rPr>
                      <w:rFonts w:hint="default" w:ascii="Times New Roman" w:hAnsi="Times New Roman" w:eastAsia="宋体" w:cs="Times New Roman"/>
                      <w:i w:val="0"/>
                      <w:iCs w:val="0"/>
                      <w:color w:val="000000"/>
                      <w:sz w:val="21"/>
                      <w:szCs w:val="21"/>
                      <w:u w:val="none"/>
                    </w:rPr>
                  </w:pPr>
                </w:p>
              </w:tc>
            </w:tr>
            <w:tr w14:paraId="18148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A1C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FBDC8">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34B2C">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DC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清洗炉</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78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B3C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F1CD9">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F21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47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DFB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354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1BC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43.9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A355E">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216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45B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28.9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B8EDA">
                  <w:pPr>
                    <w:jc w:val="center"/>
                    <w:rPr>
                      <w:rFonts w:hint="default" w:ascii="Times New Roman" w:hAnsi="Times New Roman" w:eastAsia="宋体" w:cs="Times New Roman"/>
                      <w:i w:val="0"/>
                      <w:iCs w:val="0"/>
                      <w:color w:val="000000"/>
                      <w:sz w:val="21"/>
                      <w:szCs w:val="21"/>
                      <w:u w:val="none"/>
                    </w:rPr>
                  </w:pPr>
                </w:p>
              </w:tc>
            </w:tr>
            <w:tr w14:paraId="15304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23B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337F7">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81C89">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6D1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小直线筛</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086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F3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14B86">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14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FE4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6~10</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6C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784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F16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48.9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3308D">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F1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794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33.9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1C58A">
                  <w:pPr>
                    <w:jc w:val="center"/>
                    <w:rPr>
                      <w:rFonts w:hint="default" w:ascii="Times New Roman" w:hAnsi="Times New Roman" w:eastAsia="宋体" w:cs="Times New Roman"/>
                      <w:i w:val="0"/>
                      <w:iCs w:val="0"/>
                      <w:color w:val="000000"/>
                      <w:sz w:val="21"/>
                      <w:szCs w:val="21"/>
                      <w:u w:val="none"/>
                    </w:rPr>
                  </w:pPr>
                </w:p>
              </w:tc>
            </w:tr>
            <w:tr w14:paraId="62A4B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9D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F1912">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FEA8A">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5B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洗砂机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67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44C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FD12B">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BE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146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D1F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63A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990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50.1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30580">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FCF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910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35.1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1E164">
                  <w:pPr>
                    <w:jc w:val="center"/>
                    <w:rPr>
                      <w:rFonts w:hint="default" w:ascii="Times New Roman" w:hAnsi="Times New Roman" w:eastAsia="宋体" w:cs="Times New Roman"/>
                      <w:i w:val="0"/>
                      <w:iCs w:val="0"/>
                      <w:color w:val="000000"/>
                      <w:sz w:val="21"/>
                      <w:szCs w:val="21"/>
                      <w:u w:val="none"/>
                    </w:rPr>
                  </w:pPr>
                </w:p>
              </w:tc>
            </w:tr>
            <w:tr w14:paraId="106E7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526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710ED">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C1ACE">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3FE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烘干炉</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09D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0F7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1A7EF">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44D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E4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ED0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08E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59E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45.1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60F3F">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908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05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30.1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9F79C">
                  <w:pPr>
                    <w:jc w:val="center"/>
                    <w:rPr>
                      <w:rFonts w:hint="default" w:ascii="Times New Roman" w:hAnsi="Times New Roman" w:eastAsia="宋体" w:cs="Times New Roman"/>
                      <w:i w:val="0"/>
                      <w:iCs w:val="0"/>
                      <w:color w:val="000000"/>
                      <w:sz w:val="21"/>
                      <w:szCs w:val="21"/>
                      <w:u w:val="none"/>
                    </w:rPr>
                  </w:pPr>
                </w:p>
              </w:tc>
            </w:tr>
            <w:tr w14:paraId="024BD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7C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283E5">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36C92">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F0B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色选机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E9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21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BBA94">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7CE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E5C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ED8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BC0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A43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56.4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E5E10">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D9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88D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41.4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AB72C">
                  <w:pPr>
                    <w:jc w:val="center"/>
                    <w:rPr>
                      <w:rFonts w:hint="default" w:ascii="Times New Roman" w:hAnsi="Times New Roman" w:eastAsia="宋体" w:cs="Times New Roman"/>
                      <w:i w:val="0"/>
                      <w:iCs w:val="0"/>
                      <w:color w:val="000000"/>
                      <w:sz w:val="21"/>
                      <w:szCs w:val="21"/>
                      <w:u w:val="none"/>
                    </w:rPr>
                  </w:pPr>
                </w:p>
              </w:tc>
            </w:tr>
            <w:tr w14:paraId="6A10B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E2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43475">
                  <w:pPr>
                    <w:jc w:val="center"/>
                    <w:rPr>
                      <w:rFonts w:hint="default" w:ascii="Times New Roman" w:hAnsi="Times New Roman" w:eastAsia="宋体" w:cs="Times New Roman"/>
                      <w:i w:val="0"/>
                      <w:iCs w:val="0"/>
                      <w:color w:val="000000"/>
                      <w:sz w:val="21"/>
                      <w:szCs w:val="21"/>
                      <w:u w:val="none"/>
                    </w:rPr>
                  </w:pPr>
                </w:p>
              </w:tc>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DBBE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生产区</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AD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大振动筛</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42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B7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B59A8">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B99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73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594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056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81C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41.0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6CC33">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C0F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DF9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26.0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51AAC">
                  <w:pPr>
                    <w:jc w:val="center"/>
                    <w:rPr>
                      <w:rFonts w:hint="default" w:ascii="Times New Roman" w:hAnsi="Times New Roman" w:eastAsia="宋体" w:cs="Times New Roman"/>
                      <w:i w:val="0"/>
                      <w:iCs w:val="0"/>
                      <w:color w:val="000000"/>
                      <w:sz w:val="21"/>
                      <w:szCs w:val="21"/>
                      <w:u w:val="none"/>
                    </w:rPr>
                  </w:pPr>
                </w:p>
              </w:tc>
            </w:tr>
            <w:tr w14:paraId="6D0EC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7A9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23741">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30BDA">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CC5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旋风分离器</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39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6C3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E2AAC">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0BA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48</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B5D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52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258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1A5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51.9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6A8F8">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5F8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2B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36.9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CC193">
                  <w:pPr>
                    <w:jc w:val="center"/>
                    <w:rPr>
                      <w:rFonts w:hint="default" w:ascii="Times New Roman" w:hAnsi="Times New Roman" w:eastAsia="宋体" w:cs="Times New Roman"/>
                      <w:i w:val="0"/>
                      <w:iCs w:val="0"/>
                      <w:color w:val="000000"/>
                      <w:sz w:val="21"/>
                      <w:szCs w:val="21"/>
                      <w:u w:val="none"/>
                    </w:rPr>
                  </w:pPr>
                </w:p>
              </w:tc>
            </w:tr>
            <w:tr w14:paraId="02CE8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8E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20F87">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45ECF">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8D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涡电流分选机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6C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3AB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19338">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3B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52</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95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FC8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CDC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8BB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49.1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33995">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4C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F0E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34.1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04E6D">
                  <w:pPr>
                    <w:jc w:val="center"/>
                    <w:rPr>
                      <w:rFonts w:hint="default" w:ascii="Times New Roman" w:hAnsi="Times New Roman" w:eastAsia="宋体" w:cs="Times New Roman"/>
                      <w:i w:val="0"/>
                      <w:iCs w:val="0"/>
                      <w:color w:val="000000"/>
                      <w:sz w:val="21"/>
                      <w:szCs w:val="21"/>
                      <w:u w:val="none"/>
                    </w:rPr>
                  </w:pPr>
                </w:p>
              </w:tc>
            </w:tr>
            <w:tr w14:paraId="2FF69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6FEE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6F944">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8F711">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D3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风选机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32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5F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7F821">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DBA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53~60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61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38~43</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CE7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0D0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15B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46.0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FDC28">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C5D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23E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31.0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D0B01">
                  <w:pPr>
                    <w:jc w:val="center"/>
                    <w:rPr>
                      <w:rFonts w:hint="default" w:ascii="Times New Roman" w:hAnsi="Times New Roman" w:eastAsia="宋体" w:cs="Times New Roman"/>
                      <w:i w:val="0"/>
                      <w:iCs w:val="0"/>
                      <w:color w:val="000000"/>
                      <w:sz w:val="21"/>
                      <w:szCs w:val="21"/>
                      <w:u w:val="none"/>
                    </w:rPr>
                  </w:pPr>
                </w:p>
              </w:tc>
            </w:tr>
            <w:tr w14:paraId="4E9AE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F7F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B637D">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0D400">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526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比重色选机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BCD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C08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29772">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F5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F4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51</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7E9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1A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6C2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52.9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EA394">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0D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EC1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37.9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D4C7F">
                  <w:pPr>
                    <w:jc w:val="center"/>
                    <w:rPr>
                      <w:rFonts w:hint="default" w:ascii="Times New Roman" w:hAnsi="Times New Roman" w:eastAsia="宋体" w:cs="Times New Roman"/>
                      <w:i w:val="0"/>
                      <w:iCs w:val="0"/>
                      <w:color w:val="000000"/>
                      <w:sz w:val="21"/>
                      <w:szCs w:val="21"/>
                      <w:u w:val="none"/>
                    </w:rPr>
                  </w:pPr>
                </w:p>
              </w:tc>
            </w:tr>
            <w:tr w14:paraId="67813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77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413F0">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AADD7">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EA8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清洗炉</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DE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4FB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F843B">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C6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49</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9A8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52</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0B2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D2D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18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43.9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D1466">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F6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931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28.9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C3C45">
                  <w:pPr>
                    <w:jc w:val="center"/>
                    <w:rPr>
                      <w:rFonts w:hint="default" w:ascii="Times New Roman" w:hAnsi="Times New Roman" w:eastAsia="宋体" w:cs="Times New Roman"/>
                      <w:i w:val="0"/>
                      <w:iCs w:val="0"/>
                      <w:color w:val="000000"/>
                      <w:sz w:val="21"/>
                      <w:szCs w:val="21"/>
                      <w:u w:val="none"/>
                    </w:rPr>
                  </w:pPr>
                </w:p>
              </w:tc>
            </w:tr>
            <w:tr w14:paraId="6A776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BA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21</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E3434">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242EF">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5D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小直线筛</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16C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34E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D7EAB">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00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40~50</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D7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50~54</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C02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BCB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68D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48.9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AC164">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DFC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22B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33.9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735B6">
                  <w:pPr>
                    <w:jc w:val="center"/>
                    <w:rPr>
                      <w:rFonts w:hint="default" w:ascii="Times New Roman" w:hAnsi="Times New Roman" w:eastAsia="宋体" w:cs="Times New Roman"/>
                      <w:i w:val="0"/>
                      <w:iCs w:val="0"/>
                      <w:color w:val="000000"/>
                      <w:sz w:val="21"/>
                      <w:szCs w:val="21"/>
                      <w:u w:val="none"/>
                    </w:rPr>
                  </w:pPr>
                </w:p>
              </w:tc>
            </w:tr>
            <w:tr w14:paraId="7D51E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487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42709">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AEC2F">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37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洗砂机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6E1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662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8F10B">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FA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F2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53</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5A1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09A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F5F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50.1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1B2C6">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09A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9ED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35.1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22179">
                  <w:pPr>
                    <w:jc w:val="center"/>
                    <w:rPr>
                      <w:rFonts w:hint="default" w:ascii="Times New Roman" w:hAnsi="Times New Roman" w:eastAsia="宋体" w:cs="Times New Roman"/>
                      <w:i w:val="0"/>
                      <w:iCs w:val="0"/>
                      <w:color w:val="000000"/>
                      <w:sz w:val="21"/>
                      <w:szCs w:val="21"/>
                      <w:u w:val="none"/>
                    </w:rPr>
                  </w:pPr>
                </w:p>
              </w:tc>
            </w:tr>
            <w:tr w14:paraId="5A909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53E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CCC6E">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09170">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34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烘干炉</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B2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E9D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A32C7">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D7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43</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D2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53</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7C0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2923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25B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45.1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B1746">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640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6C0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30.1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BB742">
                  <w:pPr>
                    <w:jc w:val="center"/>
                    <w:rPr>
                      <w:rFonts w:hint="default" w:ascii="Times New Roman" w:hAnsi="Times New Roman" w:eastAsia="宋体" w:cs="Times New Roman"/>
                      <w:i w:val="0"/>
                      <w:iCs w:val="0"/>
                      <w:color w:val="000000"/>
                      <w:sz w:val="21"/>
                      <w:szCs w:val="21"/>
                      <w:u w:val="none"/>
                    </w:rPr>
                  </w:pPr>
                </w:p>
              </w:tc>
            </w:tr>
            <w:tr w14:paraId="2F39C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jc w:val="center"/>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7C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9E00C">
                  <w:pPr>
                    <w:jc w:val="center"/>
                    <w:rPr>
                      <w:rFonts w:hint="default" w:ascii="Times New Roman" w:hAnsi="Times New Roman" w:eastAsia="宋体" w:cs="Times New Roman"/>
                      <w:i w:val="0"/>
                      <w:iCs w:val="0"/>
                      <w:color w:val="000000"/>
                      <w:sz w:val="21"/>
                      <w:szCs w:val="21"/>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179AB">
                  <w:pPr>
                    <w:jc w:val="center"/>
                    <w:rPr>
                      <w:rFonts w:hint="default" w:ascii="Times New Roman" w:hAnsi="Times New Roman" w:eastAsia="宋体" w:cs="Times New Roman"/>
                      <w:i w:val="0"/>
                      <w:iCs w:val="0"/>
                      <w:color w:val="000000"/>
                      <w:sz w:val="21"/>
                      <w:szCs w:val="21"/>
                      <w:u w:val="none"/>
                    </w:rPr>
                  </w:pP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261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色选机</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A01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36B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0A354">
                  <w:pPr>
                    <w:jc w:val="center"/>
                    <w:rPr>
                      <w:rFonts w:hint="default" w:ascii="Times New Roman" w:hAnsi="Times New Roman" w:eastAsia="宋体" w:cs="Times New Roman"/>
                      <w:i w:val="0"/>
                      <w:iCs w:val="0"/>
                      <w:color w:val="000000"/>
                      <w:sz w:val="21"/>
                      <w:szCs w:val="21"/>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3D7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521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54</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D1D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4B4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A3C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56.4 </w:t>
                  </w:r>
                </w:p>
              </w:tc>
              <w:tc>
                <w:tcPr>
                  <w:tcW w:w="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2B18C">
                  <w:pPr>
                    <w:jc w:val="center"/>
                    <w:rPr>
                      <w:rFonts w:hint="default" w:ascii="Times New Roman" w:hAnsi="Times New Roman" w:eastAsia="宋体" w:cs="Times New Roman"/>
                      <w:i w:val="0"/>
                      <w:iCs w:val="0"/>
                      <w:color w:val="000000"/>
                      <w:sz w:val="21"/>
                      <w:szCs w:val="21"/>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C2E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AC9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41.4 </w:t>
                  </w: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58242">
                  <w:pPr>
                    <w:jc w:val="center"/>
                    <w:rPr>
                      <w:rFonts w:hint="default" w:ascii="Times New Roman" w:hAnsi="Times New Roman" w:eastAsia="宋体" w:cs="Times New Roman"/>
                      <w:i w:val="0"/>
                      <w:iCs w:val="0"/>
                      <w:color w:val="000000"/>
                      <w:sz w:val="21"/>
                      <w:szCs w:val="21"/>
                      <w:u w:val="none"/>
                    </w:rPr>
                  </w:pPr>
                </w:p>
              </w:tc>
            </w:tr>
          </w:tbl>
          <w:p w14:paraId="6EC4FA4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宋体" w:cs="Times New Roman"/>
                <w:b/>
                <w:color w:val="auto"/>
                <w:spacing w:val="0"/>
                <w:szCs w:val="21"/>
                <w:lang w:val="en-US" w:eastAsia="zh-CN"/>
              </w:rPr>
            </w:pPr>
            <w:r>
              <w:rPr>
                <w:rFonts w:hint="default" w:ascii="Times New Roman" w:hAnsi="Times New Roman" w:eastAsia="宋体" w:cs="Times New Roman"/>
                <w:b/>
                <w:color w:val="auto"/>
                <w:spacing w:val="0"/>
                <w:szCs w:val="21"/>
                <w:lang w:val="en-US" w:eastAsia="zh-CN"/>
              </w:rPr>
              <w:t>表4-</w:t>
            </w:r>
            <w:r>
              <w:rPr>
                <w:rFonts w:hint="eastAsia" w:cs="Times New Roman"/>
                <w:b/>
                <w:color w:val="auto"/>
                <w:spacing w:val="0"/>
                <w:szCs w:val="21"/>
                <w:lang w:val="en-US" w:eastAsia="zh-CN"/>
              </w:rPr>
              <w:t>28</w:t>
            </w:r>
            <w:r>
              <w:rPr>
                <w:rFonts w:hint="default" w:ascii="Times New Roman" w:hAnsi="Times New Roman" w:eastAsia="宋体" w:cs="Times New Roman"/>
                <w:b/>
                <w:color w:val="auto"/>
                <w:spacing w:val="0"/>
                <w:szCs w:val="21"/>
                <w:lang w:val="en-US" w:eastAsia="zh-CN"/>
              </w:rPr>
              <w:t xml:space="preserve">  </w:t>
            </w:r>
            <w:r>
              <w:rPr>
                <w:rFonts w:hint="default" w:ascii="Times New Roman" w:hAnsi="Times New Roman" w:eastAsia="宋体" w:cs="Times New Roman"/>
                <w:b/>
                <w:color w:val="auto"/>
                <w:spacing w:val="0"/>
                <w:szCs w:val="21"/>
              </w:rPr>
              <w:t>项目噪声</w:t>
            </w:r>
            <w:r>
              <w:rPr>
                <w:rFonts w:hint="default" w:ascii="Times New Roman" w:hAnsi="Times New Roman" w:eastAsia="宋体" w:cs="Times New Roman"/>
                <w:b/>
                <w:color w:val="auto"/>
                <w:spacing w:val="0"/>
                <w:szCs w:val="21"/>
                <w:lang w:val="en-US" w:eastAsia="zh-CN"/>
              </w:rPr>
              <w:t>源强调查清单</w:t>
            </w:r>
            <w:r>
              <w:rPr>
                <w:rFonts w:hint="eastAsia" w:cs="Times New Roman"/>
                <w:b/>
                <w:color w:val="auto"/>
                <w:spacing w:val="0"/>
                <w:szCs w:val="21"/>
                <w:lang w:val="en-US" w:eastAsia="zh-CN"/>
              </w:rPr>
              <w:t>（</w:t>
            </w:r>
            <w:r>
              <w:rPr>
                <w:rFonts w:hint="default" w:ascii="Times New Roman" w:hAnsi="Times New Roman" w:eastAsia="宋体" w:cs="Times New Roman"/>
                <w:b/>
                <w:color w:val="auto"/>
                <w:spacing w:val="0"/>
                <w:szCs w:val="21"/>
                <w:lang w:val="en-US" w:eastAsia="zh-CN"/>
              </w:rPr>
              <w:t>室外）</w:t>
            </w:r>
          </w:p>
          <w:tbl>
            <w:tblPr>
              <w:tblStyle w:val="26"/>
              <w:tblW w:w="132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43"/>
              <w:gridCol w:w="2437"/>
              <w:gridCol w:w="1443"/>
              <w:gridCol w:w="1443"/>
              <w:gridCol w:w="1545"/>
              <w:gridCol w:w="1437"/>
              <w:gridCol w:w="2067"/>
              <w:gridCol w:w="1443"/>
            </w:tblGrid>
            <w:tr w14:paraId="31544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14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213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43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03E2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声源名称</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48BE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声源源强</w:t>
                  </w:r>
                </w:p>
              </w:tc>
              <w:tc>
                <w:tcPr>
                  <w:tcW w:w="14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43B0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声源控制措施</w:t>
                  </w:r>
                </w:p>
              </w:tc>
              <w:tc>
                <w:tcPr>
                  <w:tcW w:w="5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0248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空间相对位置</w:t>
                  </w:r>
                  <w:r>
                    <w:rPr>
                      <w:rFonts w:hint="default" w:ascii="Times New Roman" w:hAnsi="Times New Roman" w:eastAsia="宋体" w:cs="Times New Roman"/>
                      <w:b/>
                      <w:bCs/>
                      <w:i w:val="0"/>
                      <w:iCs w:val="0"/>
                      <w:color w:val="000000"/>
                      <w:kern w:val="0"/>
                      <w:sz w:val="21"/>
                      <w:szCs w:val="21"/>
                      <w:u w:val="none"/>
                      <w:lang w:val="en-US" w:eastAsia="zh-CN" w:bidi="ar"/>
                    </w:rPr>
                    <w:t>/m</w:t>
                  </w:r>
                </w:p>
              </w:tc>
              <w:tc>
                <w:tcPr>
                  <w:tcW w:w="14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A3AB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运行时段</w:t>
                  </w:r>
                </w:p>
              </w:tc>
            </w:tr>
            <w:tr w14:paraId="10E36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jc w:val="center"/>
              </w:trPr>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DB808">
                  <w:pPr>
                    <w:jc w:val="center"/>
                    <w:rPr>
                      <w:rFonts w:hint="default" w:ascii="Times New Roman" w:hAnsi="Times New Roman" w:eastAsia="宋体" w:cs="Times New Roman"/>
                      <w:b/>
                      <w:bCs/>
                      <w:i w:val="0"/>
                      <w:iCs w:val="0"/>
                      <w:color w:val="000000"/>
                      <w:sz w:val="21"/>
                      <w:szCs w:val="21"/>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4E790">
                  <w:pPr>
                    <w:jc w:val="center"/>
                    <w:rPr>
                      <w:rFonts w:hint="default" w:ascii="Times New Roman" w:hAnsi="Times New Roman" w:eastAsia="宋体" w:cs="Times New Roman"/>
                      <w:b/>
                      <w:bCs/>
                      <w:i w:val="0"/>
                      <w:iCs w:val="0"/>
                      <w:color w:val="000000"/>
                      <w:sz w:val="21"/>
                      <w:szCs w:val="21"/>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397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声压级</w:t>
                  </w:r>
                  <w:r>
                    <w:rPr>
                      <w:rFonts w:hint="default" w:ascii="Times New Roman" w:hAnsi="Times New Roman" w:eastAsia="宋体" w:cs="Times New Roman"/>
                      <w:b/>
                      <w:bCs/>
                      <w:i w:val="0"/>
                      <w:iCs w:val="0"/>
                      <w:color w:val="000000"/>
                      <w:kern w:val="0"/>
                      <w:sz w:val="21"/>
                      <w:szCs w:val="21"/>
                      <w:u w:val="none"/>
                      <w:lang w:val="en-US" w:eastAsia="zh-CN" w:bidi="ar"/>
                    </w:rPr>
                    <w:t>/dB</w:t>
                  </w:r>
                  <w:r>
                    <w:rPr>
                      <w:rFonts w:hint="eastAsia" w:ascii="宋体" w:hAnsi="宋体" w:eastAsia="宋体" w:cs="宋体"/>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A</w:t>
                  </w:r>
                  <w:r>
                    <w:rPr>
                      <w:rFonts w:hint="eastAsia" w:ascii="宋体" w:hAnsi="宋体" w:eastAsia="宋体" w:cs="宋体"/>
                      <w:b/>
                      <w:bCs/>
                      <w:i w:val="0"/>
                      <w:iCs w:val="0"/>
                      <w:color w:val="000000"/>
                      <w:kern w:val="0"/>
                      <w:sz w:val="21"/>
                      <w:szCs w:val="21"/>
                      <w:u w:val="none"/>
                      <w:lang w:val="en-US" w:eastAsia="zh-CN" w:bidi="ar"/>
                    </w:rPr>
                    <w:t>）</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B9AF0">
                  <w:pPr>
                    <w:jc w:val="center"/>
                    <w:rPr>
                      <w:rFonts w:hint="default" w:ascii="Times New Roman" w:hAnsi="Times New Roman" w:eastAsia="宋体" w:cs="Times New Roman"/>
                      <w:b/>
                      <w:bCs/>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4AC2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X</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E1A5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Y</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2F27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Z</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58CDD">
                  <w:pPr>
                    <w:jc w:val="center"/>
                    <w:rPr>
                      <w:rFonts w:hint="default" w:ascii="Times New Roman" w:hAnsi="Times New Roman" w:eastAsia="宋体" w:cs="Times New Roman"/>
                      <w:b/>
                      <w:bCs/>
                      <w:i w:val="0"/>
                      <w:iCs w:val="0"/>
                      <w:color w:val="000000"/>
                      <w:sz w:val="21"/>
                      <w:szCs w:val="21"/>
                      <w:u w:val="none"/>
                    </w:rPr>
                  </w:pPr>
                </w:p>
              </w:tc>
            </w:tr>
            <w:tr w14:paraId="5D48E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37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048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风机</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F57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89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减振、隔声</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006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5DC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BC0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4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8C2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昼夜</w:t>
                  </w:r>
                  <w:r>
                    <w:rPr>
                      <w:rFonts w:hint="default" w:ascii="Times New Roman" w:hAnsi="Times New Roman" w:eastAsia="宋体" w:cs="Times New Roman"/>
                      <w:i w:val="0"/>
                      <w:iCs w:val="0"/>
                      <w:color w:val="000000"/>
                      <w:kern w:val="0"/>
                      <w:sz w:val="21"/>
                      <w:szCs w:val="21"/>
                      <w:u w:val="none"/>
                      <w:lang w:val="en-US" w:eastAsia="zh-CN" w:bidi="ar"/>
                    </w:rPr>
                    <w:t>24h</w:t>
                  </w:r>
                </w:p>
              </w:tc>
            </w:tr>
            <w:tr w14:paraId="2C0E8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61C1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032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风机</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CD2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BD543">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BB4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9CB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93C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B9EE7">
                  <w:pPr>
                    <w:jc w:val="center"/>
                    <w:rPr>
                      <w:rFonts w:hint="eastAsia" w:ascii="宋体" w:hAnsi="宋体" w:eastAsia="宋体" w:cs="宋体"/>
                      <w:i w:val="0"/>
                      <w:iCs w:val="0"/>
                      <w:color w:val="000000"/>
                      <w:sz w:val="21"/>
                      <w:szCs w:val="21"/>
                      <w:u w:val="none"/>
                    </w:rPr>
                  </w:pPr>
                </w:p>
              </w:tc>
            </w:tr>
            <w:tr w14:paraId="1D25C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D4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8BB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风机</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E6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FA0DD">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3D6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61</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967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E5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421F8">
                  <w:pPr>
                    <w:jc w:val="center"/>
                    <w:rPr>
                      <w:rFonts w:hint="eastAsia" w:ascii="宋体" w:hAnsi="宋体" w:eastAsia="宋体" w:cs="宋体"/>
                      <w:i w:val="0"/>
                      <w:iCs w:val="0"/>
                      <w:color w:val="000000"/>
                      <w:sz w:val="21"/>
                      <w:szCs w:val="21"/>
                      <w:u w:val="none"/>
                    </w:rPr>
                  </w:pPr>
                </w:p>
              </w:tc>
            </w:tr>
            <w:tr w14:paraId="15B51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C5D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7A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风机</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0D7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37558">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D7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F33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5EE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FD0A3">
                  <w:pPr>
                    <w:jc w:val="center"/>
                    <w:rPr>
                      <w:rFonts w:hint="eastAsia" w:ascii="宋体" w:hAnsi="宋体" w:eastAsia="宋体" w:cs="宋体"/>
                      <w:i w:val="0"/>
                      <w:iCs w:val="0"/>
                      <w:color w:val="000000"/>
                      <w:sz w:val="21"/>
                      <w:szCs w:val="21"/>
                      <w:u w:val="none"/>
                    </w:rPr>
                  </w:pPr>
                </w:p>
              </w:tc>
            </w:tr>
            <w:tr w14:paraId="03FF5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712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8D1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风机</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751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0E531">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4AD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798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61</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AFE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FDD53">
                  <w:pPr>
                    <w:jc w:val="center"/>
                    <w:rPr>
                      <w:rFonts w:hint="eastAsia" w:ascii="宋体" w:hAnsi="宋体" w:eastAsia="宋体" w:cs="宋体"/>
                      <w:i w:val="0"/>
                      <w:iCs w:val="0"/>
                      <w:color w:val="000000"/>
                      <w:sz w:val="21"/>
                      <w:szCs w:val="21"/>
                      <w:u w:val="none"/>
                    </w:rPr>
                  </w:pPr>
                </w:p>
              </w:tc>
            </w:tr>
            <w:tr w14:paraId="343C1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510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984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风机</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75B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1F793">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D4B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10A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61</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E20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2AA82">
                  <w:pPr>
                    <w:jc w:val="center"/>
                    <w:rPr>
                      <w:rFonts w:hint="eastAsia" w:ascii="宋体" w:hAnsi="宋体" w:eastAsia="宋体" w:cs="宋体"/>
                      <w:i w:val="0"/>
                      <w:iCs w:val="0"/>
                      <w:color w:val="000000"/>
                      <w:sz w:val="21"/>
                      <w:szCs w:val="21"/>
                      <w:u w:val="none"/>
                    </w:rPr>
                  </w:pPr>
                </w:p>
              </w:tc>
            </w:tr>
            <w:tr w14:paraId="1D6A0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AD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C3D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水喷淋塔</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15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1715E">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1AE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62</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8F8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288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16576">
                  <w:pPr>
                    <w:jc w:val="center"/>
                    <w:rPr>
                      <w:rFonts w:hint="eastAsia" w:ascii="宋体" w:hAnsi="宋体" w:eastAsia="宋体" w:cs="宋体"/>
                      <w:i w:val="0"/>
                      <w:iCs w:val="0"/>
                      <w:color w:val="000000"/>
                      <w:sz w:val="21"/>
                      <w:szCs w:val="21"/>
                      <w:u w:val="none"/>
                    </w:rPr>
                  </w:pPr>
                </w:p>
              </w:tc>
            </w:tr>
            <w:tr w14:paraId="1111E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08A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2EE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水喷淋塔</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A5C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BD578">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ADE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9BE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0B3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5D28D">
                  <w:pPr>
                    <w:jc w:val="center"/>
                    <w:rPr>
                      <w:rFonts w:hint="eastAsia" w:ascii="宋体" w:hAnsi="宋体" w:eastAsia="宋体" w:cs="宋体"/>
                      <w:i w:val="0"/>
                      <w:iCs w:val="0"/>
                      <w:color w:val="000000"/>
                      <w:sz w:val="21"/>
                      <w:szCs w:val="21"/>
                      <w:u w:val="none"/>
                    </w:rPr>
                  </w:pPr>
                </w:p>
              </w:tc>
            </w:tr>
            <w:tr w14:paraId="7B97B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932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335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水喷淋塔</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4B5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93690">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68A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62</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FDC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61</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CAB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F38AC">
                  <w:pPr>
                    <w:jc w:val="center"/>
                    <w:rPr>
                      <w:rFonts w:hint="eastAsia" w:ascii="宋体" w:hAnsi="宋体" w:eastAsia="宋体" w:cs="宋体"/>
                      <w:i w:val="0"/>
                      <w:iCs w:val="0"/>
                      <w:color w:val="000000"/>
                      <w:sz w:val="21"/>
                      <w:szCs w:val="21"/>
                      <w:u w:val="none"/>
                    </w:rPr>
                  </w:pPr>
                </w:p>
              </w:tc>
            </w:tr>
            <w:tr w14:paraId="0C2BB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52B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EB2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水喷淋塔</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9BF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08C95">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DF9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3F8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61</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97B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D2479">
                  <w:pPr>
                    <w:jc w:val="center"/>
                    <w:rPr>
                      <w:rFonts w:hint="eastAsia" w:ascii="宋体" w:hAnsi="宋体" w:eastAsia="宋体" w:cs="宋体"/>
                      <w:i w:val="0"/>
                      <w:iCs w:val="0"/>
                      <w:color w:val="000000"/>
                      <w:sz w:val="21"/>
                      <w:szCs w:val="21"/>
                      <w:u w:val="none"/>
                    </w:rPr>
                  </w:pPr>
                </w:p>
              </w:tc>
            </w:tr>
            <w:tr w14:paraId="7E527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E3F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0BC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碱喷淋塔</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754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A7BDC">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82D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32</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2D3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250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10C08">
                  <w:pPr>
                    <w:jc w:val="center"/>
                    <w:rPr>
                      <w:rFonts w:hint="eastAsia" w:ascii="宋体" w:hAnsi="宋体" w:eastAsia="宋体" w:cs="宋体"/>
                      <w:i w:val="0"/>
                      <w:iCs w:val="0"/>
                      <w:color w:val="000000"/>
                      <w:sz w:val="21"/>
                      <w:szCs w:val="21"/>
                      <w:u w:val="none"/>
                    </w:rPr>
                  </w:pPr>
                </w:p>
              </w:tc>
            </w:tr>
            <w:tr w14:paraId="3F5E9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69A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2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187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碱喷淋塔</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98A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85</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DA01E">
                  <w:pPr>
                    <w:jc w:val="center"/>
                    <w:rPr>
                      <w:rFonts w:hint="default" w:ascii="Times New Roman" w:hAnsi="Times New Roman" w:eastAsia="宋体" w:cs="Times New Roman"/>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A4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F2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41</w:t>
                  </w:r>
                </w:p>
              </w:tc>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285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14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42885">
                  <w:pPr>
                    <w:jc w:val="center"/>
                    <w:rPr>
                      <w:rFonts w:hint="eastAsia" w:ascii="宋体" w:hAnsi="宋体" w:eastAsia="宋体" w:cs="宋体"/>
                      <w:i w:val="0"/>
                      <w:iCs w:val="0"/>
                      <w:color w:val="000000"/>
                      <w:sz w:val="21"/>
                      <w:szCs w:val="21"/>
                      <w:u w:val="none"/>
                    </w:rPr>
                  </w:pPr>
                </w:p>
              </w:tc>
            </w:tr>
          </w:tbl>
          <w:p w14:paraId="5276B048">
            <w:pPr>
              <w:pStyle w:val="40"/>
              <w:ind w:left="0" w:leftChars="0" w:firstLine="0" w:firstLineChars="0"/>
              <w:rPr>
                <w:rFonts w:hint="default" w:ascii="Times New Roman" w:hAnsi="Times New Roman" w:eastAsia="宋体" w:cs="Times New Roman"/>
                <w:bCs/>
                <w:color w:val="auto"/>
                <w:spacing w:val="0"/>
                <w:position w:val="0"/>
                <w:sz w:val="24"/>
                <w:lang w:val="en-US" w:eastAsia="zh-CN"/>
              </w:rPr>
            </w:pPr>
          </w:p>
        </w:tc>
      </w:tr>
    </w:tbl>
    <w:p w14:paraId="71B1F971">
      <w:pPr>
        <w:pStyle w:val="2"/>
        <w:rPr>
          <w:rFonts w:hint="default" w:ascii="Times New Roman" w:hAnsi="Times New Roman" w:cs="Times New Roman"/>
          <w:color w:val="auto"/>
          <w:spacing w:val="0"/>
          <w:position w:val="0"/>
        </w:rPr>
        <w:sectPr>
          <w:pgSz w:w="16838" w:h="11905" w:orient="landscape"/>
          <w:pgMar w:top="1440" w:right="1080" w:bottom="1440" w:left="1080" w:header="851" w:footer="1077" w:gutter="0"/>
          <w:pgBorders>
            <w:top w:val="none" w:sz="0" w:space="0"/>
            <w:left w:val="none" w:sz="0" w:space="0"/>
            <w:bottom w:val="none" w:sz="0" w:space="0"/>
            <w:right w:val="none" w:sz="0" w:space="0"/>
          </w:pgBorders>
          <w:pgNumType w:fmt="decimal"/>
          <w:cols w:space="0" w:num="1"/>
          <w:docGrid w:linePitch="312" w:charSpace="0"/>
        </w:sectPr>
      </w:pPr>
    </w:p>
    <w:tbl>
      <w:tblPr>
        <w:tblStyle w:val="26"/>
        <w:tblW w:w="949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46"/>
        <w:gridCol w:w="8746"/>
      </w:tblGrid>
      <w:tr w14:paraId="01B3E0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41" w:hRule="atLeast"/>
          <w:jc w:val="center"/>
        </w:trPr>
        <w:tc>
          <w:tcPr>
            <w:tcW w:w="746" w:type="dxa"/>
            <w:tcMar>
              <w:left w:w="28" w:type="dxa"/>
              <w:right w:w="28" w:type="dxa"/>
            </w:tcMar>
            <w:vAlign w:val="center"/>
          </w:tcPr>
          <w:p w14:paraId="3FCDAFCB">
            <w:pPr>
              <w:pStyle w:val="48"/>
              <w:rPr>
                <w:rFonts w:hint="default" w:ascii="Times New Roman" w:hAnsi="Times New Roman" w:cs="Times New Roman"/>
                <w:color w:val="auto"/>
                <w:spacing w:val="0"/>
                <w:position w:val="0"/>
              </w:rPr>
            </w:pPr>
          </w:p>
        </w:tc>
        <w:tc>
          <w:tcPr>
            <w:tcW w:w="8746" w:type="dxa"/>
          </w:tcPr>
          <w:p w14:paraId="667C6657">
            <w:pPr>
              <w:widowControl/>
              <w:spacing w:line="480" w:lineRule="atLeast"/>
              <w:jc w:val="left"/>
              <w:rPr>
                <w:rFonts w:hint="default" w:ascii="Times New Roman" w:hAnsi="Times New Roman" w:cs="Times New Roman"/>
                <w:b/>
                <w:bCs/>
                <w:color w:val="auto"/>
                <w:spacing w:val="0"/>
                <w:kern w:val="0"/>
                <w:position w:val="0"/>
                <w:sz w:val="24"/>
              </w:rPr>
            </w:pPr>
            <w:r>
              <w:rPr>
                <w:rFonts w:hint="eastAsia" w:cs="Times New Roman"/>
                <w:b/>
                <w:bCs/>
                <w:color w:val="auto"/>
                <w:spacing w:val="0"/>
                <w:kern w:val="0"/>
                <w:position w:val="0"/>
                <w:sz w:val="24"/>
                <w:lang w:val="en-US" w:eastAsia="zh-CN"/>
              </w:rPr>
              <w:t>4.3.2</w:t>
            </w:r>
            <w:r>
              <w:rPr>
                <w:rFonts w:hint="default" w:ascii="Times New Roman" w:hAnsi="Times New Roman" w:cs="Times New Roman"/>
                <w:b/>
                <w:bCs/>
                <w:color w:val="auto"/>
                <w:spacing w:val="0"/>
                <w:kern w:val="0"/>
                <w:position w:val="0"/>
                <w:sz w:val="24"/>
              </w:rPr>
              <w:t>预测模型</w:t>
            </w:r>
          </w:p>
          <w:p w14:paraId="4D6F0AB2">
            <w:pPr>
              <w:pStyle w:val="48"/>
              <w:spacing w:line="480" w:lineRule="atLeast"/>
              <w:ind w:firstLine="480" w:firstLineChars="200"/>
              <w:rPr>
                <w:rFonts w:hint="default" w:ascii="Times New Roman" w:hAnsi="Times New Roman" w:cs="Times New Roman"/>
                <w:color w:val="auto"/>
                <w:spacing w:val="0"/>
                <w:position w:val="0"/>
                <w:sz w:val="24"/>
              </w:rPr>
            </w:pPr>
            <w:r>
              <w:rPr>
                <w:rFonts w:hint="default" w:ascii="Times New Roman" w:hAnsi="Times New Roman" w:cs="Times New Roman"/>
                <w:snapToGrid/>
                <w:color w:val="auto"/>
                <w:spacing w:val="0"/>
                <w:kern w:val="2"/>
                <w:position w:val="0"/>
                <w:sz w:val="24"/>
                <w:szCs w:val="24"/>
              </w:rPr>
              <w:t>确定各噪声源位置，并测量各噪声源到预测点的距离，将各噪声源视为半自由状态噪声源，按声能量在空气传播中衰减模式可计算出某噪声源在预测点的声压级，预测模式如下</w:t>
            </w:r>
            <w:r>
              <w:rPr>
                <w:rFonts w:hint="default" w:ascii="Times New Roman" w:hAnsi="Times New Roman" w:cs="Times New Roman"/>
                <w:color w:val="auto"/>
                <w:spacing w:val="0"/>
                <w:position w:val="0"/>
                <w:sz w:val="24"/>
              </w:rPr>
              <w:t>：</w:t>
            </w:r>
          </w:p>
          <w:p w14:paraId="37FA2881">
            <w:pPr>
              <w:pStyle w:val="48"/>
              <w:spacing w:line="480" w:lineRule="atLeast"/>
              <w:ind w:firstLineChars="200"/>
              <w:rPr>
                <w:rFonts w:hint="default" w:ascii="Times New Roman" w:hAnsi="Times New Roman" w:cs="Times New Roman"/>
                <w:color w:val="auto"/>
                <w:spacing w:val="0"/>
                <w:position w:val="0"/>
                <w:sz w:val="24"/>
              </w:rPr>
            </w:pPr>
            <w:r>
              <w:rPr>
                <w:rFonts w:hint="eastAsia" w:ascii="Times New Roman" w:hAnsi="Times New Roman" w:cs="Times New Roman"/>
                <w:b/>
                <w:bCs/>
                <w:snapToGrid/>
                <w:color w:val="auto"/>
                <w:spacing w:val="0"/>
                <w:position w:val="0"/>
                <w:sz w:val="24"/>
                <w:szCs w:val="24"/>
                <w:lang w:eastAsia="zh-CN"/>
              </w:rPr>
              <w:t>（</w:t>
            </w:r>
            <w:r>
              <w:rPr>
                <w:rFonts w:hint="default" w:ascii="Times New Roman" w:hAnsi="Times New Roman" w:cs="Times New Roman"/>
                <w:b/>
                <w:bCs/>
                <w:snapToGrid/>
                <w:color w:val="auto"/>
                <w:spacing w:val="0"/>
                <w:position w:val="0"/>
                <w:sz w:val="24"/>
                <w:szCs w:val="24"/>
              </w:rPr>
              <w:t>1）室外噪声源</w:t>
            </w:r>
          </w:p>
          <w:p w14:paraId="12F0AE8A">
            <w:pPr>
              <w:pStyle w:val="48"/>
              <w:spacing w:line="480" w:lineRule="atLeast"/>
              <w:ind w:firstLine="480" w:firstLineChars="200"/>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sz w:val="24"/>
              </w:rPr>
              <w:t>计算某个声源在预测点的倍频带声压级：</w:t>
            </w:r>
          </w:p>
          <w:p w14:paraId="36649729">
            <w:pPr>
              <w:pStyle w:val="48"/>
              <w:spacing w:line="480" w:lineRule="atLeast"/>
              <w:ind w:firstLine="480" w:firstLineChars="200"/>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drawing>
                <wp:inline distT="0" distB="0" distL="0" distR="0">
                  <wp:extent cx="2901950" cy="662305"/>
                  <wp:effectExtent l="0" t="0" r="8890" b="8255"/>
                  <wp:docPr id="1047" name="图片 4"/>
                  <wp:cNvGraphicFramePr/>
                  <a:graphic xmlns:a="http://schemas.openxmlformats.org/drawingml/2006/main">
                    <a:graphicData uri="http://schemas.openxmlformats.org/drawingml/2006/picture">
                      <pic:pic xmlns:pic="http://schemas.openxmlformats.org/drawingml/2006/picture">
                        <pic:nvPicPr>
                          <pic:cNvPr id="1047" name="图片 4"/>
                          <pic:cNvPicPr/>
                        </pic:nvPicPr>
                        <pic:blipFill>
                          <a:blip r:embed="rId31" cstate="print"/>
                          <a:srcRect/>
                          <a:stretch>
                            <a:fillRect/>
                          </a:stretch>
                        </pic:blipFill>
                        <pic:spPr>
                          <a:xfrm>
                            <a:off x="0" y="0"/>
                            <a:ext cx="2901950" cy="662305"/>
                          </a:xfrm>
                          <a:prstGeom prst="rect">
                            <a:avLst/>
                          </a:prstGeom>
                          <a:ln>
                            <a:noFill/>
                          </a:ln>
                        </pic:spPr>
                      </pic:pic>
                    </a:graphicData>
                  </a:graphic>
                </wp:inline>
              </w:drawing>
            </w:r>
          </w:p>
          <w:p w14:paraId="4C07CE1F">
            <w:pPr>
              <w:pStyle w:val="48"/>
              <w:spacing w:line="480" w:lineRule="atLeast"/>
              <w:ind w:firstLine="480" w:firstLineChars="200"/>
              <w:rPr>
                <w:rFonts w:hint="default" w:ascii="Times New Roman" w:hAnsi="Times New Roman" w:cs="Times New Roman"/>
                <w:snapToGrid/>
                <w:color w:val="auto"/>
                <w:spacing w:val="0"/>
                <w:kern w:val="2"/>
                <w:position w:val="0"/>
                <w:sz w:val="24"/>
                <w:szCs w:val="24"/>
              </w:rPr>
            </w:pPr>
            <w:r>
              <w:rPr>
                <w:rFonts w:hint="default" w:ascii="Times New Roman" w:hAnsi="Times New Roman" w:cs="Times New Roman"/>
                <w:snapToGrid/>
                <w:color w:val="auto"/>
                <w:spacing w:val="0"/>
                <w:kern w:val="2"/>
                <w:position w:val="0"/>
                <w:sz w:val="24"/>
                <w:szCs w:val="24"/>
              </w:rPr>
              <w:t>式中：</w:t>
            </w:r>
          </w:p>
          <w:p w14:paraId="627B4703">
            <w:pPr>
              <w:pStyle w:val="48"/>
              <w:spacing w:line="480" w:lineRule="atLeast"/>
              <w:ind w:firstLine="480" w:firstLineChars="200"/>
              <w:rPr>
                <w:rFonts w:hint="eastAsia" w:ascii="Times New Roman" w:hAnsi="Times New Roman" w:eastAsia="宋体" w:cs="Times New Roman"/>
                <w:snapToGrid/>
                <w:color w:val="auto"/>
                <w:spacing w:val="0"/>
                <w:kern w:val="2"/>
                <w:position w:val="0"/>
                <w:sz w:val="24"/>
                <w:szCs w:val="24"/>
                <w:lang w:eastAsia="zh-CN"/>
              </w:rPr>
            </w:pPr>
            <w:r>
              <w:rPr>
                <w:rFonts w:hint="default" w:ascii="Times New Roman" w:hAnsi="Times New Roman" w:cs="Times New Roman"/>
                <w:snapToGrid/>
                <w:color w:val="auto"/>
                <w:spacing w:val="0"/>
                <w:kern w:val="2"/>
                <w:position w:val="0"/>
                <w:sz w:val="24"/>
                <w:szCs w:val="24"/>
              </w:rPr>
              <w:t>Loct</w:t>
            </w:r>
            <w:r>
              <w:rPr>
                <w:rFonts w:hint="eastAsia" w:ascii="Times New Roman" w:hAnsi="Times New Roman" w:cs="Times New Roman"/>
                <w:snapToGrid/>
                <w:color w:val="auto"/>
                <w:spacing w:val="0"/>
                <w:kern w:val="2"/>
                <w:position w:val="0"/>
                <w:sz w:val="24"/>
                <w:szCs w:val="24"/>
                <w:lang w:eastAsia="zh-CN"/>
              </w:rPr>
              <w:t>（</w:t>
            </w:r>
            <w:r>
              <w:rPr>
                <w:rFonts w:hint="default" w:ascii="Times New Roman" w:hAnsi="Times New Roman" w:cs="Times New Roman"/>
                <w:snapToGrid/>
                <w:color w:val="auto"/>
                <w:spacing w:val="0"/>
                <w:kern w:val="2"/>
                <w:position w:val="0"/>
                <w:sz w:val="24"/>
                <w:szCs w:val="24"/>
              </w:rPr>
              <w:t>r）——点声源在预测点产生的倍频带声压级</w:t>
            </w:r>
            <w:r>
              <w:rPr>
                <w:rFonts w:hint="eastAsia" w:ascii="Times New Roman" w:hAnsi="Times New Roman" w:cs="Times New Roman"/>
                <w:snapToGrid/>
                <w:color w:val="auto"/>
                <w:spacing w:val="0"/>
                <w:kern w:val="2"/>
                <w:position w:val="0"/>
                <w:sz w:val="24"/>
                <w:szCs w:val="24"/>
                <w:lang w:eastAsia="zh-CN"/>
              </w:rPr>
              <w:t>；</w:t>
            </w:r>
          </w:p>
          <w:p w14:paraId="2E60306F">
            <w:pPr>
              <w:pStyle w:val="48"/>
              <w:spacing w:line="480" w:lineRule="atLeast"/>
              <w:ind w:firstLine="480" w:firstLineChars="200"/>
              <w:rPr>
                <w:rFonts w:hint="eastAsia" w:ascii="Times New Roman" w:hAnsi="Times New Roman" w:eastAsia="宋体" w:cs="Times New Roman"/>
                <w:snapToGrid/>
                <w:color w:val="auto"/>
                <w:spacing w:val="0"/>
                <w:kern w:val="2"/>
                <w:position w:val="0"/>
                <w:sz w:val="24"/>
                <w:szCs w:val="24"/>
                <w:lang w:eastAsia="zh-CN"/>
              </w:rPr>
            </w:pPr>
            <w:r>
              <w:rPr>
                <w:rFonts w:hint="default" w:ascii="Times New Roman" w:hAnsi="Times New Roman" w:cs="Times New Roman"/>
                <w:snapToGrid/>
                <w:color w:val="auto"/>
                <w:spacing w:val="0"/>
                <w:kern w:val="2"/>
                <w:position w:val="0"/>
                <w:sz w:val="24"/>
                <w:szCs w:val="24"/>
              </w:rPr>
              <w:t>Loct</w:t>
            </w:r>
            <w:r>
              <w:rPr>
                <w:rFonts w:hint="eastAsia" w:ascii="Times New Roman" w:hAnsi="Times New Roman" w:cs="Times New Roman"/>
                <w:snapToGrid/>
                <w:color w:val="auto"/>
                <w:spacing w:val="0"/>
                <w:kern w:val="2"/>
                <w:position w:val="0"/>
                <w:sz w:val="24"/>
                <w:szCs w:val="24"/>
                <w:lang w:eastAsia="zh-CN"/>
              </w:rPr>
              <w:t>（</w:t>
            </w:r>
            <w:r>
              <w:rPr>
                <w:rFonts w:hint="default" w:ascii="Times New Roman" w:hAnsi="Times New Roman" w:cs="Times New Roman"/>
                <w:snapToGrid/>
                <w:color w:val="auto"/>
                <w:spacing w:val="0"/>
                <w:kern w:val="2"/>
                <w:position w:val="0"/>
                <w:sz w:val="24"/>
                <w:szCs w:val="24"/>
              </w:rPr>
              <w:t>r0）——参考位置 r0 处的倍频带声压级</w:t>
            </w:r>
            <w:r>
              <w:rPr>
                <w:rFonts w:hint="eastAsia" w:ascii="Times New Roman" w:hAnsi="Times New Roman" w:cs="Times New Roman"/>
                <w:snapToGrid/>
                <w:color w:val="auto"/>
                <w:spacing w:val="0"/>
                <w:kern w:val="2"/>
                <w:position w:val="0"/>
                <w:sz w:val="24"/>
                <w:szCs w:val="24"/>
                <w:lang w:eastAsia="zh-CN"/>
              </w:rPr>
              <w:t>；</w:t>
            </w:r>
          </w:p>
          <w:p w14:paraId="3B2ECCD8">
            <w:pPr>
              <w:pStyle w:val="48"/>
              <w:spacing w:line="480" w:lineRule="atLeast"/>
              <w:ind w:firstLine="480" w:firstLineChars="200"/>
              <w:rPr>
                <w:rFonts w:hint="eastAsia" w:ascii="Times New Roman" w:hAnsi="Times New Roman" w:eastAsia="宋体" w:cs="Times New Roman"/>
                <w:snapToGrid/>
                <w:color w:val="auto"/>
                <w:spacing w:val="0"/>
                <w:kern w:val="2"/>
                <w:position w:val="0"/>
                <w:sz w:val="24"/>
                <w:szCs w:val="24"/>
                <w:lang w:eastAsia="zh-CN"/>
              </w:rPr>
            </w:pPr>
            <w:r>
              <w:rPr>
                <w:rFonts w:hint="default" w:ascii="Times New Roman" w:hAnsi="Times New Roman" w:cs="Times New Roman"/>
                <w:snapToGrid/>
                <w:color w:val="auto"/>
                <w:spacing w:val="0"/>
                <w:kern w:val="2"/>
                <w:position w:val="0"/>
                <w:sz w:val="24"/>
                <w:szCs w:val="24"/>
              </w:rPr>
              <w:t>r——预测点距声源的距离，m</w:t>
            </w:r>
            <w:r>
              <w:rPr>
                <w:rFonts w:hint="eastAsia" w:ascii="Times New Roman" w:hAnsi="Times New Roman" w:cs="Times New Roman"/>
                <w:snapToGrid/>
                <w:color w:val="auto"/>
                <w:spacing w:val="0"/>
                <w:kern w:val="2"/>
                <w:position w:val="0"/>
                <w:sz w:val="24"/>
                <w:szCs w:val="24"/>
                <w:lang w:eastAsia="zh-CN"/>
              </w:rPr>
              <w:t>；</w:t>
            </w:r>
          </w:p>
          <w:p w14:paraId="0D754EFE">
            <w:pPr>
              <w:pStyle w:val="48"/>
              <w:spacing w:line="480" w:lineRule="atLeast"/>
              <w:ind w:firstLine="480" w:firstLineChars="200"/>
              <w:rPr>
                <w:rFonts w:hint="eastAsia" w:ascii="Times New Roman" w:hAnsi="Times New Roman" w:eastAsia="宋体" w:cs="Times New Roman"/>
                <w:snapToGrid/>
                <w:color w:val="auto"/>
                <w:spacing w:val="0"/>
                <w:kern w:val="2"/>
                <w:position w:val="0"/>
                <w:sz w:val="24"/>
                <w:szCs w:val="24"/>
                <w:lang w:eastAsia="zh-CN"/>
              </w:rPr>
            </w:pPr>
            <w:r>
              <w:rPr>
                <w:rFonts w:hint="default" w:ascii="Times New Roman" w:hAnsi="Times New Roman" w:cs="Times New Roman"/>
                <w:snapToGrid/>
                <w:color w:val="auto"/>
                <w:spacing w:val="0"/>
                <w:kern w:val="2"/>
                <w:position w:val="0"/>
                <w:sz w:val="24"/>
                <w:szCs w:val="24"/>
              </w:rPr>
              <w:t>r0——参考位置距声源的距离，m</w:t>
            </w:r>
            <w:r>
              <w:rPr>
                <w:rFonts w:hint="eastAsia" w:ascii="Times New Roman" w:hAnsi="Times New Roman" w:cs="Times New Roman"/>
                <w:snapToGrid/>
                <w:color w:val="auto"/>
                <w:spacing w:val="0"/>
                <w:kern w:val="2"/>
                <w:position w:val="0"/>
                <w:sz w:val="24"/>
                <w:szCs w:val="24"/>
                <w:lang w:eastAsia="zh-CN"/>
              </w:rPr>
              <w:t>；</w:t>
            </w:r>
          </w:p>
          <w:p w14:paraId="6864158D">
            <w:pPr>
              <w:pStyle w:val="48"/>
              <w:spacing w:line="480" w:lineRule="atLeast"/>
              <w:ind w:firstLine="480" w:firstLineChars="200"/>
              <w:rPr>
                <w:rFonts w:hint="default" w:ascii="Times New Roman" w:hAnsi="Times New Roman" w:cs="Times New Roman"/>
                <w:snapToGrid/>
                <w:color w:val="auto"/>
                <w:spacing w:val="0"/>
                <w:kern w:val="2"/>
                <w:position w:val="0"/>
                <w:sz w:val="24"/>
                <w:szCs w:val="24"/>
              </w:rPr>
            </w:pPr>
            <w:r>
              <w:rPr>
                <w:rFonts w:hint="default" w:ascii="Times New Roman" w:hAnsi="Times New Roman" w:cs="Times New Roman"/>
                <w:snapToGrid/>
                <w:color w:val="auto"/>
                <w:spacing w:val="0"/>
                <w:kern w:val="2"/>
                <w:position w:val="0"/>
                <w:sz w:val="24"/>
                <w:szCs w:val="24"/>
              </w:rPr>
              <w:t>ΔLoct—各种因素衰减量</w:t>
            </w:r>
            <w:r>
              <w:rPr>
                <w:rFonts w:hint="eastAsia" w:ascii="Times New Roman" w:hAnsi="Times New Roman" w:cs="Times New Roman"/>
                <w:snapToGrid/>
                <w:color w:val="auto"/>
                <w:spacing w:val="0"/>
                <w:kern w:val="2"/>
                <w:position w:val="0"/>
                <w:sz w:val="24"/>
                <w:szCs w:val="24"/>
                <w:lang w:eastAsia="zh-CN"/>
              </w:rPr>
              <w:t>（</w:t>
            </w:r>
            <w:r>
              <w:rPr>
                <w:rFonts w:hint="default" w:ascii="Times New Roman" w:hAnsi="Times New Roman" w:cs="Times New Roman"/>
                <w:snapToGrid/>
                <w:color w:val="auto"/>
                <w:spacing w:val="0"/>
                <w:kern w:val="2"/>
                <w:position w:val="0"/>
                <w:sz w:val="24"/>
                <w:szCs w:val="24"/>
              </w:rPr>
              <w:t>包括声屏障、遮挡物、空气吸收、地面效应等衰减量）。</w:t>
            </w:r>
          </w:p>
          <w:p w14:paraId="629BB3AA">
            <w:pPr>
              <w:pStyle w:val="48"/>
              <w:spacing w:line="480" w:lineRule="atLeast"/>
              <w:ind w:firstLine="480" w:firstLineChars="200"/>
              <w:rPr>
                <w:rFonts w:hint="default" w:ascii="Times New Roman" w:hAnsi="Times New Roman" w:cs="Times New Roman"/>
                <w:snapToGrid/>
                <w:color w:val="auto"/>
                <w:spacing w:val="0"/>
                <w:kern w:val="2"/>
                <w:position w:val="0"/>
                <w:sz w:val="24"/>
                <w:szCs w:val="24"/>
              </w:rPr>
            </w:pPr>
            <w:r>
              <w:rPr>
                <w:rFonts w:hint="default" w:ascii="Times New Roman" w:hAnsi="Times New Roman" w:cs="Times New Roman"/>
                <w:snapToGrid/>
                <w:color w:val="auto"/>
                <w:spacing w:val="0"/>
                <w:kern w:val="2"/>
                <w:position w:val="0"/>
                <w:sz w:val="24"/>
                <w:szCs w:val="24"/>
              </w:rPr>
              <w:t>如果已知声源的倍频带声功率级Lwoct，且声源可看作是位于地面上的，则由各倍频带声压级合成计算出该声源产生的声级LA。</w:t>
            </w:r>
          </w:p>
          <w:p w14:paraId="0A485AC0">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drawing>
                <wp:inline distT="0" distB="0" distL="0" distR="0">
                  <wp:extent cx="2620645" cy="563245"/>
                  <wp:effectExtent l="0" t="0" r="635" b="635"/>
                  <wp:docPr id="1048" name="图片 5"/>
                  <wp:cNvGraphicFramePr/>
                  <a:graphic xmlns:a="http://schemas.openxmlformats.org/drawingml/2006/main">
                    <a:graphicData uri="http://schemas.openxmlformats.org/drawingml/2006/picture">
                      <pic:pic xmlns:pic="http://schemas.openxmlformats.org/drawingml/2006/picture">
                        <pic:nvPicPr>
                          <pic:cNvPr id="1048" name="图片 5"/>
                          <pic:cNvPicPr/>
                        </pic:nvPicPr>
                        <pic:blipFill>
                          <a:blip r:embed="rId32" cstate="print"/>
                          <a:srcRect/>
                          <a:stretch>
                            <a:fillRect/>
                          </a:stretch>
                        </pic:blipFill>
                        <pic:spPr>
                          <a:xfrm>
                            <a:off x="0" y="0"/>
                            <a:ext cx="2620645" cy="563245"/>
                          </a:xfrm>
                          <a:prstGeom prst="rect">
                            <a:avLst/>
                          </a:prstGeom>
                          <a:ln>
                            <a:noFill/>
                          </a:ln>
                        </pic:spPr>
                      </pic:pic>
                    </a:graphicData>
                  </a:graphic>
                </wp:inline>
              </w:drawing>
            </w:r>
          </w:p>
          <w:p w14:paraId="14CE3100">
            <w:pPr>
              <w:pStyle w:val="48"/>
              <w:spacing w:line="480" w:lineRule="atLeast"/>
              <w:ind w:firstLine="482" w:firstLineChars="200"/>
              <w:rPr>
                <w:rFonts w:hint="default" w:ascii="Times New Roman" w:hAnsi="Times New Roman" w:cs="Times New Roman"/>
                <w:b/>
                <w:bCs/>
                <w:snapToGrid/>
                <w:color w:val="auto"/>
                <w:spacing w:val="0"/>
                <w:kern w:val="2"/>
                <w:position w:val="0"/>
                <w:sz w:val="24"/>
                <w:szCs w:val="24"/>
              </w:rPr>
            </w:pPr>
            <w:r>
              <w:rPr>
                <w:rFonts w:hint="eastAsia" w:ascii="Times New Roman" w:hAnsi="Times New Roman" w:cs="Times New Roman"/>
                <w:b/>
                <w:bCs/>
                <w:snapToGrid/>
                <w:color w:val="auto"/>
                <w:spacing w:val="0"/>
                <w:kern w:val="2"/>
                <w:position w:val="0"/>
                <w:sz w:val="24"/>
                <w:szCs w:val="24"/>
                <w:lang w:eastAsia="zh-CN"/>
              </w:rPr>
              <w:t>（</w:t>
            </w:r>
            <w:r>
              <w:rPr>
                <w:rFonts w:hint="default" w:ascii="Times New Roman" w:hAnsi="Times New Roman" w:cs="Times New Roman"/>
                <w:b/>
                <w:bCs/>
                <w:snapToGrid/>
                <w:color w:val="auto"/>
                <w:spacing w:val="0"/>
                <w:kern w:val="2"/>
                <w:position w:val="0"/>
                <w:sz w:val="24"/>
                <w:szCs w:val="24"/>
              </w:rPr>
              <w:t>2）室内声源</w:t>
            </w:r>
          </w:p>
          <w:p w14:paraId="453A77C9">
            <w:pPr>
              <w:pStyle w:val="48"/>
              <w:spacing w:line="480" w:lineRule="atLeast"/>
              <w:ind w:firstLine="480" w:firstLineChars="200"/>
              <w:rPr>
                <w:rFonts w:hint="default" w:ascii="Times New Roman" w:hAnsi="Times New Roman" w:cs="Times New Roman"/>
                <w:snapToGrid/>
                <w:color w:val="auto"/>
                <w:spacing w:val="0"/>
                <w:kern w:val="2"/>
                <w:position w:val="0"/>
                <w:sz w:val="24"/>
                <w:szCs w:val="24"/>
              </w:rPr>
            </w:pPr>
            <w:r>
              <w:rPr>
                <w:rFonts w:hint="default" w:ascii="Times New Roman" w:hAnsi="Times New Roman" w:cs="Times New Roman"/>
                <w:snapToGrid/>
                <w:color w:val="auto"/>
                <w:spacing w:val="0"/>
                <w:kern w:val="2"/>
                <w:position w:val="0"/>
                <w:sz w:val="24"/>
                <w:szCs w:val="24"/>
              </w:rPr>
              <w:t>设靠近开口处</w:t>
            </w:r>
            <w:r>
              <w:rPr>
                <w:rFonts w:hint="eastAsia" w:ascii="Times New Roman" w:hAnsi="Times New Roman" w:cs="Times New Roman"/>
                <w:snapToGrid/>
                <w:color w:val="auto"/>
                <w:spacing w:val="0"/>
                <w:kern w:val="2"/>
                <w:position w:val="0"/>
                <w:sz w:val="24"/>
                <w:szCs w:val="24"/>
                <w:lang w:eastAsia="zh-CN"/>
              </w:rPr>
              <w:t>（</w:t>
            </w:r>
            <w:r>
              <w:rPr>
                <w:rFonts w:hint="default" w:ascii="Times New Roman" w:hAnsi="Times New Roman" w:cs="Times New Roman"/>
                <w:snapToGrid/>
                <w:color w:val="auto"/>
                <w:spacing w:val="0"/>
                <w:kern w:val="2"/>
                <w:position w:val="0"/>
                <w:sz w:val="24"/>
                <w:szCs w:val="24"/>
              </w:rPr>
              <w:t>或窗户）室内、室外某倍频带的声压级分别为Lp1和Lp2。若声源所在室内声场为近似扩散声场，则室外的倍频带声压级可按下式近似求出：</w:t>
            </w:r>
          </w:p>
          <w:p w14:paraId="6F1228FE">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drawing>
                <wp:inline distT="0" distB="0" distL="0" distR="0">
                  <wp:extent cx="2122170" cy="512445"/>
                  <wp:effectExtent l="0" t="0" r="11430" b="1270"/>
                  <wp:docPr id="1049" name="图片 6"/>
                  <wp:cNvGraphicFramePr/>
                  <a:graphic xmlns:a="http://schemas.openxmlformats.org/drawingml/2006/main">
                    <a:graphicData uri="http://schemas.openxmlformats.org/drawingml/2006/picture">
                      <pic:pic xmlns:pic="http://schemas.openxmlformats.org/drawingml/2006/picture">
                        <pic:nvPicPr>
                          <pic:cNvPr id="1049" name="图片 6"/>
                          <pic:cNvPicPr/>
                        </pic:nvPicPr>
                        <pic:blipFill>
                          <a:blip r:embed="rId33" cstate="print"/>
                          <a:srcRect/>
                          <a:stretch>
                            <a:fillRect/>
                          </a:stretch>
                        </pic:blipFill>
                        <pic:spPr>
                          <a:xfrm>
                            <a:off x="0" y="0"/>
                            <a:ext cx="2122170" cy="513079"/>
                          </a:xfrm>
                          <a:prstGeom prst="rect">
                            <a:avLst/>
                          </a:prstGeom>
                          <a:ln>
                            <a:noFill/>
                          </a:ln>
                        </pic:spPr>
                      </pic:pic>
                    </a:graphicData>
                  </a:graphic>
                </wp:inline>
              </w:drawing>
            </w:r>
          </w:p>
          <w:p w14:paraId="26BB8359">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式中：</w:t>
            </w:r>
          </w:p>
          <w:p w14:paraId="02AAB68B">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TL——隔墙</w:t>
            </w:r>
            <w:r>
              <w:rPr>
                <w:rFonts w:hint="eastAsia" w:ascii="Times New Roman" w:hAnsi="Times New Roman" w:cs="Times New Roman"/>
                <w:snapToGrid/>
                <w:color w:val="auto"/>
                <w:spacing w:val="0"/>
                <w:kern w:val="2"/>
                <w:position w:val="0"/>
                <w:szCs w:val="24"/>
                <w:lang w:eastAsia="zh-CN"/>
              </w:rPr>
              <w:t>（</w:t>
            </w:r>
            <w:r>
              <w:rPr>
                <w:rFonts w:hint="default" w:ascii="Times New Roman" w:hAnsi="Times New Roman" w:cs="Times New Roman"/>
                <w:snapToGrid/>
                <w:color w:val="auto"/>
                <w:spacing w:val="0"/>
                <w:kern w:val="2"/>
                <w:position w:val="0"/>
                <w:szCs w:val="24"/>
              </w:rPr>
              <w:t>或窗户）倍频带的隔声量，dB</w:t>
            </w:r>
            <w:r>
              <w:rPr>
                <w:rFonts w:hint="eastAsia" w:ascii="Times New Roman" w:hAnsi="Times New Roman" w:cs="Times New Roman"/>
                <w:snapToGrid/>
                <w:color w:val="auto"/>
                <w:spacing w:val="0"/>
                <w:kern w:val="2"/>
                <w:position w:val="0"/>
                <w:szCs w:val="24"/>
                <w:lang w:eastAsia="zh-CN"/>
              </w:rPr>
              <w:t>（</w:t>
            </w:r>
            <w:r>
              <w:rPr>
                <w:rFonts w:hint="default" w:ascii="Times New Roman" w:hAnsi="Times New Roman" w:cs="Times New Roman"/>
                <w:snapToGrid/>
                <w:color w:val="auto"/>
                <w:spacing w:val="0"/>
                <w:kern w:val="2"/>
                <w:position w:val="0"/>
                <w:szCs w:val="24"/>
              </w:rPr>
              <w:t>A）。</w:t>
            </w:r>
          </w:p>
          <w:p w14:paraId="6A29915D">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drawing>
                <wp:inline distT="0" distB="0" distL="0" distR="0">
                  <wp:extent cx="4316095" cy="1035685"/>
                  <wp:effectExtent l="0" t="0" r="8255" b="12065"/>
                  <wp:docPr id="1050" name="图片 7"/>
                  <wp:cNvGraphicFramePr/>
                  <a:graphic xmlns:a="http://schemas.openxmlformats.org/drawingml/2006/main">
                    <a:graphicData uri="http://schemas.openxmlformats.org/drawingml/2006/picture">
                      <pic:pic xmlns:pic="http://schemas.openxmlformats.org/drawingml/2006/picture">
                        <pic:nvPicPr>
                          <pic:cNvPr id="1050" name="图片 7"/>
                          <pic:cNvPicPr/>
                        </pic:nvPicPr>
                        <pic:blipFill>
                          <a:blip r:embed="rId34" cstate="print"/>
                          <a:srcRect/>
                          <a:stretch>
                            <a:fillRect/>
                          </a:stretch>
                        </pic:blipFill>
                        <pic:spPr>
                          <a:xfrm>
                            <a:off x="0" y="0"/>
                            <a:ext cx="4316095" cy="1035685"/>
                          </a:xfrm>
                          <a:prstGeom prst="rect">
                            <a:avLst/>
                          </a:prstGeom>
                          <a:ln>
                            <a:noFill/>
                          </a:ln>
                        </pic:spPr>
                      </pic:pic>
                    </a:graphicData>
                  </a:graphic>
                </wp:inline>
              </w:drawing>
            </w:r>
          </w:p>
          <w:p w14:paraId="57BA96B2">
            <w:pPr>
              <w:pStyle w:val="48"/>
              <w:spacing w:line="480" w:lineRule="atLeast"/>
              <w:ind w:firstLineChars="200"/>
              <w:jc w:val="center"/>
              <w:rPr>
                <w:rFonts w:hint="default" w:ascii="Times New Roman" w:hAnsi="Times New Roman" w:cs="Times New Roman"/>
                <w:b/>
                <w:bCs/>
                <w:snapToGrid/>
                <w:color w:val="auto"/>
                <w:spacing w:val="0"/>
                <w:kern w:val="2"/>
                <w:position w:val="0"/>
                <w:sz w:val="21"/>
                <w:szCs w:val="21"/>
              </w:rPr>
            </w:pPr>
            <w:r>
              <w:rPr>
                <w:rFonts w:hint="default" w:ascii="Times New Roman" w:hAnsi="Times New Roman" w:cs="Times New Roman"/>
                <w:b/>
                <w:bCs/>
                <w:snapToGrid/>
                <w:color w:val="auto"/>
                <w:spacing w:val="0"/>
                <w:kern w:val="2"/>
                <w:position w:val="0"/>
                <w:sz w:val="21"/>
                <w:szCs w:val="21"/>
              </w:rPr>
              <w:t>图4-</w:t>
            </w:r>
            <w:r>
              <w:rPr>
                <w:rFonts w:hint="eastAsia" w:ascii="Times New Roman" w:hAnsi="Times New Roman" w:cs="Times New Roman"/>
                <w:b/>
                <w:bCs/>
                <w:snapToGrid/>
                <w:color w:val="auto"/>
                <w:spacing w:val="0"/>
                <w:kern w:val="2"/>
                <w:position w:val="0"/>
                <w:sz w:val="21"/>
                <w:szCs w:val="21"/>
                <w:lang w:val="en-US" w:eastAsia="zh-CN"/>
              </w:rPr>
              <w:t>5</w:t>
            </w:r>
            <w:r>
              <w:rPr>
                <w:rFonts w:hint="default" w:ascii="Times New Roman" w:hAnsi="Times New Roman" w:cs="Times New Roman"/>
                <w:b/>
                <w:bCs/>
                <w:snapToGrid/>
                <w:color w:val="auto"/>
                <w:spacing w:val="0"/>
                <w:kern w:val="2"/>
                <w:position w:val="0"/>
                <w:sz w:val="21"/>
                <w:szCs w:val="21"/>
              </w:rPr>
              <w:t xml:space="preserve">  室内声源等效为室外声源图例</w:t>
            </w:r>
          </w:p>
          <w:p w14:paraId="2C340973">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也可按下式计算某一室内声源靠近围护结构处产生的倍频带声压级：</w:t>
            </w:r>
          </w:p>
          <w:p w14:paraId="635B51FF">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drawing>
                <wp:inline distT="0" distB="0" distL="0" distR="0">
                  <wp:extent cx="2553970" cy="542290"/>
                  <wp:effectExtent l="0" t="0" r="6350" b="6350"/>
                  <wp:docPr id="1051" name="图片 8"/>
                  <wp:cNvGraphicFramePr/>
                  <a:graphic xmlns:a="http://schemas.openxmlformats.org/drawingml/2006/main">
                    <a:graphicData uri="http://schemas.openxmlformats.org/drawingml/2006/picture">
                      <pic:pic xmlns:pic="http://schemas.openxmlformats.org/drawingml/2006/picture">
                        <pic:nvPicPr>
                          <pic:cNvPr id="1051" name="图片 8"/>
                          <pic:cNvPicPr/>
                        </pic:nvPicPr>
                        <pic:blipFill>
                          <a:blip r:embed="rId35" cstate="print"/>
                          <a:srcRect/>
                          <a:stretch>
                            <a:fillRect/>
                          </a:stretch>
                        </pic:blipFill>
                        <pic:spPr>
                          <a:xfrm>
                            <a:off x="0" y="0"/>
                            <a:ext cx="2553970" cy="542290"/>
                          </a:xfrm>
                          <a:prstGeom prst="rect">
                            <a:avLst/>
                          </a:prstGeom>
                          <a:ln>
                            <a:noFill/>
                          </a:ln>
                        </pic:spPr>
                      </pic:pic>
                    </a:graphicData>
                  </a:graphic>
                </wp:inline>
              </w:drawing>
            </w:r>
          </w:p>
          <w:p w14:paraId="41659FF1">
            <w:pPr>
              <w:pStyle w:val="48"/>
              <w:spacing w:line="480" w:lineRule="atLeast"/>
              <w:ind w:firstLine="480" w:firstLineChars="200"/>
              <w:rPr>
                <w:rFonts w:hint="default" w:ascii="Times New Roman" w:hAnsi="Times New Roman" w:cs="Times New Roman"/>
                <w:snapToGrid/>
                <w:color w:val="auto"/>
                <w:spacing w:val="0"/>
                <w:kern w:val="2"/>
                <w:position w:val="0"/>
                <w:sz w:val="24"/>
                <w:szCs w:val="24"/>
              </w:rPr>
            </w:pPr>
            <w:r>
              <w:rPr>
                <w:rFonts w:hint="default" w:ascii="Times New Roman" w:hAnsi="Times New Roman" w:cs="Times New Roman"/>
                <w:snapToGrid/>
                <w:color w:val="auto"/>
                <w:spacing w:val="0"/>
                <w:kern w:val="2"/>
                <w:position w:val="0"/>
                <w:sz w:val="24"/>
                <w:szCs w:val="24"/>
              </w:rPr>
              <w:t>式中：</w:t>
            </w:r>
          </w:p>
          <w:p w14:paraId="72B5C780">
            <w:pPr>
              <w:pStyle w:val="48"/>
              <w:spacing w:line="480" w:lineRule="atLeast"/>
              <w:ind w:firstLine="480" w:firstLineChars="200"/>
              <w:rPr>
                <w:rFonts w:hint="eastAsia" w:ascii="Times New Roman" w:hAnsi="Times New Roman" w:eastAsia="宋体" w:cs="Times New Roman"/>
                <w:snapToGrid/>
                <w:color w:val="auto"/>
                <w:spacing w:val="0"/>
                <w:kern w:val="2"/>
                <w:position w:val="0"/>
                <w:sz w:val="24"/>
                <w:szCs w:val="24"/>
                <w:lang w:eastAsia="zh-CN"/>
              </w:rPr>
            </w:pPr>
            <w:r>
              <w:rPr>
                <w:rFonts w:hint="default" w:ascii="Times New Roman" w:hAnsi="Times New Roman" w:cs="Times New Roman"/>
                <w:snapToGrid/>
                <w:color w:val="auto"/>
                <w:spacing w:val="0"/>
                <w:kern w:val="2"/>
                <w:position w:val="0"/>
                <w:sz w:val="24"/>
                <w:szCs w:val="24"/>
              </w:rPr>
              <w:t>Q——指向性因数，通常对无指向性声源，当声源放在房间中心时，Q=1</w:t>
            </w:r>
            <w:r>
              <w:rPr>
                <w:rFonts w:hint="eastAsia" w:ascii="Times New Roman" w:hAnsi="Times New Roman" w:cs="Times New Roman"/>
                <w:snapToGrid/>
                <w:color w:val="auto"/>
                <w:spacing w:val="0"/>
                <w:kern w:val="2"/>
                <w:position w:val="0"/>
                <w:sz w:val="24"/>
                <w:szCs w:val="24"/>
                <w:lang w:eastAsia="zh-CN"/>
              </w:rPr>
              <w:t>；</w:t>
            </w:r>
            <w:r>
              <w:rPr>
                <w:rFonts w:hint="default" w:ascii="Times New Roman" w:hAnsi="Times New Roman" w:cs="Times New Roman"/>
                <w:snapToGrid/>
                <w:color w:val="auto"/>
                <w:spacing w:val="0"/>
                <w:kern w:val="2"/>
                <w:position w:val="0"/>
                <w:sz w:val="24"/>
                <w:szCs w:val="24"/>
              </w:rPr>
              <w:t>当放在一面墙的中心时，Q=2</w:t>
            </w:r>
            <w:r>
              <w:rPr>
                <w:rFonts w:hint="eastAsia" w:ascii="Times New Roman" w:hAnsi="Times New Roman" w:cs="Times New Roman"/>
                <w:snapToGrid/>
                <w:color w:val="auto"/>
                <w:spacing w:val="0"/>
                <w:kern w:val="2"/>
                <w:position w:val="0"/>
                <w:sz w:val="24"/>
                <w:szCs w:val="24"/>
                <w:lang w:eastAsia="zh-CN"/>
              </w:rPr>
              <w:t>；</w:t>
            </w:r>
            <w:r>
              <w:rPr>
                <w:rFonts w:hint="default" w:ascii="Times New Roman" w:hAnsi="Times New Roman" w:cs="Times New Roman"/>
                <w:snapToGrid/>
                <w:color w:val="auto"/>
                <w:spacing w:val="0"/>
                <w:kern w:val="2"/>
                <w:position w:val="0"/>
                <w:sz w:val="24"/>
                <w:szCs w:val="24"/>
              </w:rPr>
              <w:t>当放在两面墙夹角处时，Q=4</w:t>
            </w:r>
            <w:r>
              <w:rPr>
                <w:rFonts w:hint="eastAsia" w:ascii="Times New Roman" w:hAnsi="Times New Roman" w:cs="Times New Roman"/>
                <w:snapToGrid/>
                <w:color w:val="auto"/>
                <w:spacing w:val="0"/>
                <w:kern w:val="2"/>
                <w:position w:val="0"/>
                <w:sz w:val="24"/>
                <w:szCs w:val="24"/>
                <w:lang w:eastAsia="zh-CN"/>
              </w:rPr>
              <w:t>；</w:t>
            </w:r>
            <w:r>
              <w:rPr>
                <w:rFonts w:hint="default" w:ascii="Times New Roman" w:hAnsi="Times New Roman" w:cs="Times New Roman"/>
                <w:snapToGrid/>
                <w:color w:val="auto"/>
                <w:spacing w:val="0"/>
                <w:kern w:val="2"/>
                <w:position w:val="0"/>
                <w:sz w:val="24"/>
                <w:szCs w:val="24"/>
              </w:rPr>
              <w:t>当放在三面墙夹角处时，Q=8</w:t>
            </w:r>
            <w:r>
              <w:rPr>
                <w:rFonts w:hint="eastAsia" w:ascii="Times New Roman" w:hAnsi="Times New Roman" w:cs="Times New Roman"/>
                <w:snapToGrid/>
                <w:color w:val="auto"/>
                <w:spacing w:val="0"/>
                <w:kern w:val="2"/>
                <w:position w:val="0"/>
                <w:sz w:val="24"/>
                <w:szCs w:val="24"/>
                <w:lang w:eastAsia="zh-CN"/>
              </w:rPr>
              <w:t>；</w:t>
            </w:r>
          </w:p>
          <w:p w14:paraId="42B3695E">
            <w:pPr>
              <w:pStyle w:val="48"/>
              <w:spacing w:line="480" w:lineRule="atLeast"/>
              <w:ind w:firstLine="480" w:firstLineChars="200"/>
              <w:rPr>
                <w:rFonts w:hint="eastAsia" w:ascii="Times New Roman" w:hAnsi="Times New Roman" w:eastAsia="宋体" w:cs="Times New Roman"/>
                <w:snapToGrid/>
                <w:color w:val="auto"/>
                <w:spacing w:val="0"/>
                <w:kern w:val="2"/>
                <w:position w:val="0"/>
                <w:sz w:val="24"/>
                <w:szCs w:val="24"/>
                <w:lang w:eastAsia="zh-CN"/>
              </w:rPr>
            </w:pPr>
            <w:r>
              <w:rPr>
                <w:rFonts w:hint="default" w:ascii="Times New Roman" w:hAnsi="Times New Roman" w:cs="Times New Roman"/>
                <w:snapToGrid/>
                <w:color w:val="auto"/>
                <w:spacing w:val="0"/>
                <w:kern w:val="2"/>
                <w:position w:val="0"/>
                <w:sz w:val="24"/>
                <w:szCs w:val="24"/>
              </w:rPr>
              <w:t xml:space="preserve">R——房间常数，R=Sa/ </w:t>
            </w:r>
            <w:r>
              <w:rPr>
                <w:rFonts w:hint="eastAsia" w:ascii="Times New Roman" w:hAnsi="Times New Roman" w:cs="Times New Roman"/>
                <w:snapToGrid/>
                <w:color w:val="auto"/>
                <w:spacing w:val="0"/>
                <w:kern w:val="2"/>
                <w:position w:val="0"/>
                <w:sz w:val="24"/>
                <w:szCs w:val="24"/>
                <w:lang w:eastAsia="zh-CN"/>
              </w:rPr>
              <w:t>（</w:t>
            </w:r>
            <w:r>
              <w:rPr>
                <w:rFonts w:hint="default" w:ascii="Times New Roman" w:hAnsi="Times New Roman" w:cs="Times New Roman"/>
                <w:snapToGrid/>
                <w:color w:val="auto"/>
                <w:spacing w:val="0"/>
                <w:kern w:val="2"/>
                <w:position w:val="0"/>
                <w:sz w:val="24"/>
                <w:szCs w:val="24"/>
              </w:rPr>
              <w:t xml:space="preserve"> 1-α），S为房间内表面面积，m2，α为平均吸声系数</w:t>
            </w:r>
            <w:r>
              <w:rPr>
                <w:rFonts w:hint="eastAsia" w:ascii="Times New Roman" w:hAnsi="Times New Roman" w:cs="Times New Roman"/>
                <w:snapToGrid/>
                <w:color w:val="auto"/>
                <w:spacing w:val="0"/>
                <w:kern w:val="2"/>
                <w:position w:val="0"/>
                <w:sz w:val="24"/>
                <w:szCs w:val="24"/>
                <w:lang w:eastAsia="zh-CN"/>
              </w:rPr>
              <w:t>；</w:t>
            </w:r>
          </w:p>
          <w:p w14:paraId="77DE1C54">
            <w:pPr>
              <w:pStyle w:val="48"/>
              <w:spacing w:line="480" w:lineRule="atLeast"/>
              <w:ind w:firstLine="480" w:firstLineChars="200"/>
              <w:rPr>
                <w:rFonts w:hint="default" w:ascii="Times New Roman" w:hAnsi="Times New Roman" w:cs="Times New Roman"/>
                <w:snapToGrid/>
                <w:color w:val="auto"/>
                <w:spacing w:val="0"/>
                <w:kern w:val="2"/>
                <w:position w:val="0"/>
                <w:sz w:val="24"/>
                <w:szCs w:val="24"/>
              </w:rPr>
            </w:pPr>
            <w:r>
              <w:rPr>
                <w:rFonts w:hint="default" w:ascii="Times New Roman" w:hAnsi="Times New Roman" w:cs="Times New Roman"/>
                <w:snapToGrid/>
                <w:color w:val="auto"/>
                <w:spacing w:val="0"/>
                <w:kern w:val="2"/>
                <w:position w:val="0"/>
                <w:sz w:val="24"/>
                <w:szCs w:val="24"/>
              </w:rPr>
              <w:t>r——声源到靠近围护结构某点处的距离，m。</w:t>
            </w:r>
          </w:p>
          <w:p w14:paraId="1EF1B2E9">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然后按下式计算出所有室内声源在围护结构处产生的i倍频带叠加声压级：</w:t>
            </w:r>
          </w:p>
          <w:p w14:paraId="396959CE">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drawing>
                <wp:inline distT="0" distB="0" distL="0" distR="0">
                  <wp:extent cx="2259965" cy="580390"/>
                  <wp:effectExtent l="0" t="0" r="10795" b="13970"/>
                  <wp:docPr id="1052" name="图片 9"/>
                  <wp:cNvGraphicFramePr/>
                  <a:graphic xmlns:a="http://schemas.openxmlformats.org/drawingml/2006/main">
                    <a:graphicData uri="http://schemas.openxmlformats.org/drawingml/2006/picture">
                      <pic:pic xmlns:pic="http://schemas.openxmlformats.org/drawingml/2006/picture">
                        <pic:nvPicPr>
                          <pic:cNvPr id="1052" name="图片 9"/>
                          <pic:cNvPicPr/>
                        </pic:nvPicPr>
                        <pic:blipFill>
                          <a:blip r:embed="rId36" cstate="print"/>
                          <a:srcRect/>
                          <a:stretch>
                            <a:fillRect/>
                          </a:stretch>
                        </pic:blipFill>
                        <pic:spPr>
                          <a:xfrm>
                            <a:off x="0" y="0"/>
                            <a:ext cx="2259965" cy="580390"/>
                          </a:xfrm>
                          <a:prstGeom prst="rect">
                            <a:avLst/>
                          </a:prstGeom>
                          <a:ln>
                            <a:noFill/>
                          </a:ln>
                        </pic:spPr>
                      </pic:pic>
                    </a:graphicData>
                  </a:graphic>
                </wp:inline>
              </w:drawing>
            </w:r>
          </w:p>
          <w:p w14:paraId="19A7006A">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式中：</w:t>
            </w:r>
          </w:p>
          <w:p w14:paraId="36C7AE69">
            <w:pPr>
              <w:pStyle w:val="48"/>
              <w:spacing w:line="480" w:lineRule="atLeast"/>
              <w:ind w:firstLine="480" w:firstLineChars="200"/>
              <w:rPr>
                <w:rFonts w:hint="eastAsia" w:ascii="Times New Roman" w:hAnsi="Times New Roman" w:eastAsia="宋体" w:cs="Times New Roman"/>
                <w:snapToGrid/>
                <w:color w:val="auto"/>
                <w:spacing w:val="0"/>
                <w:kern w:val="2"/>
                <w:position w:val="0"/>
                <w:szCs w:val="24"/>
                <w:lang w:eastAsia="zh-CN"/>
              </w:rPr>
            </w:pPr>
            <w:r>
              <w:rPr>
                <w:rFonts w:hint="default" w:ascii="Times New Roman" w:hAnsi="Times New Roman" w:cs="Times New Roman"/>
                <w:snapToGrid/>
                <w:color w:val="auto"/>
                <w:spacing w:val="0"/>
                <w:kern w:val="2"/>
                <w:position w:val="0"/>
                <w:szCs w:val="24"/>
              </w:rPr>
              <w:t>Lpli</w:t>
            </w:r>
            <w:r>
              <w:rPr>
                <w:rFonts w:hint="eastAsia" w:ascii="Times New Roman" w:hAnsi="Times New Roman" w:cs="Times New Roman"/>
                <w:snapToGrid/>
                <w:color w:val="auto"/>
                <w:spacing w:val="0"/>
                <w:kern w:val="2"/>
                <w:position w:val="0"/>
                <w:szCs w:val="24"/>
                <w:lang w:eastAsia="zh-CN"/>
              </w:rPr>
              <w:t>（</w:t>
            </w:r>
            <w:r>
              <w:rPr>
                <w:rFonts w:hint="default" w:ascii="Times New Roman" w:hAnsi="Times New Roman" w:cs="Times New Roman"/>
                <w:snapToGrid/>
                <w:color w:val="auto"/>
                <w:spacing w:val="0"/>
                <w:kern w:val="2"/>
                <w:position w:val="0"/>
                <w:szCs w:val="24"/>
              </w:rPr>
              <w:t>T</w:t>
            </w:r>
            <w:r>
              <w:rPr>
                <w:rFonts w:hint="eastAsia" w:ascii="Times New Roman" w:hAnsi="Times New Roman" w:cs="Times New Roman"/>
                <w:snapToGrid/>
                <w:color w:val="auto"/>
                <w:spacing w:val="0"/>
                <w:kern w:val="2"/>
                <w:position w:val="0"/>
                <w:szCs w:val="24"/>
                <w:lang w:eastAsia="zh-CN"/>
              </w:rPr>
              <w:t>）</w:t>
            </w:r>
            <w:r>
              <w:rPr>
                <w:rFonts w:hint="default" w:ascii="Times New Roman" w:hAnsi="Times New Roman" w:cs="Times New Roman"/>
                <w:snapToGrid/>
                <w:color w:val="auto"/>
                <w:spacing w:val="0"/>
                <w:kern w:val="2"/>
                <w:position w:val="0"/>
                <w:szCs w:val="24"/>
              </w:rPr>
              <w:t>——靠近围护结构处室内N个声源i倍频带的叠加声压级，dB</w:t>
            </w:r>
            <w:r>
              <w:rPr>
                <w:rFonts w:hint="eastAsia" w:ascii="Times New Roman" w:hAnsi="Times New Roman" w:cs="Times New Roman"/>
                <w:snapToGrid/>
                <w:color w:val="auto"/>
                <w:spacing w:val="0"/>
                <w:kern w:val="2"/>
                <w:position w:val="0"/>
                <w:szCs w:val="24"/>
                <w:lang w:eastAsia="zh-CN"/>
              </w:rPr>
              <w:t>；</w:t>
            </w:r>
          </w:p>
          <w:p w14:paraId="257ACC0F">
            <w:pPr>
              <w:pStyle w:val="48"/>
              <w:spacing w:line="480" w:lineRule="atLeast"/>
              <w:ind w:firstLine="480" w:firstLineChars="200"/>
              <w:rPr>
                <w:rFonts w:hint="eastAsia" w:ascii="Times New Roman" w:hAnsi="Times New Roman" w:eastAsia="宋体" w:cs="Times New Roman"/>
                <w:snapToGrid/>
                <w:color w:val="auto"/>
                <w:spacing w:val="0"/>
                <w:kern w:val="2"/>
                <w:position w:val="0"/>
                <w:szCs w:val="24"/>
                <w:lang w:eastAsia="zh-CN"/>
              </w:rPr>
            </w:pPr>
            <w:r>
              <w:rPr>
                <w:rFonts w:hint="default" w:ascii="Times New Roman" w:hAnsi="Times New Roman" w:cs="Times New Roman"/>
                <w:snapToGrid/>
                <w:color w:val="auto"/>
                <w:spacing w:val="0"/>
                <w:kern w:val="2"/>
                <w:position w:val="0"/>
                <w:szCs w:val="24"/>
              </w:rPr>
              <w:t>Lplij——室内j声源i倍频带的声压级，dB</w:t>
            </w:r>
            <w:r>
              <w:rPr>
                <w:rFonts w:hint="eastAsia" w:ascii="Times New Roman" w:hAnsi="Times New Roman" w:cs="Times New Roman"/>
                <w:snapToGrid/>
                <w:color w:val="auto"/>
                <w:spacing w:val="0"/>
                <w:kern w:val="2"/>
                <w:position w:val="0"/>
                <w:szCs w:val="24"/>
                <w:lang w:eastAsia="zh-CN"/>
              </w:rPr>
              <w:t>；</w:t>
            </w:r>
          </w:p>
          <w:p w14:paraId="72F33416">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N——室内声源总数。</w:t>
            </w:r>
          </w:p>
          <w:p w14:paraId="77222B9F">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在室内近似为扩散声场时，按下式计算出靠近室外围护结构处的声压级：</w:t>
            </w:r>
          </w:p>
          <w:p w14:paraId="74F067DF">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drawing>
                <wp:inline distT="0" distB="0" distL="0" distR="0">
                  <wp:extent cx="2771140" cy="434340"/>
                  <wp:effectExtent l="0" t="0" r="2540" b="7620"/>
                  <wp:docPr id="1053" name="图片 10"/>
                  <wp:cNvGraphicFramePr/>
                  <a:graphic xmlns:a="http://schemas.openxmlformats.org/drawingml/2006/main">
                    <a:graphicData uri="http://schemas.openxmlformats.org/drawingml/2006/picture">
                      <pic:pic xmlns:pic="http://schemas.openxmlformats.org/drawingml/2006/picture">
                        <pic:nvPicPr>
                          <pic:cNvPr id="1053" name="图片 10"/>
                          <pic:cNvPicPr/>
                        </pic:nvPicPr>
                        <pic:blipFill>
                          <a:blip r:embed="rId37" cstate="print"/>
                          <a:srcRect t="9285"/>
                          <a:stretch>
                            <a:fillRect/>
                          </a:stretch>
                        </pic:blipFill>
                        <pic:spPr>
                          <a:xfrm>
                            <a:off x="0" y="0"/>
                            <a:ext cx="2771140" cy="434340"/>
                          </a:xfrm>
                          <a:prstGeom prst="rect">
                            <a:avLst/>
                          </a:prstGeom>
                          <a:ln>
                            <a:noFill/>
                          </a:ln>
                        </pic:spPr>
                      </pic:pic>
                    </a:graphicData>
                  </a:graphic>
                </wp:inline>
              </w:drawing>
            </w:r>
          </w:p>
          <w:p w14:paraId="45CDD29E">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式中：</w:t>
            </w:r>
          </w:p>
          <w:p w14:paraId="0415D3F0">
            <w:pPr>
              <w:pStyle w:val="48"/>
              <w:spacing w:line="480" w:lineRule="atLeast"/>
              <w:ind w:firstLine="480" w:firstLineChars="200"/>
              <w:rPr>
                <w:rFonts w:hint="eastAsia" w:ascii="Times New Roman" w:hAnsi="Times New Roman" w:eastAsia="宋体" w:cs="Times New Roman"/>
                <w:snapToGrid/>
                <w:color w:val="auto"/>
                <w:spacing w:val="0"/>
                <w:kern w:val="2"/>
                <w:position w:val="0"/>
                <w:szCs w:val="24"/>
                <w:lang w:eastAsia="zh-CN"/>
              </w:rPr>
            </w:pPr>
            <w:r>
              <w:rPr>
                <w:rFonts w:hint="default" w:ascii="Times New Roman" w:hAnsi="Times New Roman" w:cs="Times New Roman"/>
                <w:snapToGrid/>
                <w:color w:val="auto"/>
                <w:spacing w:val="0"/>
                <w:kern w:val="2"/>
                <w:position w:val="0"/>
                <w:szCs w:val="24"/>
              </w:rPr>
              <w:t>Lp2i</w:t>
            </w:r>
            <w:r>
              <w:rPr>
                <w:rFonts w:hint="eastAsia" w:ascii="Times New Roman" w:hAnsi="Times New Roman" w:cs="Times New Roman"/>
                <w:snapToGrid/>
                <w:color w:val="auto"/>
                <w:spacing w:val="0"/>
                <w:kern w:val="2"/>
                <w:position w:val="0"/>
                <w:szCs w:val="24"/>
                <w:lang w:eastAsia="zh-CN"/>
              </w:rPr>
              <w:t>（</w:t>
            </w:r>
            <w:r>
              <w:rPr>
                <w:rFonts w:hint="default" w:ascii="Times New Roman" w:hAnsi="Times New Roman" w:cs="Times New Roman"/>
                <w:snapToGrid/>
                <w:color w:val="auto"/>
                <w:spacing w:val="0"/>
                <w:kern w:val="2"/>
                <w:position w:val="0"/>
                <w:szCs w:val="24"/>
              </w:rPr>
              <w:t>T</w:t>
            </w:r>
            <w:r>
              <w:rPr>
                <w:rFonts w:hint="eastAsia" w:ascii="Times New Roman" w:hAnsi="Times New Roman" w:cs="Times New Roman"/>
                <w:snapToGrid/>
                <w:color w:val="auto"/>
                <w:spacing w:val="0"/>
                <w:kern w:val="2"/>
                <w:position w:val="0"/>
                <w:szCs w:val="24"/>
                <w:lang w:eastAsia="zh-CN"/>
              </w:rPr>
              <w:t>）</w:t>
            </w:r>
            <w:r>
              <w:rPr>
                <w:rFonts w:hint="default" w:ascii="Times New Roman" w:hAnsi="Times New Roman" w:cs="Times New Roman"/>
                <w:snapToGrid/>
                <w:color w:val="auto"/>
                <w:spacing w:val="0"/>
                <w:kern w:val="2"/>
                <w:position w:val="0"/>
                <w:szCs w:val="24"/>
              </w:rPr>
              <w:t>——靠近围护结构处室外N个声源i倍频带的叠加声压级，dB</w:t>
            </w:r>
            <w:r>
              <w:rPr>
                <w:rFonts w:hint="eastAsia" w:ascii="Times New Roman" w:hAnsi="Times New Roman" w:cs="Times New Roman"/>
                <w:snapToGrid/>
                <w:color w:val="auto"/>
                <w:spacing w:val="0"/>
                <w:kern w:val="2"/>
                <w:position w:val="0"/>
                <w:szCs w:val="24"/>
                <w:lang w:eastAsia="zh-CN"/>
              </w:rPr>
              <w:t>；</w:t>
            </w:r>
          </w:p>
          <w:p w14:paraId="54705E2D">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TLi——围护结构i倍频带的隔声量，dB。</w:t>
            </w:r>
          </w:p>
          <w:p w14:paraId="75D9C2D4">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然后按下式将室外声源的声压级和透过面积换算成等效的室外声源，计算出中心位置位于透声面积</w:t>
            </w:r>
            <w:r>
              <w:rPr>
                <w:rFonts w:hint="eastAsia" w:ascii="Times New Roman" w:hAnsi="Times New Roman" w:cs="Times New Roman"/>
                <w:snapToGrid/>
                <w:color w:val="auto"/>
                <w:spacing w:val="0"/>
                <w:kern w:val="2"/>
                <w:position w:val="0"/>
                <w:szCs w:val="24"/>
                <w:lang w:eastAsia="zh-CN"/>
              </w:rPr>
              <w:t>（</w:t>
            </w:r>
            <w:r>
              <w:rPr>
                <w:rFonts w:hint="default" w:ascii="Times New Roman" w:hAnsi="Times New Roman" w:cs="Times New Roman"/>
                <w:snapToGrid/>
                <w:color w:val="auto"/>
                <w:spacing w:val="0"/>
                <w:kern w:val="2"/>
                <w:position w:val="0"/>
                <w:szCs w:val="24"/>
              </w:rPr>
              <w:t>S）处的等效声源的倍频带声功率级。</w:t>
            </w:r>
          </w:p>
          <w:p w14:paraId="3E144117">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drawing>
                <wp:inline distT="0" distB="0" distL="0" distR="0">
                  <wp:extent cx="2056765" cy="347345"/>
                  <wp:effectExtent l="0" t="0" r="635" b="3175"/>
                  <wp:docPr id="1054" name="图片 11"/>
                  <wp:cNvGraphicFramePr/>
                  <a:graphic xmlns:a="http://schemas.openxmlformats.org/drawingml/2006/main">
                    <a:graphicData uri="http://schemas.openxmlformats.org/drawingml/2006/picture">
                      <pic:pic xmlns:pic="http://schemas.openxmlformats.org/drawingml/2006/picture">
                        <pic:nvPicPr>
                          <pic:cNvPr id="1054" name="图片 11"/>
                          <pic:cNvPicPr/>
                        </pic:nvPicPr>
                        <pic:blipFill>
                          <a:blip r:embed="rId38" cstate="print"/>
                          <a:srcRect/>
                          <a:stretch>
                            <a:fillRect/>
                          </a:stretch>
                        </pic:blipFill>
                        <pic:spPr>
                          <a:xfrm>
                            <a:off x="0" y="0"/>
                            <a:ext cx="2056765" cy="347345"/>
                          </a:xfrm>
                          <a:prstGeom prst="rect">
                            <a:avLst/>
                          </a:prstGeom>
                          <a:ln>
                            <a:noFill/>
                          </a:ln>
                        </pic:spPr>
                      </pic:pic>
                    </a:graphicData>
                  </a:graphic>
                </wp:inline>
              </w:drawing>
            </w:r>
          </w:p>
          <w:p w14:paraId="2A11F5C9">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然后按室外声源预测方法计算预测点处的A声级。</w:t>
            </w:r>
          </w:p>
          <w:p w14:paraId="0E0EDF1D">
            <w:pPr>
              <w:pStyle w:val="48"/>
              <w:spacing w:line="480" w:lineRule="atLeast"/>
              <w:ind w:firstLineChars="200"/>
              <w:rPr>
                <w:rFonts w:hint="default" w:ascii="Times New Roman" w:hAnsi="Times New Roman" w:cs="Times New Roman"/>
                <w:color w:val="auto"/>
                <w:spacing w:val="0"/>
                <w:position w:val="0"/>
              </w:rPr>
            </w:pPr>
            <w:r>
              <w:rPr>
                <w:rFonts w:hint="eastAsia" w:ascii="Times New Roman" w:hAnsi="Times New Roman" w:cs="Times New Roman"/>
                <w:b/>
                <w:bCs/>
                <w:snapToGrid/>
                <w:color w:val="auto"/>
                <w:spacing w:val="0"/>
                <w:position w:val="0"/>
                <w:szCs w:val="24"/>
                <w:lang w:eastAsia="zh-CN"/>
              </w:rPr>
              <w:t>（</w:t>
            </w:r>
            <w:r>
              <w:rPr>
                <w:rFonts w:hint="default" w:ascii="Times New Roman" w:hAnsi="Times New Roman" w:cs="Times New Roman"/>
                <w:b/>
                <w:bCs/>
                <w:snapToGrid/>
                <w:color w:val="auto"/>
                <w:spacing w:val="0"/>
                <w:position w:val="0"/>
                <w:szCs w:val="24"/>
              </w:rPr>
              <w:t>3）贡献值计算</w:t>
            </w:r>
          </w:p>
          <w:p w14:paraId="6B920CC3">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设第i个室外声源在预测点产生的A声级为LAi，在T时间内该声源工作时间为ti</w:t>
            </w:r>
            <w:r>
              <w:rPr>
                <w:rFonts w:hint="eastAsia" w:ascii="Times New Roman" w:hAnsi="Times New Roman" w:cs="Times New Roman"/>
                <w:snapToGrid/>
                <w:color w:val="auto"/>
                <w:spacing w:val="0"/>
                <w:kern w:val="2"/>
                <w:position w:val="0"/>
                <w:szCs w:val="24"/>
                <w:lang w:eastAsia="zh-CN"/>
              </w:rPr>
              <w:t>；</w:t>
            </w:r>
            <w:r>
              <w:rPr>
                <w:rFonts w:hint="default" w:ascii="Times New Roman" w:hAnsi="Times New Roman" w:cs="Times New Roman"/>
                <w:snapToGrid/>
                <w:color w:val="auto"/>
                <w:spacing w:val="0"/>
                <w:kern w:val="2"/>
                <w:position w:val="0"/>
                <w:szCs w:val="24"/>
              </w:rPr>
              <w:t>第j个等效室外声源在预测点产生的A声级为LAj，在T时间内该声源工作时间为tj，则拟建工程声源对预测点产生的贡献值</w:t>
            </w:r>
            <w:r>
              <w:rPr>
                <w:rFonts w:hint="eastAsia" w:ascii="Times New Roman" w:hAnsi="Times New Roman" w:cs="Times New Roman"/>
                <w:snapToGrid/>
                <w:color w:val="auto"/>
                <w:spacing w:val="0"/>
                <w:kern w:val="2"/>
                <w:position w:val="0"/>
                <w:szCs w:val="24"/>
                <w:lang w:eastAsia="zh-CN"/>
              </w:rPr>
              <w:t>（</w:t>
            </w:r>
            <w:r>
              <w:rPr>
                <w:rFonts w:hint="default" w:ascii="Times New Roman" w:hAnsi="Times New Roman" w:cs="Times New Roman"/>
                <w:snapToGrid/>
                <w:color w:val="auto"/>
                <w:spacing w:val="0"/>
                <w:kern w:val="2"/>
                <w:position w:val="0"/>
                <w:szCs w:val="24"/>
              </w:rPr>
              <w:t>Leqg）为：</w:t>
            </w:r>
          </w:p>
          <w:p w14:paraId="66022772">
            <w:pPr>
              <w:pStyle w:val="48"/>
              <w:spacing w:line="480" w:lineRule="atLeast"/>
              <w:ind w:firstLine="480" w:firstLineChars="200"/>
              <w:rPr>
                <w:rFonts w:hint="default" w:ascii="Times New Roman" w:hAnsi="Times New Roman" w:cs="Times New Roman"/>
                <w:b/>
                <w:bCs/>
                <w:color w:val="auto"/>
                <w:spacing w:val="0"/>
                <w:kern w:val="0"/>
                <w:position w:val="0"/>
                <w:sz w:val="24"/>
              </w:rPr>
            </w:pPr>
            <w:r>
              <w:rPr>
                <w:rFonts w:hint="default" w:ascii="Times New Roman" w:hAnsi="Times New Roman" w:cs="Times New Roman"/>
                <w:color w:val="auto"/>
                <w:spacing w:val="0"/>
                <w:position w:val="0"/>
              </w:rPr>
              <w:drawing>
                <wp:inline distT="0" distB="0" distL="0" distR="0">
                  <wp:extent cx="3568700" cy="592455"/>
                  <wp:effectExtent l="0" t="0" r="12700" b="1905"/>
                  <wp:docPr id="1055" name="图片 12"/>
                  <wp:cNvGraphicFramePr/>
                  <a:graphic xmlns:a="http://schemas.openxmlformats.org/drawingml/2006/main">
                    <a:graphicData uri="http://schemas.openxmlformats.org/drawingml/2006/picture">
                      <pic:pic xmlns:pic="http://schemas.openxmlformats.org/drawingml/2006/picture">
                        <pic:nvPicPr>
                          <pic:cNvPr id="1055" name="图片 12"/>
                          <pic:cNvPicPr/>
                        </pic:nvPicPr>
                        <pic:blipFill>
                          <a:blip r:embed="rId39" cstate="print"/>
                          <a:srcRect b="41283"/>
                          <a:stretch>
                            <a:fillRect/>
                          </a:stretch>
                        </pic:blipFill>
                        <pic:spPr>
                          <a:xfrm>
                            <a:off x="0" y="0"/>
                            <a:ext cx="3568700" cy="592455"/>
                          </a:xfrm>
                          <a:prstGeom prst="rect">
                            <a:avLst/>
                          </a:prstGeom>
                          <a:ln>
                            <a:noFill/>
                          </a:ln>
                        </pic:spPr>
                      </pic:pic>
                    </a:graphicData>
                  </a:graphic>
                </wp:inline>
              </w:drawing>
            </w:r>
          </w:p>
          <w:p w14:paraId="76942482">
            <w:pPr>
              <w:widowControl/>
              <w:spacing w:line="480" w:lineRule="atLeast"/>
              <w:ind w:firstLine="482" w:firstLineChars="200"/>
              <w:jc w:val="left"/>
              <w:rPr>
                <w:rFonts w:hint="default" w:ascii="Times New Roman" w:hAnsi="Times New Roman" w:cs="Times New Roman"/>
                <w:b/>
                <w:bCs/>
                <w:color w:val="auto"/>
                <w:spacing w:val="0"/>
                <w:kern w:val="0"/>
                <w:position w:val="0"/>
                <w:sz w:val="24"/>
              </w:rPr>
            </w:pPr>
            <w:r>
              <w:rPr>
                <w:rFonts w:hint="eastAsia" w:cs="Times New Roman"/>
                <w:b/>
                <w:bCs/>
                <w:color w:val="auto"/>
                <w:spacing w:val="0"/>
                <w:kern w:val="0"/>
                <w:position w:val="0"/>
                <w:sz w:val="24"/>
                <w:lang w:eastAsia="zh-CN"/>
              </w:rPr>
              <w:t>（</w:t>
            </w:r>
            <w:r>
              <w:rPr>
                <w:rFonts w:hint="default" w:ascii="Times New Roman" w:hAnsi="Times New Roman" w:cs="Times New Roman"/>
                <w:b/>
                <w:bCs/>
                <w:color w:val="auto"/>
                <w:spacing w:val="0"/>
                <w:kern w:val="0"/>
                <w:position w:val="0"/>
                <w:sz w:val="24"/>
              </w:rPr>
              <w:t>4）预测参数</w:t>
            </w:r>
          </w:p>
          <w:p w14:paraId="2C497894">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经对现有资料整理分析，拟选用如下参数和条件进行计算：</w:t>
            </w:r>
          </w:p>
          <w:p w14:paraId="19A3883B">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A、一般属性：声源离地面高度为0，室内点源位置为地面，房间内壁吸声系数0.01。</w:t>
            </w:r>
          </w:p>
          <w:p w14:paraId="31ADF755">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B、发声特性：稳态发声，不分频。</w:t>
            </w:r>
          </w:p>
          <w:p w14:paraId="79F63EAF">
            <w:pPr>
              <w:widowControl/>
              <w:spacing w:line="480" w:lineRule="atLeast"/>
              <w:jc w:val="left"/>
              <w:rPr>
                <w:rFonts w:hint="default" w:ascii="Times New Roman" w:hAnsi="Times New Roman" w:cs="Times New Roman"/>
                <w:color w:val="auto"/>
                <w:spacing w:val="0"/>
                <w:position w:val="0"/>
                <w:sz w:val="24"/>
              </w:rPr>
            </w:pPr>
            <w:r>
              <w:rPr>
                <w:rFonts w:hint="eastAsia" w:cs="Times New Roman"/>
                <w:b/>
                <w:bCs/>
                <w:color w:val="auto"/>
                <w:spacing w:val="0"/>
                <w:position w:val="0"/>
                <w:sz w:val="24"/>
                <w:lang w:val="en-US" w:eastAsia="zh-CN"/>
              </w:rPr>
              <w:t>4.3.3</w:t>
            </w:r>
            <w:r>
              <w:rPr>
                <w:rFonts w:hint="default" w:ascii="Times New Roman" w:hAnsi="Times New Roman" w:cs="Times New Roman"/>
                <w:b/>
                <w:bCs/>
                <w:color w:val="auto"/>
                <w:spacing w:val="0"/>
                <w:position w:val="0"/>
                <w:sz w:val="24"/>
              </w:rPr>
              <w:t>厂界噪声达标性分析</w:t>
            </w:r>
            <w:r>
              <w:rPr>
                <w:rFonts w:hint="default" w:ascii="Times New Roman" w:hAnsi="Times New Roman" w:cs="Times New Roman"/>
                <w:color w:val="auto"/>
                <w:spacing w:val="0"/>
                <w:position w:val="0"/>
                <w:sz w:val="24"/>
              </w:rPr>
              <w:t xml:space="preserve"> </w:t>
            </w:r>
          </w:p>
          <w:p w14:paraId="76CFB25D">
            <w:pPr>
              <w:pStyle w:val="48"/>
              <w:spacing w:line="480" w:lineRule="atLeast"/>
              <w:ind w:firstLine="480" w:firstLineChars="200"/>
              <w:rPr>
                <w:rFonts w:hint="default" w:ascii="Times New Roman" w:hAnsi="Times New Roman" w:cs="Times New Roman"/>
                <w:snapToGrid/>
                <w:color w:val="auto"/>
                <w:spacing w:val="0"/>
                <w:kern w:val="2"/>
                <w:position w:val="0"/>
                <w:szCs w:val="24"/>
              </w:rPr>
            </w:pPr>
            <w:r>
              <w:rPr>
                <w:rFonts w:hint="default" w:ascii="Times New Roman" w:hAnsi="Times New Roman" w:cs="Times New Roman"/>
                <w:snapToGrid/>
                <w:color w:val="auto"/>
                <w:spacing w:val="0"/>
                <w:kern w:val="2"/>
                <w:position w:val="0"/>
                <w:szCs w:val="24"/>
              </w:rPr>
              <w:t>估算出项目建成运行后的厂界</w:t>
            </w:r>
            <w:r>
              <w:rPr>
                <w:rFonts w:hint="eastAsia" w:ascii="Times New Roman" w:hAnsi="Times New Roman" w:cs="Times New Roman"/>
                <w:snapToGrid/>
                <w:color w:val="auto"/>
                <w:spacing w:val="0"/>
                <w:kern w:val="2"/>
                <w:position w:val="0"/>
                <w:szCs w:val="24"/>
                <w:lang w:val="en-US" w:eastAsia="zh-CN"/>
              </w:rPr>
              <w:t>及敏感点</w:t>
            </w:r>
            <w:r>
              <w:rPr>
                <w:rFonts w:hint="default" w:ascii="Times New Roman" w:hAnsi="Times New Roman" w:cs="Times New Roman"/>
                <w:snapToGrid/>
                <w:color w:val="auto"/>
                <w:spacing w:val="0"/>
                <w:kern w:val="2"/>
                <w:position w:val="0"/>
                <w:szCs w:val="24"/>
              </w:rPr>
              <w:t>噪声值具体结果见下表。</w:t>
            </w:r>
          </w:p>
          <w:p w14:paraId="18FA7E1E">
            <w:pPr>
              <w:pStyle w:val="48"/>
              <w:spacing w:line="480" w:lineRule="atLeast"/>
              <w:ind w:firstLine="0"/>
              <w:jc w:val="center"/>
              <w:rPr>
                <w:rFonts w:hint="eastAsia" w:ascii="Times New Roman" w:hAnsi="Times New Roman" w:eastAsia="宋体" w:cs="Times New Roman"/>
                <w:b/>
                <w:bCs/>
                <w:snapToGrid/>
                <w:color w:val="auto"/>
                <w:spacing w:val="0"/>
                <w:kern w:val="2"/>
                <w:position w:val="0"/>
                <w:sz w:val="21"/>
                <w:szCs w:val="21"/>
                <w:lang w:eastAsia="zh-CN"/>
              </w:rPr>
            </w:pPr>
            <w:r>
              <w:rPr>
                <w:rFonts w:hint="default" w:ascii="Times New Roman" w:hAnsi="Times New Roman" w:cs="Times New Roman"/>
                <w:b/>
                <w:bCs/>
                <w:snapToGrid/>
                <w:color w:val="auto"/>
                <w:spacing w:val="0"/>
                <w:kern w:val="2"/>
                <w:position w:val="0"/>
                <w:sz w:val="21"/>
                <w:szCs w:val="21"/>
              </w:rPr>
              <w:t>表4-</w:t>
            </w:r>
            <w:r>
              <w:rPr>
                <w:rFonts w:hint="eastAsia" w:ascii="Times New Roman" w:hAnsi="Times New Roman" w:cs="Times New Roman"/>
                <w:b/>
                <w:bCs/>
                <w:snapToGrid/>
                <w:color w:val="auto"/>
                <w:spacing w:val="0"/>
                <w:kern w:val="2"/>
                <w:position w:val="0"/>
                <w:sz w:val="21"/>
                <w:szCs w:val="21"/>
                <w:lang w:val="en-US" w:eastAsia="zh-CN"/>
              </w:rPr>
              <w:t>29</w:t>
            </w:r>
            <w:r>
              <w:rPr>
                <w:rFonts w:hint="default" w:ascii="Times New Roman" w:hAnsi="Times New Roman" w:cs="Times New Roman"/>
                <w:b/>
                <w:bCs/>
                <w:snapToGrid/>
                <w:color w:val="auto"/>
                <w:spacing w:val="0"/>
                <w:kern w:val="2"/>
                <w:position w:val="0"/>
                <w:sz w:val="21"/>
                <w:szCs w:val="21"/>
              </w:rPr>
              <w:t xml:space="preserve">  项目建成后厂界噪声预测结果 单位：Leq</w:t>
            </w:r>
            <w:r>
              <w:rPr>
                <w:rFonts w:hint="eastAsia" w:ascii="Times New Roman" w:hAnsi="Times New Roman" w:cs="Times New Roman"/>
                <w:b/>
                <w:bCs/>
                <w:snapToGrid/>
                <w:color w:val="auto"/>
                <w:spacing w:val="0"/>
                <w:kern w:val="2"/>
                <w:position w:val="0"/>
                <w:sz w:val="21"/>
                <w:szCs w:val="21"/>
                <w:lang w:eastAsia="zh-CN"/>
              </w:rPr>
              <w:t>〔</w:t>
            </w:r>
            <w:r>
              <w:rPr>
                <w:rFonts w:hint="default" w:ascii="Times New Roman" w:hAnsi="Times New Roman" w:cs="Times New Roman"/>
                <w:b/>
                <w:bCs/>
                <w:snapToGrid/>
                <w:color w:val="auto"/>
                <w:spacing w:val="0"/>
                <w:kern w:val="2"/>
                <w:position w:val="0"/>
                <w:sz w:val="21"/>
                <w:szCs w:val="21"/>
              </w:rPr>
              <w:t>dB</w:t>
            </w:r>
            <w:r>
              <w:rPr>
                <w:rFonts w:hint="eastAsia" w:ascii="Times New Roman" w:hAnsi="Times New Roman" w:cs="Times New Roman"/>
                <w:b/>
                <w:bCs/>
                <w:snapToGrid/>
                <w:color w:val="auto"/>
                <w:spacing w:val="0"/>
                <w:kern w:val="2"/>
                <w:position w:val="0"/>
                <w:sz w:val="21"/>
                <w:szCs w:val="21"/>
                <w:lang w:eastAsia="zh-CN"/>
              </w:rPr>
              <w:t>（</w:t>
            </w:r>
            <w:r>
              <w:rPr>
                <w:rFonts w:hint="default" w:ascii="Times New Roman" w:hAnsi="Times New Roman" w:cs="Times New Roman"/>
                <w:b/>
                <w:bCs/>
                <w:snapToGrid/>
                <w:color w:val="auto"/>
                <w:spacing w:val="0"/>
                <w:kern w:val="2"/>
                <w:position w:val="0"/>
                <w:sz w:val="21"/>
                <w:szCs w:val="21"/>
              </w:rPr>
              <w:t>A</w:t>
            </w:r>
            <w:r>
              <w:rPr>
                <w:rFonts w:hint="eastAsia" w:ascii="Times New Roman" w:hAnsi="Times New Roman" w:cs="Times New Roman"/>
                <w:b/>
                <w:bCs/>
                <w:snapToGrid/>
                <w:color w:val="auto"/>
                <w:spacing w:val="0"/>
                <w:kern w:val="2"/>
                <w:position w:val="0"/>
                <w:sz w:val="21"/>
                <w:szCs w:val="21"/>
                <w:lang w:eastAsia="zh-CN"/>
              </w:rPr>
              <w:t>）〕</w:t>
            </w:r>
          </w:p>
          <w:tbl>
            <w:tblPr>
              <w:tblStyle w:val="26"/>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1565"/>
              <w:gridCol w:w="1618"/>
              <w:gridCol w:w="1616"/>
              <w:gridCol w:w="1336"/>
              <w:gridCol w:w="1335"/>
            </w:tblGrid>
            <w:tr w14:paraId="4CDDB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048" w:type="dxa"/>
                  <w:vMerge w:val="restart"/>
                  <w:tcBorders>
                    <w:tl2br w:val="nil"/>
                    <w:tr2bl w:val="nil"/>
                  </w:tcBorders>
                  <w:noWrap w:val="0"/>
                  <w:vAlign w:val="center"/>
                </w:tcPr>
                <w:p w14:paraId="7F168F8B">
                  <w:pPr>
                    <w:keepNext w:val="0"/>
                    <w:keepLines w:val="0"/>
                    <w:pageBreakBefore w:val="0"/>
                    <w:widowControl w:val="0"/>
                    <w:tabs>
                      <w:tab w:val="left" w:pos="3600"/>
                      <w:tab w:val="left" w:pos="4320"/>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caps w:val="0"/>
                      <w:smallCaps w:val="0"/>
                      <w:color w:val="auto"/>
                      <w:spacing w:val="0"/>
                      <w:w w:val="100"/>
                      <w:position w:val="0"/>
                      <w:sz w:val="21"/>
                      <w:szCs w:val="21"/>
                      <w:lang w:eastAsia="zh-CN"/>
                    </w:rPr>
                  </w:pPr>
                  <w:r>
                    <w:rPr>
                      <w:rFonts w:hint="default" w:ascii="Times New Roman" w:hAnsi="Times New Roman" w:cs="Times New Roman"/>
                      <w:b/>
                      <w:caps w:val="0"/>
                      <w:smallCaps w:val="0"/>
                      <w:color w:val="auto"/>
                      <w:spacing w:val="0"/>
                      <w:w w:val="100"/>
                      <w:position w:val="0"/>
                      <w:sz w:val="21"/>
                      <w:szCs w:val="21"/>
                      <w:lang w:val="en-US" w:eastAsia="zh-CN"/>
                    </w:rPr>
                    <w:t>位置</w:t>
                  </w:r>
                </w:p>
              </w:tc>
              <w:tc>
                <w:tcPr>
                  <w:tcW w:w="3183" w:type="dxa"/>
                  <w:gridSpan w:val="2"/>
                  <w:tcBorders>
                    <w:tl2br w:val="nil"/>
                    <w:tr2bl w:val="nil"/>
                  </w:tcBorders>
                  <w:noWrap w:val="0"/>
                  <w:vAlign w:val="center"/>
                </w:tcPr>
                <w:p w14:paraId="09D1F837">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caps w:val="0"/>
                      <w:smallCaps w:val="0"/>
                      <w:color w:val="auto"/>
                      <w:spacing w:val="0"/>
                      <w:w w:val="100"/>
                      <w:position w:val="0"/>
                      <w:sz w:val="21"/>
                      <w:szCs w:val="21"/>
                      <w:lang w:val="en-US" w:eastAsia="zh-CN"/>
                    </w:rPr>
                  </w:pPr>
                  <w:r>
                    <w:rPr>
                      <w:rFonts w:hint="default" w:ascii="Times New Roman" w:hAnsi="Times New Roman" w:cs="Times New Roman"/>
                      <w:b/>
                      <w:caps w:val="0"/>
                      <w:smallCaps w:val="0"/>
                      <w:color w:val="auto"/>
                      <w:spacing w:val="0"/>
                      <w:w w:val="100"/>
                      <w:position w:val="0"/>
                      <w:sz w:val="21"/>
                      <w:szCs w:val="21"/>
                      <w:lang w:val="en-US" w:eastAsia="zh-CN"/>
                    </w:rPr>
                    <w:t>贡献值</w:t>
                  </w:r>
                </w:p>
              </w:tc>
              <w:tc>
                <w:tcPr>
                  <w:tcW w:w="2952" w:type="dxa"/>
                  <w:gridSpan w:val="2"/>
                  <w:tcBorders>
                    <w:tl2br w:val="nil"/>
                    <w:tr2bl w:val="nil"/>
                  </w:tcBorders>
                  <w:noWrap w:val="0"/>
                  <w:vAlign w:val="center"/>
                </w:tcPr>
                <w:p w14:paraId="29EB0A52">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caps w:val="0"/>
                      <w:smallCaps w:val="0"/>
                      <w:color w:val="auto"/>
                      <w:spacing w:val="0"/>
                      <w:w w:val="100"/>
                      <w:position w:val="0"/>
                      <w:sz w:val="21"/>
                      <w:szCs w:val="21"/>
                      <w:lang w:val="en-US" w:eastAsia="zh-CN"/>
                    </w:rPr>
                  </w:pPr>
                  <w:r>
                    <w:rPr>
                      <w:rFonts w:hint="default" w:ascii="Times New Roman" w:hAnsi="Times New Roman" w:cs="Times New Roman"/>
                      <w:b/>
                      <w:caps w:val="0"/>
                      <w:smallCaps w:val="0"/>
                      <w:color w:val="auto"/>
                      <w:spacing w:val="0"/>
                      <w:w w:val="100"/>
                      <w:position w:val="0"/>
                      <w:sz w:val="21"/>
                      <w:szCs w:val="21"/>
                      <w:lang w:val="en-US" w:eastAsia="zh-CN"/>
                    </w:rPr>
                    <w:t>标准值</w:t>
                  </w:r>
                </w:p>
              </w:tc>
              <w:tc>
                <w:tcPr>
                  <w:tcW w:w="1335" w:type="dxa"/>
                  <w:vMerge w:val="restart"/>
                  <w:tcBorders>
                    <w:tl2br w:val="nil"/>
                    <w:tr2bl w:val="nil"/>
                  </w:tcBorders>
                  <w:noWrap w:val="0"/>
                  <w:vAlign w:val="center"/>
                </w:tcPr>
                <w:p w14:paraId="03130C4D">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caps w:val="0"/>
                      <w:smallCaps w:val="0"/>
                      <w:color w:val="auto"/>
                      <w:spacing w:val="0"/>
                      <w:w w:val="100"/>
                      <w:position w:val="0"/>
                      <w:sz w:val="21"/>
                      <w:szCs w:val="21"/>
                      <w:lang w:val="en-US" w:eastAsia="zh-CN"/>
                    </w:rPr>
                  </w:pPr>
                  <w:r>
                    <w:rPr>
                      <w:rFonts w:hint="default" w:ascii="Times New Roman" w:hAnsi="Times New Roman" w:cs="Times New Roman"/>
                      <w:b/>
                      <w:caps w:val="0"/>
                      <w:smallCaps w:val="0"/>
                      <w:color w:val="auto"/>
                      <w:spacing w:val="0"/>
                      <w:w w:val="100"/>
                      <w:position w:val="0"/>
                      <w:sz w:val="21"/>
                      <w:szCs w:val="21"/>
                      <w:lang w:val="en-US" w:eastAsia="zh-CN"/>
                    </w:rPr>
                    <w:t>达标情况</w:t>
                  </w:r>
                </w:p>
              </w:tc>
            </w:tr>
            <w:tr w14:paraId="200C3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048" w:type="dxa"/>
                  <w:vMerge w:val="continue"/>
                  <w:tcBorders>
                    <w:tl2br w:val="nil"/>
                    <w:tr2bl w:val="nil"/>
                  </w:tcBorders>
                  <w:noWrap w:val="0"/>
                  <w:vAlign w:val="center"/>
                </w:tcPr>
                <w:p w14:paraId="66C93766">
                  <w:pPr>
                    <w:keepNext w:val="0"/>
                    <w:keepLines w:val="0"/>
                    <w:pageBreakBefore w:val="0"/>
                    <w:widowControl w:val="0"/>
                    <w:tabs>
                      <w:tab w:val="left" w:pos="3600"/>
                      <w:tab w:val="left" w:pos="4320"/>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caps w:val="0"/>
                      <w:smallCaps w:val="0"/>
                      <w:color w:val="auto"/>
                      <w:spacing w:val="0"/>
                      <w:w w:val="100"/>
                      <w:position w:val="0"/>
                      <w:sz w:val="21"/>
                      <w:szCs w:val="21"/>
                      <w:lang w:val="en-US" w:eastAsia="zh-CN"/>
                    </w:rPr>
                  </w:pPr>
                </w:p>
              </w:tc>
              <w:tc>
                <w:tcPr>
                  <w:tcW w:w="1565" w:type="dxa"/>
                  <w:tcBorders>
                    <w:tl2br w:val="nil"/>
                    <w:tr2bl w:val="nil"/>
                  </w:tcBorders>
                  <w:noWrap w:val="0"/>
                  <w:vAlign w:val="center"/>
                </w:tcPr>
                <w:p w14:paraId="3A4375B1">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caps w:val="0"/>
                      <w:smallCaps w:val="0"/>
                      <w:color w:val="auto"/>
                      <w:spacing w:val="0"/>
                      <w:w w:val="100"/>
                      <w:position w:val="0"/>
                      <w:sz w:val="21"/>
                      <w:szCs w:val="21"/>
                      <w:lang w:val="en-US" w:eastAsia="zh-CN"/>
                    </w:rPr>
                  </w:pPr>
                  <w:r>
                    <w:rPr>
                      <w:rFonts w:hint="eastAsia" w:cs="Times New Roman"/>
                      <w:b/>
                      <w:caps w:val="0"/>
                      <w:smallCaps w:val="0"/>
                      <w:color w:val="auto"/>
                      <w:spacing w:val="0"/>
                      <w:w w:val="100"/>
                      <w:position w:val="0"/>
                      <w:sz w:val="21"/>
                      <w:szCs w:val="21"/>
                      <w:lang w:val="en-US" w:eastAsia="zh-CN"/>
                    </w:rPr>
                    <w:t>昼间</w:t>
                  </w:r>
                </w:p>
              </w:tc>
              <w:tc>
                <w:tcPr>
                  <w:tcW w:w="1618" w:type="dxa"/>
                  <w:tcBorders>
                    <w:tl2br w:val="nil"/>
                    <w:tr2bl w:val="nil"/>
                  </w:tcBorders>
                  <w:noWrap w:val="0"/>
                  <w:vAlign w:val="center"/>
                </w:tcPr>
                <w:p w14:paraId="66E101AF">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caps w:val="0"/>
                      <w:smallCaps w:val="0"/>
                      <w:color w:val="auto"/>
                      <w:spacing w:val="0"/>
                      <w:w w:val="100"/>
                      <w:position w:val="0"/>
                      <w:sz w:val="21"/>
                      <w:szCs w:val="21"/>
                      <w:lang w:val="en-US" w:eastAsia="zh-CN"/>
                    </w:rPr>
                  </w:pPr>
                  <w:r>
                    <w:rPr>
                      <w:rFonts w:hint="eastAsia" w:cs="Times New Roman"/>
                      <w:b/>
                      <w:caps w:val="0"/>
                      <w:smallCaps w:val="0"/>
                      <w:color w:val="auto"/>
                      <w:spacing w:val="0"/>
                      <w:w w:val="100"/>
                      <w:position w:val="0"/>
                      <w:sz w:val="21"/>
                      <w:szCs w:val="21"/>
                      <w:lang w:val="en-US" w:eastAsia="zh-CN"/>
                    </w:rPr>
                    <w:t>夜间</w:t>
                  </w:r>
                </w:p>
              </w:tc>
              <w:tc>
                <w:tcPr>
                  <w:tcW w:w="1616" w:type="dxa"/>
                  <w:tcBorders>
                    <w:tl2br w:val="nil"/>
                    <w:tr2bl w:val="nil"/>
                  </w:tcBorders>
                  <w:shd w:val="clear" w:color="auto" w:fill="auto"/>
                  <w:noWrap w:val="0"/>
                  <w:vAlign w:val="center"/>
                </w:tcPr>
                <w:p w14:paraId="41D01676">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caps w:val="0"/>
                      <w:smallCaps w:val="0"/>
                      <w:color w:val="auto"/>
                      <w:spacing w:val="0"/>
                      <w:w w:val="100"/>
                      <w:kern w:val="2"/>
                      <w:position w:val="0"/>
                      <w:sz w:val="21"/>
                      <w:szCs w:val="21"/>
                      <w:lang w:val="en-US" w:eastAsia="zh-CN" w:bidi="ar-SA"/>
                    </w:rPr>
                  </w:pPr>
                  <w:r>
                    <w:rPr>
                      <w:rFonts w:hint="eastAsia" w:cs="Times New Roman"/>
                      <w:b/>
                      <w:caps w:val="0"/>
                      <w:smallCaps w:val="0"/>
                      <w:color w:val="auto"/>
                      <w:spacing w:val="0"/>
                      <w:w w:val="100"/>
                      <w:position w:val="0"/>
                      <w:sz w:val="21"/>
                      <w:szCs w:val="21"/>
                      <w:lang w:val="en-US" w:eastAsia="zh-CN"/>
                    </w:rPr>
                    <w:t>昼间</w:t>
                  </w:r>
                </w:p>
              </w:tc>
              <w:tc>
                <w:tcPr>
                  <w:tcW w:w="1336" w:type="dxa"/>
                  <w:tcBorders>
                    <w:tl2br w:val="nil"/>
                    <w:tr2bl w:val="nil"/>
                  </w:tcBorders>
                  <w:shd w:val="clear" w:color="auto" w:fill="auto"/>
                  <w:noWrap w:val="0"/>
                  <w:vAlign w:val="center"/>
                </w:tcPr>
                <w:p w14:paraId="161416CD">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caps w:val="0"/>
                      <w:smallCaps w:val="0"/>
                      <w:color w:val="auto"/>
                      <w:spacing w:val="0"/>
                      <w:w w:val="100"/>
                      <w:kern w:val="2"/>
                      <w:position w:val="0"/>
                      <w:sz w:val="21"/>
                      <w:szCs w:val="21"/>
                      <w:lang w:val="en-US" w:eastAsia="zh-CN" w:bidi="ar-SA"/>
                    </w:rPr>
                  </w:pPr>
                  <w:r>
                    <w:rPr>
                      <w:rFonts w:hint="eastAsia" w:cs="Times New Roman"/>
                      <w:b/>
                      <w:caps w:val="0"/>
                      <w:smallCaps w:val="0"/>
                      <w:color w:val="auto"/>
                      <w:spacing w:val="0"/>
                      <w:w w:val="100"/>
                      <w:position w:val="0"/>
                      <w:sz w:val="21"/>
                      <w:szCs w:val="21"/>
                      <w:lang w:val="en-US" w:eastAsia="zh-CN"/>
                    </w:rPr>
                    <w:t>夜间</w:t>
                  </w:r>
                </w:p>
              </w:tc>
              <w:tc>
                <w:tcPr>
                  <w:tcW w:w="1335" w:type="dxa"/>
                  <w:vMerge w:val="continue"/>
                  <w:tcBorders>
                    <w:tl2br w:val="nil"/>
                    <w:tr2bl w:val="nil"/>
                  </w:tcBorders>
                  <w:noWrap w:val="0"/>
                  <w:vAlign w:val="center"/>
                </w:tcPr>
                <w:p w14:paraId="7CDA0ED5">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caps w:val="0"/>
                      <w:smallCaps w:val="0"/>
                      <w:color w:val="auto"/>
                      <w:spacing w:val="0"/>
                      <w:w w:val="100"/>
                      <w:position w:val="0"/>
                      <w:sz w:val="21"/>
                      <w:szCs w:val="21"/>
                      <w:lang w:val="en-US" w:eastAsia="zh-CN"/>
                    </w:rPr>
                  </w:pPr>
                </w:p>
              </w:tc>
            </w:tr>
            <w:tr w14:paraId="5B93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048" w:type="dxa"/>
                  <w:tcBorders>
                    <w:tl2br w:val="nil"/>
                    <w:tr2bl w:val="nil"/>
                  </w:tcBorders>
                  <w:noWrap w:val="0"/>
                  <w:vAlign w:val="center"/>
                </w:tcPr>
                <w:p w14:paraId="01516E4E">
                  <w:pPr>
                    <w:keepNext w:val="0"/>
                    <w:keepLines w:val="0"/>
                    <w:pageBreakBefore w:val="0"/>
                    <w:widowControl w:val="0"/>
                    <w:tabs>
                      <w:tab w:val="left" w:pos="3600"/>
                      <w:tab w:val="left" w:pos="4320"/>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厂界东</w:t>
                  </w:r>
                </w:p>
              </w:tc>
              <w:tc>
                <w:tcPr>
                  <w:tcW w:w="1565" w:type="dxa"/>
                  <w:tcBorders>
                    <w:tl2br w:val="nil"/>
                    <w:tr2bl w:val="nil"/>
                  </w:tcBorders>
                  <w:noWrap w:val="0"/>
                  <w:vAlign w:val="center"/>
                </w:tcPr>
                <w:p w14:paraId="7B59CA28">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lang w:val="en-US" w:eastAsia="zh-CN"/>
                    </w:rPr>
                  </w:pPr>
                  <w:r>
                    <w:rPr>
                      <w:rFonts w:hint="default" w:ascii="Times New Roman" w:hAnsi="Times New Roman" w:eastAsia="宋体" w:cs="Times New Roman"/>
                      <w:b w:val="0"/>
                      <w:bCs/>
                      <w:caps w:val="0"/>
                      <w:smallCaps w:val="0"/>
                      <w:color w:val="auto"/>
                      <w:spacing w:val="0"/>
                      <w:w w:val="100"/>
                      <w:position w:val="0"/>
                      <w:sz w:val="21"/>
                      <w:szCs w:val="21"/>
                      <w:lang w:val="en-US" w:eastAsia="zh-CN"/>
                    </w:rPr>
                    <w:t>47.</w:t>
                  </w:r>
                  <w:r>
                    <w:rPr>
                      <w:rFonts w:hint="eastAsia" w:cs="Times New Roman"/>
                      <w:b w:val="0"/>
                      <w:bCs/>
                      <w:caps w:val="0"/>
                      <w:smallCaps w:val="0"/>
                      <w:color w:val="auto"/>
                      <w:spacing w:val="0"/>
                      <w:w w:val="100"/>
                      <w:position w:val="0"/>
                      <w:sz w:val="21"/>
                      <w:szCs w:val="21"/>
                      <w:lang w:val="en-US" w:eastAsia="zh-CN"/>
                    </w:rPr>
                    <w:t>2</w:t>
                  </w:r>
                  <w:r>
                    <w:rPr>
                      <w:rFonts w:hint="default" w:ascii="Times New Roman" w:hAnsi="Times New Roman" w:eastAsia="宋体" w:cs="Times New Roman"/>
                      <w:b w:val="0"/>
                      <w:bCs/>
                      <w:caps w:val="0"/>
                      <w:smallCaps w:val="0"/>
                      <w:color w:val="auto"/>
                      <w:spacing w:val="0"/>
                      <w:w w:val="100"/>
                      <w:position w:val="0"/>
                      <w:sz w:val="21"/>
                      <w:szCs w:val="21"/>
                      <w:lang w:val="en-US" w:eastAsia="zh-CN"/>
                    </w:rPr>
                    <w:t xml:space="preserve"> </w:t>
                  </w:r>
                </w:p>
              </w:tc>
              <w:tc>
                <w:tcPr>
                  <w:tcW w:w="1618" w:type="dxa"/>
                  <w:tcBorders>
                    <w:tl2br w:val="nil"/>
                    <w:tr2bl w:val="nil"/>
                  </w:tcBorders>
                  <w:shd w:val="clear" w:color="auto" w:fill="auto"/>
                  <w:noWrap w:val="0"/>
                  <w:vAlign w:val="center"/>
                </w:tcPr>
                <w:p w14:paraId="66D45D0C">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b w:val="0"/>
                      <w:bCs/>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b w:val="0"/>
                      <w:bCs/>
                      <w:caps w:val="0"/>
                      <w:smallCaps w:val="0"/>
                      <w:color w:val="auto"/>
                      <w:spacing w:val="0"/>
                      <w:w w:val="100"/>
                      <w:position w:val="0"/>
                      <w:sz w:val="21"/>
                      <w:szCs w:val="21"/>
                      <w:lang w:val="en-US" w:eastAsia="zh-CN"/>
                    </w:rPr>
                    <w:t>47.</w:t>
                  </w:r>
                  <w:r>
                    <w:rPr>
                      <w:rFonts w:hint="eastAsia" w:cs="Times New Roman"/>
                      <w:b w:val="0"/>
                      <w:bCs/>
                      <w:caps w:val="0"/>
                      <w:smallCaps w:val="0"/>
                      <w:color w:val="auto"/>
                      <w:spacing w:val="0"/>
                      <w:w w:val="100"/>
                      <w:position w:val="0"/>
                      <w:sz w:val="21"/>
                      <w:szCs w:val="21"/>
                      <w:lang w:val="en-US" w:eastAsia="zh-CN"/>
                    </w:rPr>
                    <w:t>2</w:t>
                  </w:r>
                  <w:r>
                    <w:rPr>
                      <w:rFonts w:hint="default" w:ascii="Times New Roman" w:hAnsi="Times New Roman" w:eastAsia="宋体" w:cs="Times New Roman"/>
                      <w:b w:val="0"/>
                      <w:bCs/>
                      <w:caps w:val="0"/>
                      <w:smallCaps w:val="0"/>
                      <w:color w:val="auto"/>
                      <w:spacing w:val="0"/>
                      <w:w w:val="100"/>
                      <w:position w:val="0"/>
                      <w:sz w:val="21"/>
                      <w:szCs w:val="21"/>
                      <w:lang w:val="en-US" w:eastAsia="zh-CN"/>
                    </w:rPr>
                    <w:t xml:space="preserve"> </w:t>
                  </w:r>
                </w:p>
              </w:tc>
              <w:tc>
                <w:tcPr>
                  <w:tcW w:w="1616" w:type="dxa"/>
                  <w:tcBorders>
                    <w:tl2br w:val="nil"/>
                    <w:tr2bl w:val="nil"/>
                  </w:tcBorders>
                  <w:noWrap w:val="0"/>
                  <w:vAlign w:val="center"/>
                </w:tcPr>
                <w:p w14:paraId="2298F9FD">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6</w:t>
                  </w:r>
                  <w:r>
                    <w:rPr>
                      <w:rFonts w:hint="eastAsia" w:cs="Times New Roman"/>
                      <w:b w:val="0"/>
                      <w:bCs/>
                      <w:caps w:val="0"/>
                      <w:smallCaps w:val="0"/>
                      <w:color w:val="auto"/>
                      <w:spacing w:val="0"/>
                      <w:w w:val="100"/>
                      <w:position w:val="0"/>
                      <w:sz w:val="21"/>
                      <w:szCs w:val="21"/>
                      <w:lang w:val="en-US" w:eastAsia="zh-CN"/>
                    </w:rPr>
                    <w:t>5</w:t>
                  </w:r>
                </w:p>
              </w:tc>
              <w:tc>
                <w:tcPr>
                  <w:tcW w:w="1336" w:type="dxa"/>
                  <w:tcBorders>
                    <w:tl2br w:val="nil"/>
                    <w:tr2bl w:val="nil"/>
                  </w:tcBorders>
                  <w:noWrap w:val="0"/>
                  <w:vAlign w:val="center"/>
                </w:tcPr>
                <w:p w14:paraId="75F576F8">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eastAsia" w:cs="Times New Roman"/>
                      <w:b w:val="0"/>
                      <w:bCs/>
                      <w:caps w:val="0"/>
                      <w:smallCaps w:val="0"/>
                      <w:color w:val="auto"/>
                      <w:spacing w:val="0"/>
                      <w:w w:val="100"/>
                      <w:position w:val="0"/>
                      <w:sz w:val="21"/>
                      <w:szCs w:val="21"/>
                      <w:lang w:val="en-US" w:eastAsia="zh-CN"/>
                    </w:rPr>
                    <w:t>55</w:t>
                  </w:r>
                </w:p>
              </w:tc>
              <w:tc>
                <w:tcPr>
                  <w:tcW w:w="1335" w:type="dxa"/>
                  <w:tcBorders>
                    <w:tl2br w:val="nil"/>
                    <w:tr2bl w:val="nil"/>
                  </w:tcBorders>
                  <w:noWrap w:val="0"/>
                  <w:vAlign w:val="center"/>
                </w:tcPr>
                <w:p w14:paraId="58189F6E">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达标</w:t>
                  </w:r>
                </w:p>
              </w:tc>
            </w:tr>
            <w:tr w14:paraId="3259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048" w:type="dxa"/>
                  <w:tcBorders>
                    <w:tl2br w:val="nil"/>
                    <w:tr2bl w:val="nil"/>
                  </w:tcBorders>
                  <w:noWrap w:val="0"/>
                  <w:vAlign w:val="center"/>
                </w:tcPr>
                <w:p w14:paraId="77BC4A1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厂界南</w:t>
                  </w:r>
                </w:p>
              </w:tc>
              <w:tc>
                <w:tcPr>
                  <w:tcW w:w="1565" w:type="dxa"/>
                  <w:tcBorders>
                    <w:tl2br w:val="nil"/>
                    <w:tr2bl w:val="nil"/>
                  </w:tcBorders>
                  <w:noWrap w:val="0"/>
                  <w:vAlign w:val="center"/>
                </w:tcPr>
                <w:p w14:paraId="6C51520C">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lang w:val="en-US" w:eastAsia="zh-CN"/>
                    </w:rPr>
                  </w:pPr>
                  <w:r>
                    <w:rPr>
                      <w:rFonts w:hint="default" w:ascii="Times New Roman" w:hAnsi="Times New Roman" w:eastAsia="宋体" w:cs="Times New Roman"/>
                      <w:b w:val="0"/>
                      <w:bCs/>
                      <w:caps w:val="0"/>
                      <w:smallCaps w:val="0"/>
                      <w:color w:val="auto"/>
                      <w:spacing w:val="0"/>
                      <w:w w:val="100"/>
                      <w:position w:val="0"/>
                      <w:sz w:val="21"/>
                      <w:szCs w:val="21"/>
                      <w:lang w:val="en-US" w:eastAsia="zh-CN"/>
                    </w:rPr>
                    <w:t>44.</w:t>
                  </w:r>
                  <w:r>
                    <w:rPr>
                      <w:rFonts w:hint="eastAsia" w:cs="Times New Roman"/>
                      <w:b w:val="0"/>
                      <w:bCs/>
                      <w:caps w:val="0"/>
                      <w:smallCaps w:val="0"/>
                      <w:color w:val="auto"/>
                      <w:spacing w:val="0"/>
                      <w:w w:val="100"/>
                      <w:position w:val="0"/>
                      <w:sz w:val="21"/>
                      <w:szCs w:val="21"/>
                      <w:lang w:val="en-US" w:eastAsia="zh-CN"/>
                    </w:rPr>
                    <w:t>2</w:t>
                  </w:r>
                  <w:r>
                    <w:rPr>
                      <w:rFonts w:hint="default" w:ascii="Times New Roman" w:hAnsi="Times New Roman" w:eastAsia="宋体" w:cs="Times New Roman"/>
                      <w:b w:val="0"/>
                      <w:bCs/>
                      <w:caps w:val="0"/>
                      <w:smallCaps w:val="0"/>
                      <w:color w:val="auto"/>
                      <w:spacing w:val="0"/>
                      <w:w w:val="100"/>
                      <w:position w:val="0"/>
                      <w:sz w:val="21"/>
                      <w:szCs w:val="21"/>
                      <w:lang w:val="en-US" w:eastAsia="zh-CN"/>
                    </w:rPr>
                    <w:t xml:space="preserve"> </w:t>
                  </w:r>
                </w:p>
              </w:tc>
              <w:tc>
                <w:tcPr>
                  <w:tcW w:w="1618" w:type="dxa"/>
                  <w:tcBorders>
                    <w:tl2br w:val="nil"/>
                    <w:tr2bl w:val="nil"/>
                  </w:tcBorders>
                  <w:shd w:val="clear" w:color="auto" w:fill="auto"/>
                  <w:noWrap w:val="0"/>
                  <w:vAlign w:val="center"/>
                </w:tcPr>
                <w:p w14:paraId="481C2199">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b w:val="0"/>
                      <w:bCs/>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b w:val="0"/>
                      <w:bCs/>
                      <w:caps w:val="0"/>
                      <w:smallCaps w:val="0"/>
                      <w:color w:val="auto"/>
                      <w:spacing w:val="0"/>
                      <w:w w:val="100"/>
                      <w:position w:val="0"/>
                      <w:sz w:val="21"/>
                      <w:szCs w:val="21"/>
                      <w:lang w:val="en-US" w:eastAsia="zh-CN"/>
                    </w:rPr>
                    <w:t>44.</w:t>
                  </w:r>
                  <w:r>
                    <w:rPr>
                      <w:rFonts w:hint="eastAsia" w:cs="Times New Roman"/>
                      <w:b w:val="0"/>
                      <w:bCs/>
                      <w:caps w:val="0"/>
                      <w:smallCaps w:val="0"/>
                      <w:color w:val="auto"/>
                      <w:spacing w:val="0"/>
                      <w:w w:val="100"/>
                      <w:position w:val="0"/>
                      <w:sz w:val="21"/>
                      <w:szCs w:val="21"/>
                      <w:lang w:val="en-US" w:eastAsia="zh-CN"/>
                    </w:rPr>
                    <w:t>2</w:t>
                  </w:r>
                  <w:r>
                    <w:rPr>
                      <w:rFonts w:hint="default" w:ascii="Times New Roman" w:hAnsi="Times New Roman" w:eastAsia="宋体" w:cs="Times New Roman"/>
                      <w:b w:val="0"/>
                      <w:bCs/>
                      <w:caps w:val="0"/>
                      <w:smallCaps w:val="0"/>
                      <w:color w:val="auto"/>
                      <w:spacing w:val="0"/>
                      <w:w w:val="100"/>
                      <w:position w:val="0"/>
                      <w:sz w:val="21"/>
                      <w:szCs w:val="21"/>
                      <w:lang w:val="en-US" w:eastAsia="zh-CN"/>
                    </w:rPr>
                    <w:t xml:space="preserve"> </w:t>
                  </w:r>
                </w:p>
              </w:tc>
              <w:tc>
                <w:tcPr>
                  <w:tcW w:w="1616" w:type="dxa"/>
                  <w:tcBorders>
                    <w:tl2br w:val="nil"/>
                    <w:tr2bl w:val="nil"/>
                  </w:tcBorders>
                  <w:noWrap w:val="0"/>
                  <w:vAlign w:val="center"/>
                </w:tcPr>
                <w:p w14:paraId="7FBB2058">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6</w:t>
                  </w:r>
                  <w:r>
                    <w:rPr>
                      <w:rFonts w:hint="eastAsia" w:cs="Times New Roman"/>
                      <w:b w:val="0"/>
                      <w:bCs/>
                      <w:caps w:val="0"/>
                      <w:smallCaps w:val="0"/>
                      <w:color w:val="auto"/>
                      <w:spacing w:val="0"/>
                      <w:w w:val="100"/>
                      <w:position w:val="0"/>
                      <w:sz w:val="21"/>
                      <w:szCs w:val="21"/>
                      <w:lang w:val="en-US" w:eastAsia="zh-CN"/>
                    </w:rPr>
                    <w:t>5</w:t>
                  </w:r>
                </w:p>
              </w:tc>
              <w:tc>
                <w:tcPr>
                  <w:tcW w:w="1336" w:type="dxa"/>
                  <w:tcBorders>
                    <w:tl2br w:val="nil"/>
                    <w:tr2bl w:val="nil"/>
                  </w:tcBorders>
                  <w:noWrap w:val="0"/>
                  <w:vAlign w:val="center"/>
                </w:tcPr>
                <w:p w14:paraId="384481C9">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eastAsia" w:cs="Times New Roman"/>
                      <w:b w:val="0"/>
                      <w:bCs/>
                      <w:caps w:val="0"/>
                      <w:smallCaps w:val="0"/>
                      <w:color w:val="auto"/>
                      <w:spacing w:val="0"/>
                      <w:w w:val="100"/>
                      <w:position w:val="0"/>
                      <w:sz w:val="21"/>
                      <w:szCs w:val="21"/>
                      <w:lang w:val="en-US" w:eastAsia="zh-CN"/>
                    </w:rPr>
                    <w:t>55</w:t>
                  </w:r>
                </w:p>
              </w:tc>
              <w:tc>
                <w:tcPr>
                  <w:tcW w:w="1335" w:type="dxa"/>
                  <w:tcBorders>
                    <w:tl2br w:val="nil"/>
                    <w:tr2bl w:val="nil"/>
                  </w:tcBorders>
                  <w:noWrap w:val="0"/>
                  <w:vAlign w:val="center"/>
                </w:tcPr>
                <w:p w14:paraId="68F7112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达标</w:t>
                  </w:r>
                </w:p>
              </w:tc>
            </w:tr>
            <w:tr w14:paraId="63D5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048" w:type="dxa"/>
                  <w:tcBorders>
                    <w:tl2br w:val="nil"/>
                    <w:tr2bl w:val="nil"/>
                  </w:tcBorders>
                  <w:noWrap w:val="0"/>
                  <w:vAlign w:val="center"/>
                </w:tcPr>
                <w:p w14:paraId="71B78C0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厂界西</w:t>
                  </w:r>
                </w:p>
              </w:tc>
              <w:tc>
                <w:tcPr>
                  <w:tcW w:w="1565" w:type="dxa"/>
                  <w:tcBorders>
                    <w:tl2br w:val="nil"/>
                    <w:tr2bl w:val="nil"/>
                  </w:tcBorders>
                  <w:noWrap w:val="0"/>
                  <w:vAlign w:val="center"/>
                </w:tcPr>
                <w:p w14:paraId="6831F36B">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lang w:val="en-US" w:eastAsia="zh-CN"/>
                    </w:rPr>
                  </w:pPr>
                  <w:r>
                    <w:rPr>
                      <w:rFonts w:hint="default" w:ascii="Times New Roman" w:hAnsi="Times New Roman" w:eastAsia="宋体" w:cs="Times New Roman"/>
                      <w:b w:val="0"/>
                      <w:bCs/>
                      <w:caps w:val="0"/>
                      <w:smallCaps w:val="0"/>
                      <w:color w:val="auto"/>
                      <w:spacing w:val="0"/>
                      <w:w w:val="100"/>
                      <w:position w:val="0"/>
                      <w:sz w:val="21"/>
                      <w:szCs w:val="21"/>
                      <w:lang w:val="en-US" w:eastAsia="zh-CN"/>
                    </w:rPr>
                    <w:t>45.</w:t>
                  </w:r>
                  <w:r>
                    <w:rPr>
                      <w:rFonts w:hint="eastAsia" w:cs="Times New Roman"/>
                      <w:b w:val="0"/>
                      <w:bCs/>
                      <w:caps w:val="0"/>
                      <w:smallCaps w:val="0"/>
                      <w:color w:val="auto"/>
                      <w:spacing w:val="0"/>
                      <w:w w:val="100"/>
                      <w:position w:val="0"/>
                      <w:sz w:val="21"/>
                      <w:szCs w:val="21"/>
                      <w:lang w:val="en-US" w:eastAsia="zh-CN"/>
                    </w:rPr>
                    <w:t>5</w:t>
                  </w:r>
                  <w:r>
                    <w:rPr>
                      <w:rFonts w:hint="default" w:ascii="Times New Roman" w:hAnsi="Times New Roman" w:eastAsia="宋体" w:cs="Times New Roman"/>
                      <w:b w:val="0"/>
                      <w:bCs/>
                      <w:caps w:val="0"/>
                      <w:smallCaps w:val="0"/>
                      <w:color w:val="auto"/>
                      <w:spacing w:val="0"/>
                      <w:w w:val="100"/>
                      <w:position w:val="0"/>
                      <w:sz w:val="21"/>
                      <w:szCs w:val="21"/>
                      <w:lang w:val="en-US" w:eastAsia="zh-CN"/>
                    </w:rPr>
                    <w:t xml:space="preserve"> </w:t>
                  </w:r>
                </w:p>
              </w:tc>
              <w:tc>
                <w:tcPr>
                  <w:tcW w:w="1618" w:type="dxa"/>
                  <w:tcBorders>
                    <w:tl2br w:val="nil"/>
                    <w:tr2bl w:val="nil"/>
                  </w:tcBorders>
                  <w:shd w:val="clear" w:color="auto" w:fill="auto"/>
                  <w:noWrap w:val="0"/>
                  <w:vAlign w:val="center"/>
                </w:tcPr>
                <w:p w14:paraId="44987F29">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b w:val="0"/>
                      <w:bCs/>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b w:val="0"/>
                      <w:bCs/>
                      <w:caps w:val="0"/>
                      <w:smallCaps w:val="0"/>
                      <w:color w:val="auto"/>
                      <w:spacing w:val="0"/>
                      <w:w w:val="100"/>
                      <w:position w:val="0"/>
                      <w:sz w:val="21"/>
                      <w:szCs w:val="21"/>
                      <w:lang w:val="en-US" w:eastAsia="zh-CN"/>
                    </w:rPr>
                    <w:t>45.</w:t>
                  </w:r>
                  <w:r>
                    <w:rPr>
                      <w:rFonts w:hint="eastAsia" w:cs="Times New Roman"/>
                      <w:b w:val="0"/>
                      <w:bCs/>
                      <w:caps w:val="0"/>
                      <w:smallCaps w:val="0"/>
                      <w:color w:val="auto"/>
                      <w:spacing w:val="0"/>
                      <w:w w:val="100"/>
                      <w:position w:val="0"/>
                      <w:sz w:val="21"/>
                      <w:szCs w:val="21"/>
                      <w:lang w:val="en-US" w:eastAsia="zh-CN"/>
                    </w:rPr>
                    <w:t>5</w:t>
                  </w:r>
                  <w:r>
                    <w:rPr>
                      <w:rFonts w:hint="default" w:ascii="Times New Roman" w:hAnsi="Times New Roman" w:eastAsia="宋体" w:cs="Times New Roman"/>
                      <w:b w:val="0"/>
                      <w:bCs/>
                      <w:caps w:val="0"/>
                      <w:smallCaps w:val="0"/>
                      <w:color w:val="auto"/>
                      <w:spacing w:val="0"/>
                      <w:w w:val="100"/>
                      <w:position w:val="0"/>
                      <w:sz w:val="21"/>
                      <w:szCs w:val="21"/>
                      <w:lang w:val="en-US" w:eastAsia="zh-CN"/>
                    </w:rPr>
                    <w:t xml:space="preserve"> </w:t>
                  </w:r>
                </w:p>
              </w:tc>
              <w:tc>
                <w:tcPr>
                  <w:tcW w:w="1616" w:type="dxa"/>
                  <w:tcBorders>
                    <w:tl2br w:val="nil"/>
                    <w:tr2bl w:val="nil"/>
                  </w:tcBorders>
                  <w:noWrap w:val="0"/>
                  <w:vAlign w:val="center"/>
                </w:tcPr>
                <w:p w14:paraId="259F591F">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6</w:t>
                  </w:r>
                  <w:r>
                    <w:rPr>
                      <w:rFonts w:hint="eastAsia" w:cs="Times New Roman"/>
                      <w:b w:val="0"/>
                      <w:bCs/>
                      <w:caps w:val="0"/>
                      <w:smallCaps w:val="0"/>
                      <w:color w:val="auto"/>
                      <w:spacing w:val="0"/>
                      <w:w w:val="100"/>
                      <w:position w:val="0"/>
                      <w:sz w:val="21"/>
                      <w:szCs w:val="21"/>
                      <w:lang w:val="en-US" w:eastAsia="zh-CN"/>
                    </w:rPr>
                    <w:t>5</w:t>
                  </w:r>
                </w:p>
              </w:tc>
              <w:tc>
                <w:tcPr>
                  <w:tcW w:w="1336" w:type="dxa"/>
                  <w:tcBorders>
                    <w:tl2br w:val="nil"/>
                    <w:tr2bl w:val="nil"/>
                  </w:tcBorders>
                  <w:noWrap w:val="0"/>
                  <w:vAlign w:val="center"/>
                </w:tcPr>
                <w:p w14:paraId="78CA0409">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eastAsia" w:cs="Times New Roman"/>
                      <w:b w:val="0"/>
                      <w:bCs/>
                      <w:caps w:val="0"/>
                      <w:smallCaps w:val="0"/>
                      <w:color w:val="auto"/>
                      <w:spacing w:val="0"/>
                      <w:w w:val="100"/>
                      <w:position w:val="0"/>
                      <w:sz w:val="21"/>
                      <w:szCs w:val="21"/>
                      <w:lang w:val="en-US" w:eastAsia="zh-CN"/>
                    </w:rPr>
                    <w:t>55</w:t>
                  </w:r>
                </w:p>
              </w:tc>
              <w:tc>
                <w:tcPr>
                  <w:tcW w:w="1335" w:type="dxa"/>
                  <w:tcBorders>
                    <w:tl2br w:val="nil"/>
                    <w:tr2bl w:val="nil"/>
                  </w:tcBorders>
                  <w:noWrap w:val="0"/>
                  <w:vAlign w:val="center"/>
                </w:tcPr>
                <w:p w14:paraId="759B2F3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达标</w:t>
                  </w:r>
                </w:p>
              </w:tc>
            </w:tr>
            <w:tr w14:paraId="04A3F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48" w:type="dxa"/>
                  <w:tcBorders>
                    <w:tl2br w:val="nil"/>
                    <w:tr2bl w:val="nil"/>
                  </w:tcBorders>
                  <w:noWrap w:val="0"/>
                  <w:vAlign w:val="center"/>
                </w:tcPr>
                <w:p w14:paraId="1D9BF92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厂界北</w:t>
                  </w:r>
                </w:p>
              </w:tc>
              <w:tc>
                <w:tcPr>
                  <w:tcW w:w="1565" w:type="dxa"/>
                  <w:tcBorders>
                    <w:tl2br w:val="nil"/>
                    <w:tr2bl w:val="nil"/>
                  </w:tcBorders>
                  <w:noWrap w:val="0"/>
                  <w:vAlign w:val="center"/>
                </w:tcPr>
                <w:p w14:paraId="55E36E51">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aps w:val="0"/>
                      <w:smallCaps w:val="0"/>
                      <w:color w:val="auto"/>
                      <w:spacing w:val="0"/>
                      <w:w w:val="100"/>
                      <w:position w:val="0"/>
                      <w:sz w:val="21"/>
                      <w:szCs w:val="21"/>
                      <w:lang w:val="en-US" w:eastAsia="zh-CN"/>
                    </w:rPr>
                  </w:pPr>
                  <w:r>
                    <w:rPr>
                      <w:rFonts w:hint="default" w:ascii="Times New Roman" w:hAnsi="Times New Roman" w:eastAsia="宋体" w:cs="Times New Roman"/>
                      <w:b w:val="0"/>
                      <w:bCs/>
                      <w:caps w:val="0"/>
                      <w:smallCaps w:val="0"/>
                      <w:color w:val="auto"/>
                      <w:spacing w:val="0"/>
                      <w:w w:val="100"/>
                      <w:position w:val="0"/>
                      <w:sz w:val="21"/>
                      <w:szCs w:val="21"/>
                      <w:lang w:val="en-US" w:eastAsia="zh-CN"/>
                    </w:rPr>
                    <w:t>45.</w:t>
                  </w:r>
                  <w:r>
                    <w:rPr>
                      <w:rFonts w:hint="eastAsia" w:cs="Times New Roman"/>
                      <w:b w:val="0"/>
                      <w:bCs/>
                      <w:caps w:val="0"/>
                      <w:smallCaps w:val="0"/>
                      <w:color w:val="auto"/>
                      <w:spacing w:val="0"/>
                      <w:w w:val="100"/>
                      <w:position w:val="0"/>
                      <w:sz w:val="21"/>
                      <w:szCs w:val="21"/>
                      <w:lang w:val="en-US" w:eastAsia="zh-CN"/>
                    </w:rPr>
                    <w:t>0</w:t>
                  </w:r>
                  <w:r>
                    <w:rPr>
                      <w:rFonts w:hint="default" w:ascii="Times New Roman" w:hAnsi="Times New Roman" w:eastAsia="宋体" w:cs="Times New Roman"/>
                      <w:b w:val="0"/>
                      <w:bCs/>
                      <w:caps w:val="0"/>
                      <w:smallCaps w:val="0"/>
                      <w:color w:val="auto"/>
                      <w:spacing w:val="0"/>
                      <w:w w:val="100"/>
                      <w:position w:val="0"/>
                      <w:sz w:val="21"/>
                      <w:szCs w:val="21"/>
                      <w:lang w:val="en-US" w:eastAsia="zh-CN"/>
                    </w:rPr>
                    <w:t xml:space="preserve"> </w:t>
                  </w:r>
                </w:p>
              </w:tc>
              <w:tc>
                <w:tcPr>
                  <w:tcW w:w="1618" w:type="dxa"/>
                  <w:tcBorders>
                    <w:tl2br w:val="nil"/>
                    <w:tr2bl w:val="nil"/>
                  </w:tcBorders>
                  <w:shd w:val="clear" w:color="auto" w:fill="auto"/>
                  <w:noWrap w:val="0"/>
                  <w:vAlign w:val="center"/>
                </w:tcPr>
                <w:p w14:paraId="7E6D3B8A">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b w:val="0"/>
                      <w:bCs/>
                      <w:caps w:val="0"/>
                      <w:smallCaps w:val="0"/>
                      <w:color w:val="auto"/>
                      <w:spacing w:val="0"/>
                      <w:w w:val="100"/>
                      <w:kern w:val="2"/>
                      <w:position w:val="0"/>
                      <w:sz w:val="21"/>
                      <w:szCs w:val="21"/>
                      <w:lang w:val="en-US" w:eastAsia="zh-CN" w:bidi="ar-SA"/>
                    </w:rPr>
                  </w:pPr>
                  <w:r>
                    <w:rPr>
                      <w:rFonts w:hint="default" w:ascii="Times New Roman" w:hAnsi="Times New Roman" w:eastAsia="宋体" w:cs="Times New Roman"/>
                      <w:b w:val="0"/>
                      <w:bCs/>
                      <w:caps w:val="0"/>
                      <w:smallCaps w:val="0"/>
                      <w:color w:val="auto"/>
                      <w:spacing w:val="0"/>
                      <w:w w:val="100"/>
                      <w:position w:val="0"/>
                      <w:sz w:val="21"/>
                      <w:szCs w:val="21"/>
                      <w:lang w:val="en-US" w:eastAsia="zh-CN"/>
                    </w:rPr>
                    <w:t>45.</w:t>
                  </w:r>
                  <w:r>
                    <w:rPr>
                      <w:rFonts w:hint="eastAsia" w:cs="Times New Roman"/>
                      <w:b w:val="0"/>
                      <w:bCs/>
                      <w:caps w:val="0"/>
                      <w:smallCaps w:val="0"/>
                      <w:color w:val="auto"/>
                      <w:spacing w:val="0"/>
                      <w:w w:val="100"/>
                      <w:position w:val="0"/>
                      <w:sz w:val="21"/>
                      <w:szCs w:val="21"/>
                      <w:lang w:val="en-US" w:eastAsia="zh-CN"/>
                    </w:rPr>
                    <w:t>0</w:t>
                  </w:r>
                  <w:r>
                    <w:rPr>
                      <w:rFonts w:hint="default" w:ascii="Times New Roman" w:hAnsi="Times New Roman" w:eastAsia="宋体" w:cs="Times New Roman"/>
                      <w:b w:val="0"/>
                      <w:bCs/>
                      <w:caps w:val="0"/>
                      <w:smallCaps w:val="0"/>
                      <w:color w:val="auto"/>
                      <w:spacing w:val="0"/>
                      <w:w w:val="100"/>
                      <w:position w:val="0"/>
                      <w:sz w:val="21"/>
                      <w:szCs w:val="21"/>
                      <w:lang w:val="en-US" w:eastAsia="zh-CN"/>
                    </w:rPr>
                    <w:t xml:space="preserve"> </w:t>
                  </w:r>
                </w:p>
              </w:tc>
              <w:tc>
                <w:tcPr>
                  <w:tcW w:w="1616" w:type="dxa"/>
                  <w:tcBorders>
                    <w:tl2br w:val="nil"/>
                    <w:tr2bl w:val="nil"/>
                  </w:tcBorders>
                  <w:noWrap w:val="0"/>
                  <w:vAlign w:val="center"/>
                </w:tcPr>
                <w:p w14:paraId="2378421A">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default" w:ascii="Times New Roman" w:hAnsi="Times New Roman" w:cs="Times New Roman"/>
                      <w:b w:val="0"/>
                      <w:bCs/>
                      <w:caps w:val="0"/>
                      <w:smallCaps w:val="0"/>
                      <w:color w:val="auto"/>
                      <w:spacing w:val="0"/>
                      <w:w w:val="100"/>
                      <w:position w:val="0"/>
                      <w:sz w:val="21"/>
                      <w:szCs w:val="21"/>
                      <w:lang w:val="en-US" w:eastAsia="zh-CN"/>
                    </w:rPr>
                    <w:t>6</w:t>
                  </w:r>
                  <w:r>
                    <w:rPr>
                      <w:rFonts w:hint="eastAsia" w:cs="Times New Roman"/>
                      <w:b w:val="0"/>
                      <w:bCs/>
                      <w:caps w:val="0"/>
                      <w:smallCaps w:val="0"/>
                      <w:color w:val="auto"/>
                      <w:spacing w:val="0"/>
                      <w:w w:val="100"/>
                      <w:position w:val="0"/>
                      <w:sz w:val="21"/>
                      <w:szCs w:val="21"/>
                      <w:lang w:val="en-US" w:eastAsia="zh-CN"/>
                    </w:rPr>
                    <w:t>5</w:t>
                  </w:r>
                </w:p>
              </w:tc>
              <w:tc>
                <w:tcPr>
                  <w:tcW w:w="1336" w:type="dxa"/>
                  <w:tcBorders>
                    <w:tl2br w:val="nil"/>
                    <w:tr2bl w:val="nil"/>
                  </w:tcBorders>
                  <w:shd w:val="clear" w:color="auto" w:fill="auto"/>
                  <w:noWrap w:val="0"/>
                  <w:vAlign w:val="center"/>
                </w:tcPr>
                <w:p w14:paraId="387CD2F0">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aps w:val="0"/>
                      <w:smallCaps w:val="0"/>
                      <w:color w:val="auto"/>
                      <w:spacing w:val="0"/>
                      <w:w w:val="100"/>
                      <w:position w:val="0"/>
                      <w:sz w:val="21"/>
                      <w:szCs w:val="21"/>
                      <w:lang w:val="en-US" w:eastAsia="zh-CN"/>
                    </w:rPr>
                  </w:pPr>
                  <w:r>
                    <w:rPr>
                      <w:rFonts w:hint="eastAsia" w:cs="Times New Roman"/>
                      <w:b w:val="0"/>
                      <w:bCs/>
                      <w:caps w:val="0"/>
                      <w:smallCaps w:val="0"/>
                      <w:color w:val="auto"/>
                      <w:spacing w:val="0"/>
                      <w:w w:val="100"/>
                      <w:position w:val="0"/>
                      <w:sz w:val="21"/>
                      <w:szCs w:val="21"/>
                      <w:lang w:val="en-US" w:eastAsia="zh-CN"/>
                    </w:rPr>
                    <w:t>55</w:t>
                  </w:r>
                </w:p>
              </w:tc>
              <w:tc>
                <w:tcPr>
                  <w:tcW w:w="1335" w:type="dxa"/>
                  <w:tcBorders>
                    <w:tl2br w:val="nil"/>
                    <w:tr2bl w:val="nil"/>
                  </w:tcBorders>
                  <w:shd w:val="clear" w:color="auto" w:fill="auto"/>
                  <w:noWrap w:val="0"/>
                  <w:vAlign w:val="center"/>
                </w:tcPr>
                <w:p w14:paraId="311BEB45">
                  <w:pPr>
                    <w:keepNext w:val="0"/>
                    <w:keepLines w:val="0"/>
                    <w:pageBreakBefore w:val="0"/>
                    <w:widowControl w:val="0"/>
                    <w:tabs>
                      <w:tab w:val="left" w:pos="-6462"/>
                    </w:tabs>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aps w:val="0"/>
                      <w:smallCaps w:val="0"/>
                      <w:color w:val="auto"/>
                      <w:spacing w:val="0"/>
                      <w:w w:val="100"/>
                      <w:kern w:val="2"/>
                      <w:position w:val="0"/>
                      <w:sz w:val="21"/>
                      <w:szCs w:val="21"/>
                      <w:lang w:val="en-US" w:eastAsia="zh-CN" w:bidi="ar-SA"/>
                    </w:rPr>
                  </w:pPr>
                  <w:r>
                    <w:rPr>
                      <w:rFonts w:hint="default" w:ascii="Times New Roman" w:hAnsi="Times New Roman" w:cs="Times New Roman"/>
                      <w:b w:val="0"/>
                      <w:bCs/>
                      <w:caps w:val="0"/>
                      <w:smallCaps w:val="0"/>
                      <w:color w:val="auto"/>
                      <w:spacing w:val="0"/>
                      <w:w w:val="100"/>
                      <w:position w:val="0"/>
                      <w:sz w:val="21"/>
                      <w:szCs w:val="21"/>
                      <w:lang w:val="en-US" w:eastAsia="zh-CN"/>
                    </w:rPr>
                    <w:t>达标</w:t>
                  </w:r>
                </w:p>
              </w:tc>
            </w:tr>
          </w:tbl>
          <w:p w14:paraId="2B03B1BF">
            <w:pPr>
              <w:widowControl/>
              <w:spacing w:line="480" w:lineRule="atLeast"/>
              <w:ind w:firstLine="480" w:firstLineChars="200"/>
              <w:jc w:val="left"/>
              <w:rPr>
                <w:rFonts w:hint="default" w:ascii="Times New Roman" w:hAnsi="Times New Roman" w:eastAsia="宋体" w:cs="Times New Roman"/>
                <w:b w:val="0"/>
                <w:bCs w:val="0"/>
                <w:color w:val="auto"/>
                <w:spacing w:val="0"/>
                <w:kern w:val="0"/>
                <w:sz w:val="24"/>
                <w:szCs w:val="24"/>
                <w:lang w:val="en-US" w:eastAsia="zh-CN" w:bidi="ar"/>
              </w:rPr>
            </w:pPr>
            <w:r>
              <w:rPr>
                <w:rFonts w:hint="default" w:ascii="Times New Roman" w:hAnsi="Times New Roman" w:cs="Times New Roman"/>
                <w:snapToGrid/>
                <w:color w:val="auto"/>
                <w:spacing w:val="0"/>
                <w:kern w:val="2"/>
                <w:position w:val="0"/>
                <w:sz w:val="24"/>
                <w:szCs w:val="24"/>
              </w:rPr>
              <w:t>由上表可知，建设项目正常</w:t>
            </w:r>
            <w:r>
              <w:rPr>
                <w:rFonts w:hint="eastAsia" w:cs="Times New Roman"/>
                <w:snapToGrid/>
                <w:color w:val="auto"/>
                <w:spacing w:val="0"/>
                <w:kern w:val="2"/>
                <w:position w:val="0"/>
                <w:sz w:val="24"/>
                <w:szCs w:val="24"/>
                <w:lang w:eastAsia="zh-CN"/>
              </w:rPr>
              <w:t>运营</w:t>
            </w:r>
            <w:r>
              <w:rPr>
                <w:rFonts w:hint="default" w:ascii="Times New Roman" w:hAnsi="Times New Roman" w:cs="Times New Roman"/>
                <w:snapToGrid/>
                <w:color w:val="auto"/>
                <w:spacing w:val="0"/>
                <w:kern w:val="2"/>
                <w:position w:val="0"/>
                <w:sz w:val="24"/>
                <w:szCs w:val="24"/>
              </w:rPr>
              <w:t>后，厂界噪声满足《工业企业厂界环境噪声排放标准》</w:t>
            </w:r>
            <w:r>
              <w:rPr>
                <w:rFonts w:hint="eastAsia" w:cs="Times New Roman"/>
                <w:snapToGrid/>
                <w:color w:val="auto"/>
                <w:spacing w:val="0"/>
                <w:kern w:val="2"/>
                <w:position w:val="0"/>
                <w:sz w:val="24"/>
                <w:szCs w:val="24"/>
                <w:lang w:eastAsia="zh-CN"/>
              </w:rPr>
              <w:t>（</w:t>
            </w:r>
            <w:r>
              <w:rPr>
                <w:rFonts w:hint="default" w:ascii="Times New Roman" w:hAnsi="Times New Roman" w:cs="Times New Roman"/>
                <w:snapToGrid/>
                <w:color w:val="auto"/>
                <w:spacing w:val="0"/>
                <w:kern w:val="2"/>
                <w:position w:val="0"/>
                <w:sz w:val="24"/>
                <w:szCs w:val="24"/>
              </w:rPr>
              <w:t>GB12348-</w:t>
            </w:r>
            <w:r>
              <w:rPr>
                <w:rFonts w:hint="default" w:ascii="Times New Roman" w:hAnsi="Times New Roman" w:eastAsia="宋体" w:cs="Times New Roman"/>
                <w:snapToGrid/>
                <w:color w:val="auto"/>
                <w:spacing w:val="0"/>
                <w:kern w:val="2"/>
                <w:position w:val="0"/>
                <w:sz w:val="24"/>
                <w:szCs w:val="24"/>
              </w:rPr>
              <w:t>2008）中的</w:t>
            </w:r>
            <w:r>
              <w:rPr>
                <w:rFonts w:hint="eastAsia" w:cs="Times New Roman"/>
                <w:snapToGrid/>
                <w:color w:val="auto"/>
                <w:spacing w:val="0"/>
                <w:kern w:val="2"/>
                <w:position w:val="0"/>
                <w:sz w:val="24"/>
                <w:szCs w:val="24"/>
                <w:lang w:val="en-US" w:eastAsia="zh-CN"/>
              </w:rPr>
              <w:t>3</w:t>
            </w:r>
            <w:r>
              <w:rPr>
                <w:rFonts w:hint="default" w:ascii="Times New Roman" w:hAnsi="Times New Roman" w:eastAsia="宋体" w:cs="Times New Roman"/>
                <w:snapToGrid/>
                <w:color w:val="auto"/>
                <w:spacing w:val="0"/>
                <w:kern w:val="2"/>
                <w:position w:val="0"/>
                <w:sz w:val="24"/>
                <w:szCs w:val="24"/>
              </w:rPr>
              <w:t>类标准要求</w:t>
            </w:r>
            <w:r>
              <w:rPr>
                <w:rFonts w:hint="eastAsia" w:ascii="Times New Roman" w:hAnsi="Times New Roman" w:eastAsia="宋体" w:cs="Times New Roman"/>
                <w:snapToGrid/>
                <w:color w:val="auto"/>
                <w:spacing w:val="0"/>
                <w:kern w:val="2"/>
                <w:position w:val="0"/>
                <w:sz w:val="24"/>
                <w:szCs w:val="24"/>
                <w:lang w:eastAsia="zh-CN"/>
              </w:rPr>
              <w:t>。</w:t>
            </w:r>
          </w:p>
          <w:p w14:paraId="224E2B1D">
            <w:pPr>
              <w:widowControl/>
              <w:spacing w:line="480" w:lineRule="atLeast"/>
              <w:jc w:val="left"/>
              <w:rPr>
                <w:rFonts w:hint="default" w:cs="Times New Roman"/>
                <w:b/>
                <w:bCs/>
                <w:color w:val="auto"/>
                <w:spacing w:val="0"/>
                <w:position w:val="0"/>
                <w:sz w:val="24"/>
                <w:lang w:val="en-US" w:eastAsia="zh-CN"/>
              </w:rPr>
            </w:pPr>
            <w:r>
              <w:rPr>
                <w:rFonts w:hint="eastAsia" w:cs="Times New Roman"/>
                <w:b/>
                <w:bCs/>
                <w:color w:val="auto"/>
                <w:spacing w:val="0"/>
                <w:position w:val="0"/>
                <w:sz w:val="24"/>
                <w:lang w:val="en-US" w:eastAsia="zh-CN"/>
              </w:rPr>
              <w:t>4.3.4降噪措施</w:t>
            </w:r>
          </w:p>
          <w:p w14:paraId="4E2DAF8B">
            <w:pPr>
              <w:widowControl/>
              <w:spacing w:line="480" w:lineRule="atLeast"/>
              <w:ind w:firstLine="480" w:firstLineChars="200"/>
              <w:jc w:val="left"/>
              <w:rPr>
                <w:rFonts w:hint="eastAsia" w:ascii="Times New Roman" w:hAnsi="Times New Roman" w:eastAsia="宋体" w:cs="Times New Roman"/>
                <w:b w:val="0"/>
                <w:bCs w:val="0"/>
                <w:color w:val="auto"/>
                <w:spacing w:val="0"/>
                <w:kern w:val="0"/>
                <w:sz w:val="24"/>
                <w:szCs w:val="24"/>
                <w:lang w:val="en-US" w:eastAsia="zh-CN" w:bidi="ar"/>
              </w:rPr>
            </w:pPr>
            <w:r>
              <w:rPr>
                <w:rFonts w:hint="default" w:ascii="Times New Roman" w:hAnsi="Times New Roman" w:eastAsia="宋体" w:cs="Times New Roman"/>
                <w:b w:val="0"/>
                <w:bCs w:val="0"/>
                <w:color w:val="auto"/>
                <w:spacing w:val="0"/>
                <w:kern w:val="0"/>
                <w:sz w:val="24"/>
                <w:szCs w:val="24"/>
                <w:lang w:val="en-US" w:eastAsia="zh-CN" w:bidi="ar"/>
              </w:rPr>
              <w:t>为尽可能降低对厂界噪声的影响，要求企业增加如下噪声防治措施：</w:t>
            </w:r>
          </w:p>
          <w:p w14:paraId="791B8B2D">
            <w:pPr>
              <w:keepNext w:val="0"/>
              <w:keepLines w:val="0"/>
              <w:pageBreakBefore w:val="0"/>
              <w:widowControl/>
              <w:suppressLineNumbers w:val="0"/>
              <w:kinsoku/>
              <w:wordWrap/>
              <w:overflowPunct/>
              <w:topLinePunct w:val="0"/>
              <w:autoSpaceDE/>
              <w:autoSpaceDN/>
              <w:bidi w:val="0"/>
              <w:snapToGrid/>
              <w:spacing w:line="480" w:lineRule="atLeas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①对生产设备进行合理布局，采取厂房隔声、减震的措施</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对风机安装消声器。</w:t>
            </w:r>
          </w:p>
          <w:p w14:paraId="1B2412E4">
            <w:pPr>
              <w:keepNext w:val="0"/>
              <w:keepLines w:val="0"/>
              <w:pageBreakBefore w:val="0"/>
              <w:widowControl/>
              <w:suppressLineNumbers w:val="0"/>
              <w:kinsoku/>
              <w:wordWrap/>
              <w:overflowPunct/>
              <w:topLinePunct w:val="0"/>
              <w:autoSpaceDE/>
              <w:autoSpaceDN/>
              <w:bidi w:val="0"/>
              <w:snapToGrid/>
              <w:spacing w:line="480" w:lineRule="atLeast"/>
              <w:ind w:firstLine="480" w:firstLineChars="20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②同时重视厂房的使用状况，采用密闭形式。除必要的消防门、物流门之外，在生产时项目将车间门窗关闭。 </w:t>
            </w:r>
          </w:p>
          <w:p w14:paraId="5073ACBB">
            <w:pPr>
              <w:widowControl/>
              <w:spacing w:line="480" w:lineRule="atLeast"/>
              <w:ind w:firstLine="480" w:firstLineChars="200"/>
              <w:jc w:val="left"/>
              <w:rPr>
                <w:rFonts w:hint="eastAsia" w:ascii="Times New Roman" w:hAnsi="Times New Roman" w:eastAsia="宋体" w:cs="Times New Roman"/>
                <w:color w:val="auto"/>
                <w:spacing w:val="0"/>
                <w:position w:val="0"/>
                <w:lang w:eastAsia="zh-CN"/>
              </w:rPr>
            </w:pPr>
            <w:r>
              <w:rPr>
                <w:rFonts w:hint="eastAsia" w:ascii="宋体" w:hAnsi="宋体" w:eastAsia="宋体" w:cs="宋体"/>
                <w:color w:val="auto"/>
                <w:kern w:val="0"/>
                <w:sz w:val="24"/>
                <w:szCs w:val="24"/>
                <w:lang w:val="en-US" w:eastAsia="zh-CN" w:bidi="ar"/>
              </w:rPr>
              <w:t>③使用中要加强维修保养，适时添加润滑剂防止设备老化，使设备处于良好的运行状态，避免因不正常运行所导致的噪声增大</w:t>
            </w:r>
            <w:r>
              <w:rPr>
                <w:rFonts w:hint="eastAsia" w:ascii="Times New Roman" w:hAnsi="Times New Roman" w:eastAsia="宋体" w:cs="Times New Roman"/>
                <w:b w:val="0"/>
                <w:bCs w:val="0"/>
                <w:color w:val="auto"/>
                <w:spacing w:val="0"/>
                <w:kern w:val="0"/>
                <w:sz w:val="24"/>
                <w:szCs w:val="24"/>
                <w:lang w:val="en-US" w:eastAsia="zh-CN" w:bidi="ar"/>
              </w:rPr>
              <w:t>。</w:t>
            </w:r>
          </w:p>
        </w:tc>
      </w:tr>
    </w:tbl>
    <w:p w14:paraId="279A9AF7">
      <w:pPr>
        <w:pStyle w:val="48"/>
        <w:rPr>
          <w:rFonts w:hint="default" w:ascii="Times New Roman" w:hAnsi="Times New Roman" w:cs="Times New Roman"/>
          <w:color w:val="auto"/>
          <w:spacing w:val="0"/>
          <w:position w:val="0"/>
        </w:rPr>
        <w:sectPr>
          <w:pgSz w:w="11905" w:h="16838"/>
          <w:pgMar w:top="1440" w:right="1080" w:bottom="1440" w:left="1080" w:header="851" w:footer="1077" w:gutter="0"/>
          <w:pgBorders>
            <w:top w:val="none" w:sz="0" w:space="0"/>
            <w:left w:val="none" w:sz="0" w:space="0"/>
            <w:bottom w:val="none" w:sz="0" w:space="0"/>
            <w:right w:val="none" w:sz="0" w:space="0"/>
          </w:pgBorders>
          <w:pgNumType w:fmt="decimal"/>
          <w:cols w:space="0" w:num="1"/>
          <w:docGrid w:linePitch="312" w:charSpace="0"/>
        </w:sectPr>
      </w:pPr>
    </w:p>
    <w:tbl>
      <w:tblPr>
        <w:tblStyle w:val="26"/>
        <w:tblW w:w="1397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3123"/>
      </w:tblGrid>
      <w:tr w14:paraId="21FF95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911" w:hRule="atLeast"/>
          <w:jc w:val="center"/>
        </w:trPr>
        <w:tc>
          <w:tcPr>
            <w:tcW w:w="856" w:type="dxa"/>
            <w:noWrap w:val="0"/>
            <w:tcMar>
              <w:left w:w="28" w:type="dxa"/>
              <w:right w:w="28" w:type="dxa"/>
            </w:tcMar>
            <w:vAlign w:val="center"/>
          </w:tcPr>
          <w:p w14:paraId="2BA541F8">
            <w:pPr>
              <w:adjustRightInd w:val="0"/>
              <w:snapToGrid w:val="0"/>
              <w:spacing w:line="440" w:lineRule="exact"/>
              <w:jc w:val="center"/>
              <w:rPr>
                <w:rFonts w:hint="default" w:ascii="Times New Roman" w:hAnsi="Times New Roman" w:eastAsia="宋体" w:cs="Times New Roman"/>
                <w:b/>
                <w:bCs w:val="0"/>
                <w:color w:val="auto"/>
                <w:spacing w:val="0"/>
                <w:sz w:val="24"/>
              </w:rPr>
            </w:pPr>
            <w:r>
              <w:rPr>
                <w:rFonts w:hint="default" w:ascii="Times New Roman" w:hAnsi="Times New Roman" w:cs="Times New Roman"/>
                <w:b/>
                <w:bCs w:val="0"/>
                <w:color w:val="auto"/>
                <w:spacing w:val="0"/>
                <w:sz w:val="24"/>
              </w:rPr>
              <w:t>运</w:t>
            </w:r>
            <w:r>
              <w:rPr>
                <w:rFonts w:hint="default" w:ascii="Times New Roman" w:hAnsi="Times New Roman" w:eastAsia="宋体" w:cs="Times New Roman"/>
                <w:b/>
                <w:bCs w:val="0"/>
                <w:color w:val="auto"/>
                <w:spacing w:val="0"/>
                <w:sz w:val="24"/>
              </w:rPr>
              <w:t>营</w:t>
            </w:r>
          </w:p>
          <w:p w14:paraId="226370CD">
            <w:pPr>
              <w:adjustRightInd w:val="0"/>
              <w:snapToGrid w:val="0"/>
              <w:spacing w:line="440" w:lineRule="exact"/>
              <w:jc w:val="center"/>
              <w:rPr>
                <w:rFonts w:hint="default" w:ascii="Times New Roman" w:hAnsi="Times New Roman" w:eastAsia="宋体" w:cs="Times New Roman"/>
                <w:b/>
                <w:bCs w:val="0"/>
                <w:color w:val="auto"/>
                <w:spacing w:val="0"/>
                <w:sz w:val="24"/>
              </w:rPr>
            </w:pPr>
            <w:r>
              <w:rPr>
                <w:rFonts w:hint="default" w:ascii="Times New Roman" w:hAnsi="Times New Roman" w:eastAsia="宋体" w:cs="Times New Roman"/>
                <w:b/>
                <w:bCs w:val="0"/>
                <w:color w:val="auto"/>
                <w:spacing w:val="0"/>
                <w:sz w:val="24"/>
              </w:rPr>
              <w:t>期环</w:t>
            </w:r>
          </w:p>
          <w:p w14:paraId="599877AC">
            <w:pPr>
              <w:adjustRightInd w:val="0"/>
              <w:snapToGrid w:val="0"/>
              <w:spacing w:line="440" w:lineRule="exact"/>
              <w:jc w:val="center"/>
              <w:rPr>
                <w:rFonts w:hint="default" w:ascii="Times New Roman" w:hAnsi="Times New Roman" w:eastAsia="宋体" w:cs="Times New Roman"/>
                <w:b/>
                <w:bCs w:val="0"/>
                <w:color w:val="auto"/>
                <w:spacing w:val="0"/>
                <w:sz w:val="24"/>
              </w:rPr>
            </w:pPr>
            <w:r>
              <w:rPr>
                <w:rFonts w:hint="default" w:ascii="Times New Roman" w:hAnsi="Times New Roman" w:eastAsia="宋体" w:cs="Times New Roman"/>
                <w:b/>
                <w:bCs w:val="0"/>
                <w:color w:val="auto"/>
                <w:spacing w:val="0"/>
                <w:sz w:val="24"/>
              </w:rPr>
              <w:t>境影</w:t>
            </w:r>
          </w:p>
          <w:p w14:paraId="7F9CFA6C">
            <w:pPr>
              <w:adjustRightInd w:val="0"/>
              <w:snapToGrid w:val="0"/>
              <w:spacing w:line="440" w:lineRule="exact"/>
              <w:jc w:val="center"/>
              <w:rPr>
                <w:rFonts w:hint="default" w:ascii="Times New Roman" w:hAnsi="Times New Roman" w:eastAsia="宋体" w:cs="Times New Roman"/>
                <w:b/>
                <w:bCs w:val="0"/>
                <w:color w:val="auto"/>
                <w:spacing w:val="0"/>
                <w:sz w:val="24"/>
              </w:rPr>
            </w:pPr>
            <w:r>
              <w:rPr>
                <w:rFonts w:hint="default" w:ascii="Times New Roman" w:hAnsi="Times New Roman" w:eastAsia="宋体" w:cs="Times New Roman"/>
                <w:b/>
                <w:bCs w:val="0"/>
                <w:color w:val="auto"/>
                <w:spacing w:val="0"/>
                <w:sz w:val="24"/>
              </w:rPr>
              <w:t>响和</w:t>
            </w:r>
          </w:p>
          <w:p w14:paraId="02D59E9B">
            <w:pPr>
              <w:adjustRightInd w:val="0"/>
              <w:snapToGrid w:val="0"/>
              <w:spacing w:line="440" w:lineRule="exact"/>
              <w:jc w:val="center"/>
              <w:rPr>
                <w:rFonts w:hint="default" w:ascii="Times New Roman" w:hAnsi="Times New Roman" w:eastAsia="宋体" w:cs="Times New Roman"/>
                <w:b/>
                <w:bCs w:val="0"/>
                <w:color w:val="auto"/>
                <w:spacing w:val="0"/>
                <w:sz w:val="24"/>
              </w:rPr>
            </w:pPr>
            <w:r>
              <w:rPr>
                <w:rFonts w:hint="default" w:ascii="Times New Roman" w:hAnsi="Times New Roman" w:eastAsia="宋体" w:cs="Times New Roman"/>
                <w:b/>
                <w:bCs w:val="0"/>
                <w:color w:val="auto"/>
                <w:spacing w:val="0"/>
                <w:sz w:val="24"/>
              </w:rPr>
              <w:t>保护</w:t>
            </w:r>
          </w:p>
          <w:p w14:paraId="650F5105">
            <w:pPr>
              <w:adjustRightInd w:val="0"/>
              <w:snapToGrid w:val="0"/>
              <w:spacing w:line="440" w:lineRule="exact"/>
              <w:jc w:val="center"/>
              <w:rPr>
                <w:rFonts w:hint="default" w:ascii="Times New Roman" w:hAnsi="Times New Roman" w:cs="Times New Roman"/>
                <w:color w:val="auto"/>
                <w:lang w:val="en-US" w:eastAsia="zh-CN"/>
              </w:rPr>
            </w:pPr>
            <w:r>
              <w:rPr>
                <w:rFonts w:hint="default" w:ascii="Times New Roman" w:hAnsi="Times New Roman" w:eastAsia="宋体" w:cs="Times New Roman"/>
                <w:b/>
                <w:bCs w:val="0"/>
                <w:color w:val="auto"/>
                <w:spacing w:val="0"/>
                <w:sz w:val="24"/>
              </w:rPr>
              <w:t>措</w:t>
            </w:r>
            <w:r>
              <w:rPr>
                <w:rFonts w:hint="default" w:ascii="Times New Roman" w:hAnsi="Times New Roman" w:cs="Times New Roman"/>
                <w:b/>
                <w:bCs w:val="0"/>
                <w:color w:val="auto"/>
                <w:spacing w:val="0"/>
                <w:sz w:val="24"/>
              </w:rPr>
              <w:t>施</w:t>
            </w:r>
          </w:p>
        </w:tc>
        <w:tc>
          <w:tcPr>
            <w:tcW w:w="13123" w:type="dxa"/>
            <w:noWrap w:val="0"/>
            <w:vAlign w:val="top"/>
          </w:tcPr>
          <w:p w14:paraId="4CBCE2D0">
            <w:pPr>
              <w:pStyle w:val="64"/>
              <w:keepNext w:val="0"/>
              <w:keepLines w:val="0"/>
              <w:pageBreakBefore w:val="0"/>
              <w:widowControl w:val="0"/>
              <w:kinsoku/>
              <w:wordWrap/>
              <w:overflowPunct/>
              <w:topLinePunct w:val="0"/>
              <w:autoSpaceDE/>
              <w:autoSpaceDN/>
              <w:bidi w:val="0"/>
              <w:adjustRightInd w:val="0"/>
              <w:snapToGrid/>
              <w:spacing w:before="0" w:line="480" w:lineRule="atLeast"/>
              <w:ind w:left="0" w:leftChars="0" w:firstLine="0" w:firstLineChars="0"/>
              <w:jc w:val="both"/>
              <w:textAlignment w:val="auto"/>
              <w:rPr>
                <w:rFonts w:hint="default" w:ascii="Times New Roman" w:hAnsi="Times New Roman" w:eastAsia="宋体" w:cs="Times New Roman"/>
                <w:b/>
                <w:bCs/>
                <w:color w:val="auto"/>
                <w:spacing w:val="0"/>
                <w:position w:val="0"/>
                <w:lang w:val="en-US" w:eastAsia="zh-CN"/>
              </w:rPr>
            </w:pPr>
            <w:r>
              <w:rPr>
                <w:rFonts w:hint="eastAsia" w:cs="Times New Roman"/>
                <w:b/>
                <w:bCs/>
                <w:color w:val="auto"/>
                <w:spacing w:val="0"/>
                <w:position w:val="0"/>
                <w:lang w:val="en-US" w:eastAsia="zh-CN"/>
              </w:rPr>
              <w:t>4.4</w:t>
            </w:r>
            <w:r>
              <w:rPr>
                <w:rFonts w:hint="default" w:ascii="Times New Roman" w:hAnsi="Times New Roman" w:eastAsia="宋体" w:cs="Times New Roman"/>
                <w:b/>
                <w:bCs/>
                <w:color w:val="auto"/>
                <w:spacing w:val="0"/>
                <w:position w:val="0"/>
                <w:lang w:val="en-US" w:eastAsia="zh-CN"/>
              </w:rPr>
              <w:t>固体废物</w:t>
            </w:r>
            <w:r>
              <w:rPr>
                <w:rFonts w:hint="default" w:ascii="Times New Roman" w:hAnsi="Times New Roman" w:eastAsia="宋体" w:cs="Times New Roman"/>
                <w:b/>
                <w:bCs/>
                <w:color w:val="auto"/>
                <w:spacing w:val="0"/>
                <w:sz w:val="24"/>
                <w:lang w:val="en-US" w:eastAsia="zh-CN"/>
              </w:rPr>
              <w:t>环境影响及保护措施</w:t>
            </w:r>
          </w:p>
          <w:p w14:paraId="2D2FB677">
            <w:pPr>
              <w:bidi w:val="0"/>
              <w:adjustRightInd w:val="0"/>
              <w:snapToGrid w:val="0"/>
              <w:spacing w:line="480" w:lineRule="atLeast"/>
              <w:ind w:firstLine="482" w:firstLineChars="200"/>
              <w:rPr>
                <w:rFonts w:hint="default" w:ascii="Times New Roman" w:hAnsi="Times New Roman" w:eastAsia="宋体" w:cs="Times New Roman"/>
                <w:b/>
                <w:bCs/>
                <w:caps w:val="0"/>
                <w:color w:val="auto"/>
                <w:spacing w:val="0"/>
                <w:kern w:val="2"/>
                <w:position w:val="0"/>
                <w:sz w:val="24"/>
                <w:szCs w:val="20"/>
                <w:lang w:val="en-US" w:eastAsia="zh-CN" w:bidi="ar-SA"/>
              </w:rPr>
            </w:pPr>
            <w:r>
              <w:rPr>
                <w:rFonts w:hint="eastAsia" w:cs="Times New Roman"/>
                <w:b/>
                <w:bCs/>
                <w:caps w:val="0"/>
                <w:color w:val="auto"/>
                <w:spacing w:val="0"/>
                <w:kern w:val="2"/>
                <w:position w:val="0"/>
                <w:sz w:val="24"/>
                <w:szCs w:val="20"/>
                <w:lang w:val="en-US" w:eastAsia="zh-CN" w:bidi="ar-SA"/>
              </w:rPr>
              <w:t>（</w:t>
            </w:r>
            <w:r>
              <w:rPr>
                <w:rFonts w:hint="default" w:ascii="Times New Roman" w:hAnsi="Times New Roman" w:eastAsia="宋体" w:cs="Times New Roman"/>
                <w:b/>
                <w:bCs/>
                <w:caps w:val="0"/>
                <w:color w:val="auto"/>
                <w:spacing w:val="0"/>
                <w:kern w:val="2"/>
                <w:position w:val="0"/>
                <w:sz w:val="24"/>
                <w:szCs w:val="20"/>
                <w:lang w:val="en-US" w:eastAsia="zh-CN" w:bidi="ar-SA"/>
              </w:rPr>
              <w:t>一）固废判定</w:t>
            </w:r>
          </w:p>
          <w:p w14:paraId="06A90B55">
            <w:pPr>
              <w:bidi w:val="0"/>
              <w:adjustRightInd w:val="0"/>
              <w:snapToGrid w:val="0"/>
              <w:spacing w:line="480" w:lineRule="atLeast"/>
              <w:ind w:firstLine="480" w:firstLineChars="200"/>
              <w:rPr>
                <w:rFonts w:hint="default" w:ascii="Times New Roman" w:hAnsi="Times New Roman" w:eastAsia="宋体" w:cs="Times New Roman"/>
                <w:caps w:val="0"/>
                <w:color w:val="auto"/>
                <w:spacing w:val="0"/>
                <w:kern w:val="2"/>
                <w:position w:val="0"/>
                <w:sz w:val="24"/>
                <w:szCs w:val="20"/>
                <w:lang w:val="en-US" w:eastAsia="zh-CN" w:bidi="ar-SA"/>
              </w:rPr>
            </w:pPr>
            <w:r>
              <w:rPr>
                <w:rFonts w:hint="default" w:ascii="Times New Roman" w:hAnsi="Times New Roman" w:eastAsia="宋体" w:cs="Times New Roman"/>
                <w:caps w:val="0"/>
                <w:color w:val="auto"/>
                <w:spacing w:val="0"/>
                <w:kern w:val="2"/>
                <w:position w:val="0"/>
                <w:sz w:val="24"/>
                <w:szCs w:val="20"/>
                <w:lang w:val="en-US" w:eastAsia="zh-CN" w:bidi="ar-SA"/>
              </w:rPr>
              <w:t>根据《固体废物鉴别标准</w:t>
            </w:r>
            <w:r>
              <w:rPr>
                <w:rFonts w:hint="eastAsia" w:ascii="Times New Roman" w:hAnsi="Times New Roman" w:eastAsia="宋体" w:cs="Times New Roman"/>
                <w:caps w:val="0"/>
                <w:color w:val="auto"/>
                <w:spacing w:val="0"/>
                <w:kern w:val="2"/>
                <w:position w:val="0"/>
                <w:sz w:val="24"/>
                <w:szCs w:val="20"/>
                <w:lang w:val="en-US" w:eastAsia="zh-CN" w:bidi="ar-SA"/>
              </w:rPr>
              <w:t xml:space="preserve"> </w:t>
            </w:r>
            <w:r>
              <w:rPr>
                <w:rFonts w:hint="default" w:ascii="Times New Roman" w:hAnsi="Times New Roman" w:eastAsia="宋体" w:cs="Times New Roman"/>
                <w:caps w:val="0"/>
                <w:color w:val="auto"/>
                <w:spacing w:val="0"/>
                <w:kern w:val="2"/>
                <w:position w:val="0"/>
                <w:sz w:val="24"/>
                <w:szCs w:val="20"/>
                <w:lang w:val="en-US" w:eastAsia="zh-CN" w:bidi="ar-SA"/>
              </w:rPr>
              <w:t>通则》</w:t>
            </w:r>
            <w:r>
              <w:rPr>
                <w:rFonts w:hint="eastAsia" w:cs="Times New Roman"/>
                <w:caps w:val="0"/>
                <w:color w:val="auto"/>
                <w:spacing w:val="0"/>
                <w:kern w:val="2"/>
                <w:position w:val="0"/>
                <w:sz w:val="24"/>
                <w:szCs w:val="20"/>
                <w:lang w:val="en-US" w:eastAsia="zh-CN" w:bidi="ar-SA"/>
              </w:rPr>
              <w:t>（</w:t>
            </w:r>
            <w:r>
              <w:rPr>
                <w:rFonts w:hint="default" w:ascii="Times New Roman" w:hAnsi="Times New Roman" w:eastAsia="宋体" w:cs="Times New Roman"/>
                <w:caps w:val="0"/>
                <w:color w:val="auto"/>
                <w:spacing w:val="0"/>
                <w:kern w:val="2"/>
                <w:position w:val="0"/>
                <w:sz w:val="24"/>
                <w:szCs w:val="20"/>
                <w:lang w:val="en-US" w:eastAsia="zh-CN" w:bidi="ar-SA"/>
              </w:rPr>
              <w:t>GB34330-2017），对本项目产生的各类废物进行属性判定，判定结果如下表。</w:t>
            </w:r>
          </w:p>
          <w:p w14:paraId="1FEDAC0F">
            <w:pPr>
              <w:keepNext/>
              <w:widowControl w:val="0"/>
              <w:bidi w:val="0"/>
              <w:adjustRightInd w:val="0"/>
              <w:snapToGrid w:val="0"/>
              <w:spacing w:line="480" w:lineRule="atLeast"/>
              <w:ind w:firstLine="0" w:firstLineChars="0"/>
              <w:jc w:val="center"/>
              <w:rPr>
                <w:rFonts w:hint="default" w:ascii="Times New Roman" w:hAnsi="Times New Roman" w:eastAsia="宋体" w:cs="Times New Roman"/>
                <w:b/>
                <w:caps w:val="0"/>
                <w:color w:val="auto"/>
                <w:spacing w:val="0"/>
                <w:kern w:val="0"/>
                <w:sz w:val="21"/>
                <w:szCs w:val="20"/>
                <w:lang w:val="en-US" w:eastAsia="zh-CN" w:bidi="ar-SA"/>
              </w:rPr>
            </w:pPr>
            <w:r>
              <w:rPr>
                <w:rFonts w:hint="default" w:ascii="Times New Roman" w:hAnsi="Times New Roman" w:eastAsia="宋体" w:cs="Times New Roman"/>
                <w:b/>
                <w:caps w:val="0"/>
                <w:color w:val="auto"/>
                <w:spacing w:val="0"/>
                <w:kern w:val="0"/>
                <w:sz w:val="21"/>
                <w:szCs w:val="20"/>
                <w:lang w:val="en-US" w:eastAsia="zh-CN" w:bidi="ar-SA"/>
              </w:rPr>
              <w:t>表4-</w:t>
            </w:r>
            <w:r>
              <w:rPr>
                <w:rFonts w:hint="eastAsia" w:cs="Times New Roman"/>
                <w:b/>
                <w:caps w:val="0"/>
                <w:color w:val="auto"/>
                <w:spacing w:val="0"/>
                <w:kern w:val="0"/>
                <w:sz w:val="21"/>
                <w:szCs w:val="20"/>
                <w:lang w:val="en-US" w:eastAsia="zh-CN" w:bidi="ar-SA"/>
              </w:rPr>
              <w:t>30</w:t>
            </w:r>
            <w:r>
              <w:rPr>
                <w:rFonts w:hint="eastAsia" w:ascii="Times New Roman" w:hAnsi="Times New Roman" w:eastAsia="宋体" w:cs="Times New Roman"/>
                <w:b/>
                <w:caps w:val="0"/>
                <w:color w:val="auto"/>
                <w:spacing w:val="0"/>
                <w:kern w:val="0"/>
                <w:sz w:val="21"/>
                <w:szCs w:val="20"/>
                <w:lang w:val="en-US" w:eastAsia="zh-CN" w:bidi="ar-SA"/>
              </w:rPr>
              <w:t xml:space="preserve"> </w:t>
            </w:r>
            <w:r>
              <w:rPr>
                <w:rFonts w:hint="default" w:ascii="Times New Roman" w:hAnsi="Times New Roman" w:eastAsia="宋体" w:cs="Times New Roman"/>
                <w:b/>
                <w:caps w:val="0"/>
                <w:color w:val="auto"/>
                <w:spacing w:val="0"/>
                <w:kern w:val="0"/>
                <w:sz w:val="21"/>
                <w:szCs w:val="20"/>
                <w:lang w:val="en-US" w:eastAsia="zh-CN" w:bidi="ar-SA"/>
              </w:rPr>
              <w:t xml:space="preserve"> 固废判定结果表</w:t>
            </w:r>
          </w:p>
          <w:tbl>
            <w:tblPr>
              <w:tblStyle w:val="26"/>
              <w:tblW w:w="12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8"/>
              <w:gridCol w:w="1707"/>
              <w:gridCol w:w="1108"/>
              <w:gridCol w:w="1837"/>
              <w:gridCol w:w="2272"/>
              <w:gridCol w:w="979"/>
              <w:gridCol w:w="1273"/>
              <w:gridCol w:w="1658"/>
              <w:gridCol w:w="1423"/>
            </w:tblGrid>
            <w:tr w14:paraId="5EFFA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678" w:type="dxa"/>
                  <w:tcBorders>
                    <w:tl2br w:val="nil"/>
                    <w:tr2bl w:val="nil"/>
                  </w:tcBorders>
                  <w:noWrap w:val="0"/>
                  <w:vAlign w:val="center"/>
                </w:tcPr>
                <w:p w14:paraId="7F169013">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序号</w:t>
                  </w:r>
                </w:p>
              </w:tc>
              <w:tc>
                <w:tcPr>
                  <w:tcW w:w="1707" w:type="dxa"/>
                  <w:tcBorders>
                    <w:tl2br w:val="nil"/>
                    <w:tr2bl w:val="nil"/>
                  </w:tcBorders>
                  <w:noWrap w:val="0"/>
                  <w:vAlign w:val="center"/>
                </w:tcPr>
                <w:p w14:paraId="31989702">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b/>
                      <w:bCs/>
                      <w:i w:val="0"/>
                      <w:iCs w:val="0"/>
                      <w:color w:val="auto"/>
                      <w:kern w:val="0"/>
                      <w:sz w:val="21"/>
                      <w:szCs w:val="21"/>
                      <w:u w:val="none"/>
                      <w:lang w:val="en-US" w:eastAsia="zh-CN" w:bidi="ar"/>
                    </w:rPr>
                    <w:t>固废来源</w:t>
                  </w:r>
                </w:p>
              </w:tc>
              <w:tc>
                <w:tcPr>
                  <w:tcW w:w="1108" w:type="dxa"/>
                  <w:tcBorders>
                    <w:tl2br w:val="nil"/>
                    <w:tr2bl w:val="nil"/>
                  </w:tcBorders>
                  <w:noWrap w:val="0"/>
                  <w:vAlign w:val="center"/>
                </w:tcPr>
                <w:p w14:paraId="4455047A">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固废编号</w:t>
                  </w:r>
                </w:p>
              </w:tc>
              <w:tc>
                <w:tcPr>
                  <w:tcW w:w="1837" w:type="dxa"/>
                  <w:tcBorders>
                    <w:tl2br w:val="nil"/>
                    <w:tr2bl w:val="nil"/>
                  </w:tcBorders>
                  <w:noWrap w:val="0"/>
                  <w:vAlign w:val="center"/>
                </w:tcPr>
                <w:p w14:paraId="3AE230C5">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固体废物名称</w:t>
                  </w:r>
                </w:p>
              </w:tc>
              <w:tc>
                <w:tcPr>
                  <w:tcW w:w="2272" w:type="dxa"/>
                  <w:tcBorders>
                    <w:tl2br w:val="nil"/>
                    <w:tr2bl w:val="nil"/>
                  </w:tcBorders>
                  <w:noWrap w:val="0"/>
                  <w:vAlign w:val="center"/>
                </w:tcPr>
                <w:p w14:paraId="5280EE91">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主要成分</w:t>
                  </w:r>
                </w:p>
              </w:tc>
              <w:tc>
                <w:tcPr>
                  <w:tcW w:w="979" w:type="dxa"/>
                  <w:tcBorders>
                    <w:tl2br w:val="nil"/>
                    <w:tr2bl w:val="nil"/>
                  </w:tcBorders>
                  <w:noWrap w:val="0"/>
                  <w:vAlign w:val="center"/>
                </w:tcPr>
                <w:p w14:paraId="02E06956">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物理性状</w:t>
                  </w:r>
                </w:p>
              </w:tc>
              <w:tc>
                <w:tcPr>
                  <w:tcW w:w="1273" w:type="dxa"/>
                  <w:tcBorders>
                    <w:tl2br w:val="nil"/>
                    <w:tr2bl w:val="nil"/>
                  </w:tcBorders>
                  <w:noWrap w:val="0"/>
                  <w:vAlign w:val="center"/>
                </w:tcPr>
                <w:p w14:paraId="6443366D">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是否属于固体废物</w:t>
                  </w:r>
                </w:p>
              </w:tc>
              <w:tc>
                <w:tcPr>
                  <w:tcW w:w="1658" w:type="dxa"/>
                  <w:tcBorders>
                    <w:tl2br w:val="nil"/>
                    <w:tr2bl w:val="nil"/>
                  </w:tcBorders>
                  <w:noWrap w:val="0"/>
                  <w:vAlign w:val="center"/>
                </w:tcPr>
                <w:p w14:paraId="4C335178">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判定依据</w:t>
                  </w:r>
                </w:p>
              </w:tc>
              <w:tc>
                <w:tcPr>
                  <w:tcW w:w="1423" w:type="dxa"/>
                  <w:tcBorders>
                    <w:tl2br w:val="nil"/>
                    <w:tr2bl w:val="nil"/>
                  </w:tcBorders>
                  <w:noWrap w:val="0"/>
                  <w:vAlign w:val="center"/>
                </w:tcPr>
                <w:p w14:paraId="2E3FE9E4">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固废类别</w:t>
                  </w:r>
                </w:p>
              </w:tc>
            </w:tr>
            <w:tr w14:paraId="79752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678" w:type="dxa"/>
                  <w:tcBorders>
                    <w:tl2br w:val="nil"/>
                    <w:tr2bl w:val="nil"/>
                  </w:tcBorders>
                  <w:noWrap w:val="0"/>
                  <w:vAlign w:val="center"/>
                </w:tcPr>
                <w:p w14:paraId="7689E54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w:t>
                  </w:r>
                </w:p>
              </w:tc>
              <w:tc>
                <w:tcPr>
                  <w:tcW w:w="1707" w:type="dxa"/>
                  <w:tcBorders>
                    <w:tl2br w:val="nil"/>
                    <w:tr2bl w:val="nil"/>
                  </w:tcBorders>
                  <w:noWrap w:val="0"/>
                  <w:vAlign w:val="center"/>
                </w:tcPr>
                <w:p w14:paraId="60C7A92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auto"/>
                      <w:sz w:val="21"/>
                      <w:szCs w:val="21"/>
                      <w:u w:val="none"/>
                      <w:lang w:val="en-US" w:eastAsia="zh-CN"/>
                    </w:rPr>
                    <w:t>废化学原料包装</w:t>
                  </w:r>
                </w:p>
              </w:tc>
              <w:tc>
                <w:tcPr>
                  <w:tcW w:w="1108" w:type="dxa"/>
                  <w:tcBorders>
                    <w:tl2br w:val="nil"/>
                    <w:tr2bl w:val="nil"/>
                  </w:tcBorders>
                  <w:noWrap w:val="0"/>
                  <w:vAlign w:val="center"/>
                </w:tcPr>
                <w:p w14:paraId="43CBA61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S1</w:t>
                  </w:r>
                </w:p>
              </w:tc>
              <w:tc>
                <w:tcPr>
                  <w:tcW w:w="1837" w:type="dxa"/>
                  <w:tcBorders>
                    <w:tl2br w:val="nil"/>
                    <w:tr2bl w:val="nil"/>
                  </w:tcBorders>
                  <w:noWrap w:val="0"/>
                  <w:vAlign w:val="center"/>
                </w:tcPr>
                <w:p w14:paraId="5598D9B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废化学原料包装材料</w:t>
                  </w:r>
                </w:p>
              </w:tc>
              <w:tc>
                <w:tcPr>
                  <w:tcW w:w="2272" w:type="dxa"/>
                  <w:tcBorders>
                    <w:tl2br w:val="nil"/>
                    <w:tr2bl w:val="nil"/>
                  </w:tcBorders>
                  <w:noWrap w:val="0"/>
                  <w:vAlign w:val="center"/>
                </w:tcPr>
                <w:p w14:paraId="7B779CF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氢氧化钠、脱色剂等</w:t>
                  </w:r>
                </w:p>
              </w:tc>
              <w:tc>
                <w:tcPr>
                  <w:tcW w:w="979" w:type="dxa"/>
                  <w:tcBorders>
                    <w:tl2br w:val="nil"/>
                    <w:tr2bl w:val="nil"/>
                  </w:tcBorders>
                  <w:noWrap/>
                  <w:vAlign w:val="center"/>
                </w:tcPr>
                <w:p w14:paraId="3B08F28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固态</w:t>
                  </w:r>
                </w:p>
              </w:tc>
              <w:tc>
                <w:tcPr>
                  <w:tcW w:w="1273" w:type="dxa"/>
                  <w:tcBorders>
                    <w:tl2br w:val="nil"/>
                    <w:tr2bl w:val="nil"/>
                  </w:tcBorders>
                  <w:noWrap/>
                  <w:vAlign w:val="center"/>
                </w:tcPr>
                <w:p w14:paraId="1793D2E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是</w:t>
                  </w:r>
                </w:p>
              </w:tc>
              <w:tc>
                <w:tcPr>
                  <w:tcW w:w="1658" w:type="dxa"/>
                  <w:tcBorders>
                    <w:tl2br w:val="nil"/>
                    <w:tr2bl w:val="nil"/>
                  </w:tcBorders>
                  <w:noWrap w:val="0"/>
                  <w:vAlign w:val="center"/>
                </w:tcPr>
                <w:p w14:paraId="6F3CD19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4.1h</w:t>
                  </w:r>
                </w:p>
              </w:tc>
              <w:tc>
                <w:tcPr>
                  <w:tcW w:w="1423" w:type="dxa"/>
                  <w:tcBorders>
                    <w:tl2br w:val="nil"/>
                    <w:tr2bl w:val="nil"/>
                  </w:tcBorders>
                  <w:noWrap/>
                  <w:vAlign w:val="center"/>
                </w:tcPr>
                <w:p w14:paraId="417BBCE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危险废物</w:t>
                  </w:r>
                </w:p>
              </w:tc>
            </w:tr>
            <w:tr w14:paraId="7F31A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jc w:val="center"/>
              </w:trPr>
              <w:tc>
                <w:tcPr>
                  <w:tcW w:w="678" w:type="dxa"/>
                  <w:tcBorders>
                    <w:tl2br w:val="nil"/>
                    <w:tr2bl w:val="nil"/>
                  </w:tcBorders>
                  <w:shd w:val="clear" w:color="auto" w:fill="auto"/>
                  <w:noWrap w:val="0"/>
                  <w:vAlign w:val="center"/>
                </w:tcPr>
                <w:p w14:paraId="7E3813C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2</w:t>
                  </w:r>
                </w:p>
              </w:tc>
              <w:tc>
                <w:tcPr>
                  <w:tcW w:w="1707" w:type="dxa"/>
                  <w:tcBorders>
                    <w:tl2br w:val="nil"/>
                    <w:tr2bl w:val="nil"/>
                  </w:tcBorders>
                  <w:shd w:val="clear" w:color="auto" w:fill="auto"/>
                  <w:noWrap w:val="0"/>
                  <w:vAlign w:val="center"/>
                </w:tcPr>
                <w:p w14:paraId="685A333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auto"/>
                      <w:sz w:val="21"/>
                      <w:szCs w:val="21"/>
                      <w:u w:val="none"/>
                      <w:lang w:val="en-US" w:eastAsia="zh-CN"/>
                    </w:rPr>
                    <w:t>污水处理</w:t>
                  </w:r>
                </w:p>
              </w:tc>
              <w:tc>
                <w:tcPr>
                  <w:tcW w:w="1108" w:type="dxa"/>
                  <w:tcBorders>
                    <w:tl2br w:val="nil"/>
                    <w:tr2bl w:val="nil"/>
                  </w:tcBorders>
                  <w:shd w:val="clear" w:color="auto" w:fill="auto"/>
                  <w:noWrap w:val="0"/>
                  <w:vAlign w:val="center"/>
                </w:tcPr>
                <w:p w14:paraId="520ED9D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S4</w:t>
                  </w:r>
                </w:p>
              </w:tc>
              <w:tc>
                <w:tcPr>
                  <w:tcW w:w="1837" w:type="dxa"/>
                  <w:tcBorders>
                    <w:tl2br w:val="nil"/>
                    <w:tr2bl w:val="nil"/>
                  </w:tcBorders>
                  <w:shd w:val="clear" w:color="auto" w:fill="auto"/>
                  <w:noWrap w:val="0"/>
                  <w:vAlign w:val="center"/>
                </w:tcPr>
                <w:p w14:paraId="0634E819">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沉淀池泥渣</w:t>
                  </w:r>
                </w:p>
              </w:tc>
              <w:tc>
                <w:tcPr>
                  <w:tcW w:w="2272" w:type="dxa"/>
                  <w:tcBorders>
                    <w:tl2br w:val="nil"/>
                    <w:tr2bl w:val="nil"/>
                  </w:tcBorders>
                  <w:shd w:val="clear" w:color="auto" w:fill="auto"/>
                  <w:noWrap w:val="0"/>
                  <w:vAlign w:val="center"/>
                </w:tcPr>
                <w:p w14:paraId="099023D6">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污泥</w:t>
                  </w:r>
                </w:p>
              </w:tc>
              <w:tc>
                <w:tcPr>
                  <w:tcW w:w="979" w:type="dxa"/>
                  <w:tcBorders>
                    <w:tl2br w:val="nil"/>
                    <w:tr2bl w:val="nil"/>
                  </w:tcBorders>
                  <w:shd w:val="clear" w:color="auto" w:fill="auto"/>
                  <w:noWrap/>
                  <w:vAlign w:val="center"/>
                </w:tcPr>
                <w:p w14:paraId="55FEFF8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半固态</w:t>
                  </w:r>
                </w:p>
              </w:tc>
              <w:tc>
                <w:tcPr>
                  <w:tcW w:w="1273" w:type="dxa"/>
                  <w:tcBorders>
                    <w:tl2br w:val="nil"/>
                    <w:tr2bl w:val="nil"/>
                  </w:tcBorders>
                  <w:shd w:val="clear" w:color="auto" w:fill="auto"/>
                  <w:noWrap/>
                  <w:vAlign w:val="center"/>
                </w:tcPr>
                <w:p w14:paraId="00F976B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是</w:t>
                  </w:r>
                </w:p>
              </w:tc>
              <w:tc>
                <w:tcPr>
                  <w:tcW w:w="1658" w:type="dxa"/>
                  <w:tcBorders>
                    <w:tl2br w:val="nil"/>
                    <w:tr2bl w:val="nil"/>
                  </w:tcBorders>
                  <w:shd w:val="clear" w:color="auto" w:fill="auto"/>
                  <w:noWrap w:val="0"/>
                  <w:vAlign w:val="center"/>
                </w:tcPr>
                <w:p w14:paraId="18C8512C">
                  <w:pPr>
                    <w:widowControl/>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color w:val="auto"/>
                      <w:kern w:val="0"/>
                      <w:szCs w:val="21"/>
                      <w:lang w:bidi="ar"/>
                    </w:rPr>
                    <w:t>4.3e</w:t>
                  </w:r>
                </w:p>
              </w:tc>
              <w:tc>
                <w:tcPr>
                  <w:tcW w:w="1423" w:type="dxa"/>
                  <w:tcBorders>
                    <w:tl2br w:val="nil"/>
                    <w:tr2bl w:val="nil"/>
                  </w:tcBorders>
                  <w:shd w:val="clear" w:color="auto" w:fill="auto"/>
                  <w:noWrap/>
                  <w:vAlign w:val="center"/>
                </w:tcPr>
                <w:p w14:paraId="7B900F00">
                  <w:pPr>
                    <w:widowControl/>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color w:val="auto"/>
                      <w:kern w:val="0"/>
                      <w:szCs w:val="21"/>
                      <w:lang w:bidi="ar"/>
                    </w:rPr>
                    <w:t>一般固废</w:t>
                  </w:r>
                </w:p>
              </w:tc>
            </w:tr>
            <w:tr w14:paraId="570A9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jc w:val="center"/>
              </w:trPr>
              <w:tc>
                <w:tcPr>
                  <w:tcW w:w="678" w:type="dxa"/>
                  <w:tcBorders>
                    <w:tl2br w:val="nil"/>
                    <w:tr2bl w:val="nil"/>
                  </w:tcBorders>
                  <w:shd w:val="clear" w:color="auto" w:fill="auto"/>
                  <w:noWrap w:val="0"/>
                  <w:vAlign w:val="center"/>
                </w:tcPr>
                <w:p w14:paraId="49DBE27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5</w:t>
                  </w:r>
                </w:p>
              </w:tc>
              <w:tc>
                <w:tcPr>
                  <w:tcW w:w="1707" w:type="dxa"/>
                  <w:vMerge w:val="restart"/>
                  <w:tcBorders>
                    <w:tl2br w:val="nil"/>
                    <w:tr2bl w:val="nil"/>
                  </w:tcBorders>
                  <w:shd w:val="clear" w:color="auto" w:fill="auto"/>
                  <w:noWrap w:val="0"/>
                  <w:vAlign w:val="center"/>
                </w:tcPr>
                <w:p w14:paraId="01BB862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auto"/>
                      <w:sz w:val="21"/>
                      <w:szCs w:val="21"/>
                      <w:u w:val="none"/>
                      <w:lang w:val="en-US" w:eastAsia="zh-CN"/>
                    </w:rPr>
                    <w:t>废气治理</w:t>
                  </w:r>
                </w:p>
              </w:tc>
              <w:tc>
                <w:tcPr>
                  <w:tcW w:w="1108" w:type="dxa"/>
                  <w:tcBorders>
                    <w:tl2br w:val="nil"/>
                    <w:tr2bl w:val="nil"/>
                  </w:tcBorders>
                  <w:shd w:val="clear" w:color="auto" w:fill="auto"/>
                  <w:noWrap w:val="0"/>
                  <w:vAlign w:val="center"/>
                </w:tcPr>
                <w:p w14:paraId="40F1996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S5</w:t>
                  </w:r>
                </w:p>
              </w:tc>
              <w:tc>
                <w:tcPr>
                  <w:tcW w:w="1837" w:type="dxa"/>
                  <w:tcBorders>
                    <w:tl2br w:val="nil"/>
                    <w:tr2bl w:val="nil"/>
                  </w:tcBorders>
                  <w:shd w:val="clear" w:color="auto" w:fill="auto"/>
                  <w:noWrap w:val="0"/>
                  <w:vAlign w:val="center"/>
                </w:tcPr>
                <w:p w14:paraId="121B225C">
                  <w:pPr>
                    <w:keepNext w:val="0"/>
                    <w:keepLines w:val="0"/>
                    <w:widowControl/>
                    <w:suppressLineNumbers w:val="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除尘器收尘</w:t>
                  </w:r>
                </w:p>
              </w:tc>
              <w:tc>
                <w:tcPr>
                  <w:tcW w:w="2272" w:type="dxa"/>
                  <w:tcBorders>
                    <w:tl2br w:val="nil"/>
                    <w:tr2bl w:val="nil"/>
                  </w:tcBorders>
                  <w:shd w:val="clear" w:color="auto" w:fill="auto"/>
                  <w:noWrap w:val="0"/>
                  <w:vAlign w:val="center"/>
                </w:tcPr>
                <w:p w14:paraId="6363BC3F">
                  <w:pPr>
                    <w:keepNext w:val="0"/>
                    <w:keepLines w:val="0"/>
                    <w:widowControl/>
                    <w:suppressLineNumbers w:val="0"/>
                    <w:jc w:val="center"/>
                    <w:textAlignment w:val="center"/>
                    <w:rPr>
                      <w:rFonts w:hint="eastAsia" w:cs="Times New Roman"/>
                      <w:i w:val="0"/>
                      <w:iCs w:val="0"/>
                      <w:color w:val="auto"/>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颗粒物、炭黑尘</w:t>
                  </w:r>
                </w:p>
              </w:tc>
              <w:tc>
                <w:tcPr>
                  <w:tcW w:w="979" w:type="dxa"/>
                  <w:tcBorders>
                    <w:tl2br w:val="nil"/>
                    <w:tr2bl w:val="nil"/>
                  </w:tcBorders>
                  <w:shd w:val="clear" w:color="auto" w:fill="auto"/>
                  <w:noWrap/>
                  <w:vAlign w:val="center"/>
                </w:tcPr>
                <w:p w14:paraId="59904B65">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固态</w:t>
                  </w:r>
                </w:p>
              </w:tc>
              <w:tc>
                <w:tcPr>
                  <w:tcW w:w="1273" w:type="dxa"/>
                  <w:tcBorders>
                    <w:tl2br w:val="nil"/>
                    <w:tr2bl w:val="nil"/>
                  </w:tcBorders>
                  <w:shd w:val="clear" w:color="auto" w:fill="auto"/>
                  <w:noWrap/>
                  <w:vAlign w:val="center"/>
                </w:tcPr>
                <w:p w14:paraId="5376047F">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是</w:t>
                  </w:r>
                </w:p>
              </w:tc>
              <w:tc>
                <w:tcPr>
                  <w:tcW w:w="1658" w:type="dxa"/>
                  <w:tcBorders>
                    <w:tl2br w:val="nil"/>
                    <w:tr2bl w:val="nil"/>
                  </w:tcBorders>
                  <w:shd w:val="clear" w:color="auto" w:fill="auto"/>
                  <w:noWrap w:val="0"/>
                  <w:vAlign w:val="center"/>
                </w:tcPr>
                <w:p w14:paraId="2E9A6B52">
                  <w:pPr>
                    <w:widowControl/>
                    <w:jc w:val="center"/>
                    <w:textAlignment w:val="center"/>
                    <w:rPr>
                      <w:color w:val="auto"/>
                      <w:kern w:val="0"/>
                      <w:szCs w:val="21"/>
                      <w:lang w:bidi="ar"/>
                    </w:rPr>
                  </w:pPr>
                  <w:r>
                    <w:rPr>
                      <w:rFonts w:hint="default" w:ascii="Times New Roman" w:hAnsi="Times New Roman" w:eastAsia="宋体" w:cs="Times New Roman"/>
                      <w:i w:val="0"/>
                      <w:iCs w:val="0"/>
                      <w:color w:val="auto"/>
                      <w:kern w:val="0"/>
                      <w:sz w:val="21"/>
                      <w:szCs w:val="21"/>
                      <w:u w:val="none"/>
                      <w:lang w:val="en-US" w:eastAsia="zh-CN" w:bidi="ar"/>
                    </w:rPr>
                    <w:t>4.</w:t>
                  </w:r>
                  <w:r>
                    <w:rPr>
                      <w:rFonts w:hint="eastAsia" w:cs="Times New Roman"/>
                      <w:i w:val="0"/>
                      <w:iCs w:val="0"/>
                      <w:color w:val="auto"/>
                      <w:kern w:val="0"/>
                      <w:sz w:val="21"/>
                      <w:szCs w:val="21"/>
                      <w:u w:val="none"/>
                      <w:lang w:val="en-US" w:eastAsia="zh-CN" w:bidi="ar"/>
                    </w:rPr>
                    <w:t>3a</w:t>
                  </w:r>
                </w:p>
              </w:tc>
              <w:tc>
                <w:tcPr>
                  <w:tcW w:w="1423" w:type="dxa"/>
                  <w:tcBorders>
                    <w:tl2br w:val="nil"/>
                    <w:tr2bl w:val="nil"/>
                  </w:tcBorders>
                  <w:shd w:val="clear" w:color="auto" w:fill="auto"/>
                  <w:noWrap/>
                  <w:vAlign w:val="center"/>
                </w:tcPr>
                <w:p w14:paraId="3528A4E6">
                  <w:pPr>
                    <w:widowControl/>
                    <w:jc w:val="center"/>
                    <w:textAlignment w:val="center"/>
                    <w:rPr>
                      <w:color w:val="auto"/>
                      <w:kern w:val="0"/>
                      <w:szCs w:val="21"/>
                      <w:lang w:bidi="ar"/>
                    </w:rPr>
                  </w:pPr>
                  <w:r>
                    <w:rPr>
                      <w:color w:val="auto"/>
                      <w:kern w:val="0"/>
                      <w:szCs w:val="21"/>
                      <w:lang w:bidi="ar"/>
                    </w:rPr>
                    <w:t>一般固废</w:t>
                  </w:r>
                </w:p>
              </w:tc>
            </w:tr>
            <w:tr w14:paraId="59AD3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jc w:val="center"/>
              </w:trPr>
              <w:tc>
                <w:tcPr>
                  <w:tcW w:w="678" w:type="dxa"/>
                  <w:tcBorders>
                    <w:tl2br w:val="nil"/>
                    <w:tr2bl w:val="nil"/>
                  </w:tcBorders>
                  <w:shd w:val="clear" w:color="auto" w:fill="auto"/>
                  <w:noWrap w:val="0"/>
                  <w:vAlign w:val="center"/>
                </w:tcPr>
                <w:p w14:paraId="3AF3129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3</w:t>
                  </w:r>
                </w:p>
              </w:tc>
              <w:tc>
                <w:tcPr>
                  <w:tcW w:w="1707" w:type="dxa"/>
                  <w:vMerge w:val="continue"/>
                  <w:tcBorders>
                    <w:tl2br w:val="nil"/>
                    <w:tr2bl w:val="nil"/>
                  </w:tcBorders>
                  <w:shd w:val="clear" w:color="auto" w:fill="auto"/>
                  <w:noWrap w:val="0"/>
                  <w:vAlign w:val="center"/>
                </w:tcPr>
                <w:p w14:paraId="6E21381E">
                  <w:pPr>
                    <w:keepNext w:val="0"/>
                    <w:keepLines w:val="0"/>
                    <w:widowControl/>
                    <w:suppressLineNumbers w:val="0"/>
                    <w:jc w:val="center"/>
                    <w:textAlignment w:val="center"/>
                    <w:rPr>
                      <w:rFonts w:hint="eastAsia" w:cs="Times New Roman"/>
                      <w:i w:val="0"/>
                      <w:iCs w:val="0"/>
                      <w:color w:val="auto"/>
                      <w:sz w:val="21"/>
                      <w:szCs w:val="21"/>
                      <w:u w:val="none"/>
                      <w:lang w:val="en-US" w:eastAsia="zh-CN"/>
                    </w:rPr>
                  </w:pPr>
                </w:p>
              </w:tc>
              <w:tc>
                <w:tcPr>
                  <w:tcW w:w="1108" w:type="dxa"/>
                  <w:tcBorders>
                    <w:tl2br w:val="nil"/>
                    <w:tr2bl w:val="nil"/>
                  </w:tcBorders>
                  <w:shd w:val="clear" w:color="auto" w:fill="auto"/>
                  <w:noWrap w:val="0"/>
                  <w:vAlign w:val="center"/>
                </w:tcPr>
                <w:p w14:paraId="7DCDE73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S6</w:t>
                  </w:r>
                </w:p>
              </w:tc>
              <w:tc>
                <w:tcPr>
                  <w:tcW w:w="1837" w:type="dxa"/>
                  <w:tcBorders>
                    <w:tl2br w:val="nil"/>
                    <w:tr2bl w:val="nil"/>
                  </w:tcBorders>
                  <w:shd w:val="clear" w:color="auto" w:fill="auto"/>
                  <w:noWrap w:val="0"/>
                  <w:vAlign w:val="center"/>
                </w:tcPr>
                <w:p w14:paraId="51DB204D">
                  <w:pPr>
                    <w:keepNext w:val="0"/>
                    <w:keepLines w:val="0"/>
                    <w:widowControl/>
                    <w:suppressLineNumbers w:val="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废布袋</w:t>
                  </w:r>
                </w:p>
              </w:tc>
              <w:tc>
                <w:tcPr>
                  <w:tcW w:w="2272" w:type="dxa"/>
                  <w:tcBorders>
                    <w:tl2br w:val="nil"/>
                    <w:tr2bl w:val="nil"/>
                  </w:tcBorders>
                  <w:shd w:val="clear" w:color="auto" w:fill="auto"/>
                  <w:noWrap w:val="0"/>
                  <w:vAlign w:val="center"/>
                </w:tcPr>
                <w:p w14:paraId="0BBDA649">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颗粒物、炭黑尘</w:t>
                  </w:r>
                  <w:r>
                    <w:rPr>
                      <w:rFonts w:hint="eastAsia" w:cs="Times New Roman"/>
                      <w:i w:val="0"/>
                      <w:iCs w:val="0"/>
                      <w:color w:val="auto"/>
                      <w:sz w:val="21"/>
                      <w:szCs w:val="21"/>
                      <w:u w:val="none"/>
                      <w:lang w:val="en-US" w:eastAsia="zh-CN"/>
                    </w:rPr>
                    <w:t>、布袋</w:t>
                  </w:r>
                </w:p>
              </w:tc>
              <w:tc>
                <w:tcPr>
                  <w:tcW w:w="979" w:type="dxa"/>
                  <w:tcBorders>
                    <w:tl2br w:val="nil"/>
                    <w:tr2bl w:val="nil"/>
                  </w:tcBorders>
                  <w:shd w:val="clear" w:color="auto" w:fill="auto"/>
                  <w:noWrap/>
                  <w:vAlign w:val="center"/>
                </w:tcPr>
                <w:p w14:paraId="12CF29A1">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固态</w:t>
                  </w:r>
                </w:p>
              </w:tc>
              <w:tc>
                <w:tcPr>
                  <w:tcW w:w="1273" w:type="dxa"/>
                  <w:tcBorders>
                    <w:tl2br w:val="nil"/>
                    <w:tr2bl w:val="nil"/>
                  </w:tcBorders>
                  <w:shd w:val="clear" w:color="auto" w:fill="auto"/>
                  <w:noWrap/>
                  <w:vAlign w:val="center"/>
                </w:tcPr>
                <w:p w14:paraId="4DC3E913">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是</w:t>
                  </w:r>
                </w:p>
              </w:tc>
              <w:tc>
                <w:tcPr>
                  <w:tcW w:w="1658" w:type="dxa"/>
                  <w:tcBorders>
                    <w:tl2br w:val="nil"/>
                    <w:tr2bl w:val="nil"/>
                  </w:tcBorders>
                  <w:shd w:val="clear" w:color="auto" w:fill="auto"/>
                  <w:noWrap w:val="0"/>
                  <w:vAlign w:val="center"/>
                </w:tcPr>
                <w:p w14:paraId="3238857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w:t>
                  </w:r>
                  <w:r>
                    <w:rPr>
                      <w:rFonts w:hint="eastAsia" w:ascii="Times New Roman" w:hAnsi="Times New Roman" w:eastAsia="宋体" w:cs="Times New Roman"/>
                      <w:i w:val="0"/>
                      <w:iCs w:val="0"/>
                      <w:color w:val="auto"/>
                      <w:kern w:val="0"/>
                      <w:sz w:val="21"/>
                      <w:szCs w:val="21"/>
                      <w:u w:val="none"/>
                      <w:lang w:val="en-US" w:eastAsia="zh-CN" w:bidi="ar"/>
                    </w:rPr>
                    <w:t>1</w:t>
                  </w:r>
                  <w:r>
                    <w:rPr>
                      <w:rFonts w:hint="default" w:ascii="Times New Roman" w:hAnsi="Times New Roman" w:eastAsia="宋体" w:cs="Times New Roman"/>
                      <w:i w:val="0"/>
                      <w:iCs w:val="0"/>
                      <w:color w:val="auto"/>
                      <w:kern w:val="0"/>
                      <w:sz w:val="21"/>
                      <w:szCs w:val="21"/>
                      <w:u w:val="none"/>
                      <w:lang w:val="en-US" w:eastAsia="zh-CN" w:bidi="ar"/>
                    </w:rPr>
                    <w:t>a</w:t>
                  </w:r>
                </w:p>
              </w:tc>
              <w:tc>
                <w:tcPr>
                  <w:tcW w:w="1423" w:type="dxa"/>
                  <w:tcBorders>
                    <w:tl2br w:val="nil"/>
                    <w:tr2bl w:val="nil"/>
                  </w:tcBorders>
                  <w:shd w:val="clear" w:color="auto" w:fill="auto"/>
                  <w:noWrap/>
                  <w:vAlign w:val="center"/>
                </w:tcPr>
                <w:p w14:paraId="046AD66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一般固废</w:t>
                  </w:r>
                </w:p>
              </w:tc>
            </w:tr>
            <w:tr w14:paraId="55A4B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jc w:val="center"/>
              </w:trPr>
              <w:tc>
                <w:tcPr>
                  <w:tcW w:w="678" w:type="dxa"/>
                  <w:tcBorders>
                    <w:tl2br w:val="nil"/>
                    <w:tr2bl w:val="nil"/>
                  </w:tcBorders>
                  <w:shd w:val="clear" w:color="auto" w:fill="auto"/>
                  <w:noWrap w:val="0"/>
                  <w:vAlign w:val="center"/>
                </w:tcPr>
                <w:p w14:paraId="7FF1F843">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5</w:t>
                  </w:r>
                </w:p>
              </w:tc>
              <w:tc>
                <w:tcPr>
                  <w:tcW w:w="1707" w:type="dxa"/>
                  <w:vMerge w:val="continue"/>
                  <w:tcBorders>
                    <w:tl2br w:val="nil"/>
                    <w:tr2bl w:val="nil"/>
                  </w:tcBorders>
                  <w:noWrap/>
                  <w:vAlign w:val="center"/>
                </w:tcPr>
                <w:p w14:paraId="5AEF917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1108" w:type="dxa"/>
                  <w:tcBorders>
                    <w:tl2br w:val="nil"/>
                    <w:tr2bl w:val="nil"/>
                  </w:tcBorders>
                  <w:shd w:val="clear" w:color="auto" w:fill="auto"/>
                  <w:noWrap/>
                  <w:vAlign w:val="center"/>
                </w:tcPr>
                <w:p w14:paraId="2CF20F8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S7</w:t>
                  </w:r>
                </w:p>
              </w:tc>
              <w:tc>
                <w:tcPr>
                  <w:tcW w:w="1837" w:type="dxa"/>
                  <w:tcBorders>
                    <w:tl2br w:val="nil"/>
                    <w:tr2bl w:val="nil"/>
                  </w:tcBorders>
                  <w:noWrap/>
                  <w:vAlign w:val="center"/>
                </w:tcPr>
                <w:p w14:paraId="574C481B">
                  <w:pPr>
                    <w:keepNext w:val="0"/>
                    <w:keepLines w:val="0"/>
                    <w:widowControl/>
                    <w:suppressLineNumbers w:val="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废活性炭</w:t>
                  </w:r>
                </w:p>
              </w:tc>
              <w:tc>
                <w:tcPr>
                  <w:tcW w:w="2272" w:type="dxa"/>
                  <w:tcBorders>
                    <w:tl2br w:val="nil"/>
                    <w:tr2bl w:val="nil"/>
                  </w:tcBorders>
                  <w:noWrap/>
                  <w:vAlign w:val="center"/>
                </w:tcPr>
                <w:p w14:paraId="6AC7A545">
                  <w:pPr>
                    <w:keepNext w:val="0"/>
                    <w:keepLines w:val="0"/>
                    <w:widowControl/>
                    <w:suppressLineNumbers w:val="0"/>
                    <w:jc w:val="center"/>
                    <w:textAlignment w:val="center"/>
                    <w:rPr>
                      <w:rFonts w:hint="eastAsia" w:cs="Times New Roman"/>
                      <w:i w:val="0"/>
                      <w:iCs w:val="0"/>
                      <w:color w:val="auto"/>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含</w:t>
                  </w:r>
                  <w:r>
                    <w:rPr>
                      <w:rFonts w:hint="default" w:ascii="Times New Roman" w:hAnsi="Times New Roman" w:eastAsia="宋体" w:cs="Times New Roman"/>
                      <w:i w:val="0"/>
                      <w:iCs w:val="0"/>
                      <w:color w:val="000000"/>
                      <w:kern w:val="0"/>
                      <w:sz w:val="21"/>
                      <w:szCs w:val="21"/>
                      <w:u w:val="none"/>
                      <w:lang w:val="en-US" w:eastAsia="zh-CN" w:bidi="ar"/>
                    </w:rPr>
                    <w:t>VOCs</w:t>
                  </w:r>
                  <w:r>
                    <w:rPr>
                      <w:rFonts w:hint="eastAsia" w:ascii="宋体" w:hAnsi="宋体" w:eastAsia="宋体" w:cs="宋体"/>
                      <w:i w:val="0"/>
                      <w:iCs w:val="0"/>
                      <w:color w:val="000000"/>
                      <w:kern w:val="0"/>
                      <w:sz w:val="21"/>
                      <w:szCs w:val="21"/>
                      <w:u w:val="none"/>
                      <w:lang w:val="en-US" w:eastAsia="zh-CN" w:bidi="ar"/>
                    </w:rPr>
                    <w:t>的活性炭</w:t>
                  </w:r>
                </w:p>
              </w:tc>
              <w:tc>
                <w:tcPr>
                  <w:tcW w:w="979" w:type="dxa"/>
                  <w:tcBorders>
                    <w:tl2br w:val="nil"/>
                    <w:tr2bl w:val="nil"/>
                  </w:tcBorders>
                  <w:noWrap/>
                  <w:vAlign w:val="center"/>
                </w:tcPr>
                <w:p w14:paraId="2F1540D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固态</w:t>
                  </w:r>
                </w:p>
              </w:tc>
              <w:tc>
                <w:tcPr>
                  <w:tcW w:w="1273" w:type="dxa"/>
                  <w:tcBorders>
                    <w:tl2br w:val="nil"/>
                    <w:tr2bl w:val="nil"/>
                  </w:tcBorders>
                  <w:noWrap/>
                  <w:vAlign w:val="center"/>
                </w:tcPr>
                <w:p w14:paraId="5ADD469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是</w:t>
                  </w:r>
                </w:p>
              </w:tc>
              <w:tc>
                <w:tcPr>
                  <w:tcW w:w="1658" w:type="dxa"/>
                  <w:tcBorders>
                    <w:tl2br w:val="nil"/>
                    <w:tr2bl w:val="nil"/>
                  </w:tcBorders>
                  <w:noWrap/>
                  <w:vAlign w:val="center"/>
                </w:tcPr>
                <w:p w14:paraId="41B3D40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4.3l</w:t>
                  </w:r>
                </w:p>
              </w:tc>
              <w:tc>
                <w:tcPr>
                  <w:tcW w:w="1423" w:type="dxa"/>
                  <w:tcBorders>
                    <w:tl2br w:val="nil"/>
                    <w:tr2bl w:val="nil"/>
                  </w:tcBorders>
                  <w:noWrap/>
                  <w:vAlign w:val="center"/>
                </w:tcPr>
                <w:p w14:paraId="687DC3F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危险废物</w:t>
                  </w:r>
                </w:p>
              </w:tc>
            </w:tr>
            <w:tr w14:paraId="3F266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jc w:val="center"/>
              </w:trPr>
              <w:tc>
                <w:tcPr>
                  <w:tcW w:w="678" w:type="dxa"/>
                  <w:tcBorders>
                    <w:tl2br w:val="nil"/>
                    <w:tr2bl w:val="nil"/>
                  </w:tcBorders>
                  <w:shd w:val="clear" w:color="auto" w:fill="auto"/>
                  <w:noWrap w:val="0"/>
                  <w:vAlign w:val="center"/>
                </w:tcPr>
                <w:p w14:paraId="376A322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6</w:t>
                  </w:r>
                </w:p>
              </w:tc>
              <w:tc>
                <w:tcPr>
                  <w:tcW w:w="1707" w:type="dxa"/>
                  <w:vMerge w:val="restart"/>
                  <w:tcBorders>
                    <w:tl2br w:val="nil"/>
                    <w:tr2bl w:val="nil"/>
                  </w:tcBorders>
                  <w:shd w:val="clear" w:color="auto" w:fill="auto"/>
                  <w:noWrap/>
                  <w:vAlign w:val="center"/>
                </w:tcPr>
                <w:p w14:paraId="0118215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设备维护</w:t>
                  </w:r>
                </w:p>
              </w:tc>
              <w:tc>
                <w:tcPr>
                  <w:tcW w:w="1108" w:type="dxa"/>
                  <w:tcBorders>
                    <w:tl2br w:val="nil"/>
                    <w:tr2bl w:val="nil"/>
                  </w:tcBorders>
                  <w:shd w:val="clear" w:color="auto" w:fill="auto"/>
                  <w:noWrap/>
                  <w:vAlign w:val="center"/>
                </w:tcPr>
                <w:p w14:paraId="2A80AEF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S8</w:t>
                  </w:r>
                </w:p>
              </w:tc>
              <w:tc>
                <w:tcPr>
                  <w:tcW w:w="1837" w:type="dxa"/>
                  <w:tcBorders>
                    <w:tl2br w:val="nil"/>
                    <w:tr2bl w:val="nil"/>
                  </w:tcBorders>
                  <w:noWrap/>
                  <w:vAlign w:val="center"/>
                </w:tcPr>
                <w:p w14:paraId="287DA6A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废润滑油</w:t>
                  </w:r>
                </w:p>
              </w:tc>
              <w:tc>
                <w:tcPr>
                  <w:tcW w:w="2272" w:type="dxa"/>
                  <w:tcBorders>
                    <w:tl2br w:val="nil"/>
                    <w:tr2bl w:val="nil"/>
                  </w:tcBorders>
                  <w:noWrap/>
                  <w:vAlign w:val="center"/>
                </w:tcPr>
                <w:p w14:paraId="680F07D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润滑油</w:t>
                  </w:r>
                </w:p>
              </w:tc>
              <w:tc>
                <w:tcPr>
                  <w:tcW w:w="979" w:type="dxa"/>
                  <w:tcBorders>
                    <w:tl2br w:val="nil"/>
                    <w:tr2bl w:val="nil"/>
                  </w:tcBorders>
                  <w:noWrap/>
                  <w:vAlign w:val="center"/>
                </w:tcPr>
                <w:p w14:paraId="23E2241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液态</w:t>
                  </w:r>
                </w:p>
              </w:tc>
              <w:tc>
                <w:tcPr>
                  <w:tcW w:w="1273" w:type="dxa"/>
                  <w:tcBorders>
                    <w:tl2br w:val="nil"/>
                    <w:tr2bl w:val="nil"/>
                  </w:tcBorders>
                  <w:noWrap/>
                  <w:vAlign w:val="center"/>
                </w:tcPr>
                <w:p w14:paraId="0420263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是</w:t>
                  </w:r>
                </w:p>
              </w:tc>
              <w:tc>
                <w:tcPr>
                  <w:tcW w:w="1658" w:type="dxa"/>
                  <w:tcBorders>
                    <w:tl2br w:val="nil"/>
                    <w:tr2bl w:val="nil"/>
                  </w:tcBorders>
                  <w:noWrap/>
                  <w:vAlign w:val="center"/>
                </w:tcPr>
                <w:p w14:paraId="1FAFBDA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kern w:val="0"/>
                      <w:sz w:val="21"/>
                      <w:szCs w:val="21"/>
                      <w:u w:val="none"/>
                      <w:lang w:val="en-US" w:eastAsia="zh-CN" w:bidi="ar"/>
                    </w:rPr>
                    <w:t>4.</w:t>
                  </w:r>
                  <w:r>
                    <w:rPr>
                      <w:rFonts w:hint="eastAsia" w:cs="Times New Roman"/>
                      <w:i w:val="0"/>
                      <w:iCs w:val="0"/>
                      <w:color w:val="auto"/>
                      <w:kern w:val="0"/>
                      <w:sz w:val="21"/>
                      <w:szCs w:val="21"/>
                      <w:u w:val="none"/>
                      <w:lang w:val="en-US" w:eastAsia="zh-CN" w:bidi="ar"/>
                    </w:rPr>
                    <w:t>2g</w:t>
                  </w:r>
                </w:p>
              </w:tc>
              <w:tc>
                <w:tcPr>
                  <w:tcW w:w="1423" w:type="dxa"/>
                  <w:tcBorders>
                    <w:tl2br w:val="nil"/>
                    <w:tr2bl w:val="nil"/>
                  </w:tcBorders>
                  <w:noWrap/>
                  <w:vAlign w:val="center"/>
                </w:tcPr>
                <w:p w14:paraId="1A558BB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危险废物</w:t>
                  </w:r>
                </w:p>
              </w:tc>
            </w:tr>
            <w:tr w14:paraId="5C34C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jc w:val="center"/>
              </w:trPr>
              <w:tc>
                <w:tcPr>
                  <w:tcW w:w="678" w:type="dxa"/>
                  <w:tcBorders>
                    <w:tl2br w:val="nil"/>
                    <w:tr2bl w:val="nil"/>
                  </w:tcBorders>
                  <w:shd w:val="clear" w:color="auto" w:fill="auto"/>
                  <w:noWrap w:val="0"/>
                  <w:vAlign w:val="center"/>
                </w:tcPr>
                <w:p w14:paraId="283AA4B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7</w:t>
                  </w:r>
                </w:p>
              </w:tc>
              <w:tc>
                <w:tcPr>
                  <w:tcW w:w="1707" w:type="dxa"/>
                  <w:vMerge w:val="continue"/>
                  <w:tcBorders>
                    <w:tl2br w:val="nil"/>
                    <w:tr2bl w:val="nil"/>
                  </w:tcBorders>
                  <w:shd w:val="clear" w:color="auto" w:fill="auto"/>
                  <w:noWrap/>
                  <w:vAlign w:val="center"/>
                </w:tcPr>
                <w:p w14:paraId="54DC5A5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1108" w:type="dxa"/>
                  <w:tcBorders>
                    <w:tl2br w:val="nil"/>
                    <w:tr2bl w:val="nil"/>
                  </w:tcBorders>
                  <w:shd w:val="clear" w:color="auto" w:fill="auto"/>
                  <w:noWrap/>
                  <w:vAlign w:val="center"/>
                </w:tcPr>
                <w:p w14:paraId="3D89432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S9</w:t>
                  </w:r>
                </w:p>
              </w:tc>
              <w:tc>
                <w:tcPr>
                  <w:tcW w:w="1837" w:type="dxa"/>
                  <w:tcBorders>
                    <w:tl2br w:val="nil"/>
                    <w:tr2bl w:val="nil"/>
                  </w:tcBorders>
                  <w:noWrap/>
                  <w:vAlign w:val="center"/>
                </w:tcPr>
                <w:p w14:paraId="14D15F6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废液压油</w:t>
                  </w:r>
                </w:p>
              </w:tc>
              <w:tc>
                <w:tcPr>
                  <w:tcW w:w="2272" w:type="dxa"/>
                  <w:tcBorders>
                    <w:tl2br w:val="nil"/>
                    <w:tr2bl w:val="nil"/>
                  </w:tcBorders>
                  <w:noWrap/>
                  <w:vAlign w:val="center"/>
                </w:tcPr>
                <w:p w14:paraId="0C394F6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液压油</w:t>
                  </w:r>
                </w:p>
              </w:tc>
              <w:tc>
                <w:tcPr>
                  <w:tcW w:w="979" w:type="dxa"/>
                  <w:tcBorders>
                    <w:tl2br w:val="nil"/>
                    <w:tr2bl w:val="nil"/>
                  </w:tcBorders>
                  <w:shd w:val="clear" w:color="auto" w:fill="auto"/>
                  <w:noWrap/>
                  <w:vAlign w:val="center"/>
                </w:tcPr>
                <w:p w14:paraId="4159C02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液态</w:t>
                  </w:r>
                </w:p>
              </w:tc>
              <w:tc>
                <w:tcPr>
                  <w:tcW w:w="1273" w:type="dxa"/>
                  <w:tcBorders>
                    <w:tl2br w:val="nil"/>
                    <w:tr2bl w:val="nil"/>
                  </w:tcBorders>
                  <w:shd w:val="clear" w:color="auto" w:fill="auto"/>
                  <w:noWrap/>
                  <w:vAlign w:val="center"/>
                </w:tcPr>
                <w:p w14:paraId="04874DF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是</w:t>
                  </w:r>
                </w:p>
              </w:tc>
              <w:tc>
                <w:tcPr>
                  <w:tcW w:w="1658" w:type="dxa"/>
                  <w:tcBorders>
                    <w:tl2br w:val="nil"/>
                    <w:tr2bl w:val="nil"/>
                  </w:tcBorders>
                  <w:shd w:val="clear" w:color="auto" w:fill="auto"/>
                  <w:noWrap/>
                  <w:vAlign w:val="center"/>
                </w:tcPr>
                <w:p w14:paraId="531E4AA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w:t>
                  </w:r>
                  <w:r>
                    <w:rPr>
                      <w:rFonts w:hint="eastAsia" w:cs="Times New Roman"/>
                      <w:i w:val="0"/>
                      <w:iCs w:val="0"/>
                      <w:color w:val="auto"/>
                      <w:kern w:val="0"/>
                      <w:sz w:val="21"/>
                      <w:szCs w:val="21"/>
                      <w:u w:val="none"/>
                      <w:lang w:val="en-US" w:eastAsia="zh-CN" w:bidi="ar"/>
                    </w:rPr>
                    <w:t>2g</w:t>
                  </w:r>
                </w:p>
              </w:tc>
              <w:tc>
                <w:tcPr>
                  <w:tcW w:w="1423" w:type="dxa"/>
                  <w:tcBorders>
                    <w:tl2br w:val="nil"/>
                    <w:tr2bl w:val="nil"/>
                  </w:tcBorders>
                  <w:shd w:val="clear" w:color="auto" w:fill="auto"/>
                  <w:noWrap/>
                  <w:vAlign w:val="center"/>
                </w:tcPr>
                <w:p w14:paraId="082C326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危险废物</w:t>
                  </w:r>
                </w:p>
              </w:tc>
            </w:tr>
            <w:tr w14:paraId="310AC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jc w:val="center"/>
              </w:trPr>
              <w:tc>
                <w:tcPr>
                  <w:tcW w:w="678" w:type="dxa"/>
                  <w:tcBorders>
                    <w:tl2br w:val="nil"/>
                    <w:tr2bl w:val="nil"/>
                  </w:tcBorders>
                  <w:shd w:val="clear" w:color="auto" w:fill="auto"/>
                  <w:noWrap w:val="0"/>
                  <w:vAlign w:val="center"/>
                </w:tcPr>
                <w:p w14:paraId="07B9C11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8</w:t>
                  </w:r>
                </w:p>
              </w:tc>
              <w:tc>
                <w:tcPr>
                  <w:tcW w:w="1707" w:type="dxa"/>
                  <w:vMerge w:val="continue"/>
                  <w:tcBorders>
                    <w:tl2br w:val="nil"/>
                    <w:tr2bl w:val="nil"/>
                  </w:tcBorders>
                  <w:shd w:val="clear" w:color="auto" w:fill="auto"/>
                  <w:noWrap/>
                  <w:vAlign w:val="center"/>
                </w:tcPr>
                <w:p w14:paraId="2A8AACE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1108" w:type="dxa"/>
                  <w:tcBorders>
                    <w:tl2br w:val="nil"/>
                    <w:tr2bl w:val="nil"/>
                  </w:tcBorders>
                  <w:shd w:val="clear" w:color="auto" w:fill="auto"/>
                  <w:noWrap/>
                  <w:vAlign w:val="center"/>
                </w:tcPr>
                <w:p w14:paraId="0868D9A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S10</w:t>
                  </w:r>
                </w:p>
              </w:tc>
              <w:tc>
                <w:tcPr>
                  <w:tcW w:w="1837" w:type="dxa"/>
                  <w:tcBorders>
                    <w:tl2br w:val="nil"/>
                    <w:tr2bl w:val="nil"/>
                  </w:tcBorders>
                  <w:noWrap/>
                  <w:vAlign w:val="center"/>
                </w:tcPr>
                <w:p w14:paraId="0ED1DCF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eastAsia" w:cs="Times New Roman"/>
                      <w:i w:val="0"/>
                      <w:iCs w:val="0"/>
                      <w:color w:val="auto"/>
                      <w:kern w:val="0"/>
                      <w:sz w:val="21"/>
                      <w:szCs w:val="21"/>
                      <w:u w:val="none"/>
                      <w:lang w:val="en-US" w:eastAsia="zh-CN" w:bidi="ar"/>
                    </w:rPr>
                    <w:t>废油桶</w:t>
                  </w:r>
                </w:p>
              </w:tc>
              <w:tc>
                <w:tcPr>
                  <w:tcW w:w="2272" w:type="dxa"/>
                  <w:tcBorders>
                    <w:tl2br w:val="nil"/>
                    <w:tr2bl w:val="nil"/>
                  </w:tcBorders>
                  <w:noWrap/>
                  <w:vAlign w:val="center"/>
                </w:tcPr>
                <w:p w14:paraId="78314F4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lang w:val="en-US"/>
                    </w:rPr>
                  </w:pPr>
                  <w:r>
                    <w:rPr>
                      <w:rFonts w:hint="eastAsia" w:cs="Times New Roman"/>
                      <w:i w:val="0"/>
                      <w:iCs w:val="0"/>
                      <w:color w:val="auto"/>
                      <w:kern w:val="0"/>
                      <w:sz w:val="21"/>
                      <w:szCs w:val="21"/>
                      <w:u w:val="none"/>
                      <w:lang w:val="en-US" w:eastAsia="zh-CN" w:bidi="ar"/>
                    </w:rPr>
                    <w:t>润滑油、液压油</w:t>
                  </w:r>
                </w:p>
              </w:tc>
              <w:tc>
                <w:tcPr>
                  <w:tcW w:w="979" w:type="dxa"/>
                  <w:tcBorders>
                    <w:tl2br w:val="nil"/>
                    <w:tr2bl w:val="nil"/>
                  </w:tcBorders>
                  <w:noWrap/>
                  <w:vAlign w:val="center"/>
                </w:tcPr>
                <w:p w14:paraId="6323DDD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固态</w:t>
                  </w:r>
                </w:p>
              </w:tc>
              <w:tc>
                <w:tcPr>
                  <w:tcW w:w="1273" w:type="dxa"/>
                  <w:tcBorders>
                    <w:tl2br w:val="nil"/>
                    <w:tr2bl w:val="nil"/>
                  </w:tcBorders>
                  <w:noWrap/>
                  <w:vAlign w:val="center"/>
                </w:tcPr>
                <w:p w14:paraId="7E015A2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是</w:t>
                  </w:r>
                </w:p>
              </w:tc>
              <w:tc>
                <w:tcPr>
                  <w:tcW w:w="1658" w:type="dxa"/>
                  <w:tcBorders>
                    <w:tl2br w:val="nil"/>
                    <w:tr2bl w:val="nil"/>
                  </w:tcBorders>
                  <w:noWrap/>
                  <w:vAlign w:val="center"/>
                </w:tcPr>
                <w:p w14:paraId="2D3A729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4.1h</w:t>
                  </w:r>
                </w:p>
              </w:tc>
              <w:tc>
                <w:tcPr>
                  <w:tcW w:w="1423" w:type="dxa"/>
                  <w:tcBorders>
                    <w:tl2br w:val="nil"/>
                    <w:tr2bl w:val="nil"/>
                  </w:tcBorders>
                  <w:noWrap/>
                  <w:vAlign w:val="center"/>
                </w:tcPr>
                <w:p w14:paraId="0D6F173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危险废物</w:t>
                  </w:r>
                </w:p>
              </w:tc>
            </w:tr>
            <w:tr w14:paraId="7E724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jc w:val="center"/>
              </w:trPr>
              <w:tc>
                <w:tcPr>
                  <w:tcW w:w="678" w:type="dxa"/>
                  <w:tcBorders>
                    <w:tl2br w:val="nil"/>
                    <w:tr2bl w:val="nil"/>
                  </w:tcBorders>
                  <w:shd w:val="clear" w:color="auto" w:fill="auto"/>
                  <w:noWrap w:val="0"/>
                  <w:vAlign w:val="center"/>
                </w:tcPr>
                <w:p w14:paraId="02BF8C3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9</w:t>
                  </w:r>
                </w:p>
              </w:tc>
              <w:tc>
                <w:tcPr>
                  <w:tcW w:w="1707" w:type="dxa"/>
                  <w:vMerge w:val="continue"/>
                  <w:tcBorders>
                    <w:tl2br w:val="nil"/>
                    <w:tr2bl w:val="nil"/>
                  </w:tcBorders>
                  <w:shd w:val="clear" w:color="auto" w:fill="auto"/>
                  <w:noWrap/>
                  <w:vAlign w:val="center"/>
                </w:tcPr>
                <w:p w14:paraId="4844940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1108" w:type="dxa"/>
                  <w:tcBorders>
                    <w:tl2br w:val="nil"/>
                    <w:tr2bl w:val="nil"/>
                  </w:tcBorders>
                  <w:shd w:val="clear" w:color="auto" w:fill="auto"/>
                  <w:noWrap/>
                  <w:vAlign w:val="center"/>
                </w:tcPr>
                <w:p w14:paraId="705C713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S1</w:t>
                  </w:r>
                  <w:r>
                    <w:rPr>
                      <w:rFonts w:hint="eastAsia" w:ascii="Times New Roman" w:hAnsi="Times New Roman" w:eastAsia="宋体" w:cs="Times New Roman"/>
                      <w:i w:val="0"/>
                      <w:iCs w:val="0"/>
                      <w:color w:val="000000"/>
                      <w:kern w:val="0"/>
                      <w:sz w:val="21"/>
                      <w:szCs w:val="21"/>
                      <w:u w:val="none"/>
                      <w:lang w:val="en-US" w:eastAsia="zh-CN" w:bidi="ar"/>
                    </w:rPr>
                    <w:t>1</w:t>
                  </w:r>
                </w:p>
              </w:tc>
              <w:tc>
                <w:tcPr>
                  <w:tcW w:w="1837" w:type="dxa"/>
                  <w:tcBorders>
                    <w:tl2br w:val="nil"/>
                    <w:tr2bl w:val="nil"/>
                  </w:tcBorders>
                  <w:noWrap/>
                  <w:vAlign w:val="center"/>
                </w:tcPr>
                <w:p w14:paraId="7FEDE5E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含油废手套</w:t>
                  </w:r>
                </w:p>
              </w:tc>
              <w:tc>
                <w:tcPr>
                  <w:tcW w:w="2272" w:type="dxa"/>
                  <w:tcBorders>
                    <w:tl2br w:val="nil"/>
                    <w:tr2bl w:val="nil"/>
                  </w:tcBorders>
                  <w:noWrap/>
                  <w:vAlign w:val="center"/>
                </w:tcPr>
                <w:p w14:paraId="61B8865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eastAsia" w:cs="Times New Roman"/>
                      <w:i w:val="0"/>
                      <w:iCs w:val="0"/>
                      <w:color w:val="auto"/>
                      <w:kern w:val="0"/>
                      <w:sz w:val="21"/>
                      <w:szCs w:val="21"/>
                      <w:u w:val="none"/>
                      <w:lang w:val="en-US" w:eastAsia="zh-CN" w:bidi="ar"/>
                    </w:rPr>
                    <w:t>润滑油、液压油</w:t>
                  </w:r>
                </w:p>
              </w:tc>
              <w:tc>
                <w:tcPr>
                  <w:tcW w:w="979" w:type="dxa"/>
                  <w:tcBorders>
                    <w:tl2br w:val="nil"/>
                    <w:tr2bl w:val="nil"/>
                  </w:tcBorders>
                  <w:noWrap/>
                  <w:vAlign w:val="center"/>
                </w:tcPr>
                <w:p w14:paraId="1F1FD98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固态</w:t>
                  </w:r>
                </w:p>
              </w:tc>
              <w:tc>
                <w:tcPr>
                  <w:tcW w:w="1273" w:type="dxa"/>
                  <w:tcBorders>
                    <w:tl2br w:val="nil"/>
                    <w:tr2bl w:val="nil"/>
                  </w:tcBorders>
                  <w:noWrap/>
                  <w:vAlign w:val="center"/>
                </w:tcPr>
                <w:p w14:paraId="5C592D0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是</w:t>
                  </w:r>
                </w:p>
              </w:tc>
              <w:tc>
                <w:tcPr>
                  <w:tcW w:w="1658" w:type="dxa"/>
                  <w:tcBorders>
                    <w:tl2br w:val="nil"/>
                    <w:tr2bl w:val="nil"/>
                  </w:tcBorders>
                  <w:noWrap/>
                  <w:vAlign w:val="center"/>
                </w:tcPr>
                <w:p w14:paraId="2940D11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4.1h</w:t>
                  </w:r>
                </w:p>
              </w:tc>
              <w:tc>
                <w:tcPr>
                  <w:tcW w:w="1423" w:type="dxa"/>
                  <w:tcBorders>
                    <w:tl2br w:val="nil"/>
                    <w:tr2bl w:val="nil"/>
                  </w:tcBorders>
                  <w:noWrap/>
                  <w:vAlign w:val="center"/>
                </w:tcPr>
                <w:p w14:paraId="0FD2391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危险废物</w:t>
                  </w:r>
                </w:p>
              </w:tc>
            </w:tr>
            <w:tr w14:paraId="45907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678" w:type="dxa"/>
                  <w:tcBorders>
                    <w:tl2br w:val="nil"/>
                    <w:tr2bl w:val="nil"/>
                  </w:tcBorders>
                  <w:shd w:val="clear" w:color="auto" w:fill="auto"/>
                  <w:noWrap w:val="0"/>
                  <w:vAlign w:val="center"/>
                </w:tcPr>
                <w:p w14:paraId="7884CFC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10</w:t>
                  </w:r>
                </w:p>
              </w:tc>
              <w:tc>
                <w:tcPr>
                  <w:tcW w:w="1707" w:type="dxa"/>
                  <w:tcBorders>
                    <w:tl2br w:val="nil"/>
                    <w:tr2bl w:val="nil"/>
                  </w:tcBorders>
                  <w:shd w:val="clear" w:color="auto" w:fill="auto"/>
                  <w:noWrap/>
                  <w:vAlign w:val="center"/>
                </w:tcPr>
                <w:p w14:paraId="2475223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职工生活</w:t>
                  </w:r>
                </w:p>
              </w:tc>
              <w:tc>
                <w:tcPr>
                  <w:tcW w:w="1108" w:type="dxa"/>
                  <w:tcBorders>
                    <w:tl2br w:val="nil"/>
                    <w:tr2bl w:val="nil"/>
                  </w:tcBorders>
                  <w:shd w:val="clear" w:color="auto" w:fill="auto"/>
                  <w:noWrap/>
                  <w:vAlign w:val="center"/>
                </w:tcPr>
                <w:p w14:paraId="3659B89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S1</w:t>
                  </w:r>
                  <w:r>
                    <w:rPr>
                      <w:rFonts w:hint="eastAsia" w:ascii="Times New Roman" w:hAnsi="Times New Roman" w:eastAsia="宋体" w:cs="Times New Roman"/>
                      <w:i w:val="0"/>
                      <w:iCs w:val="0"/>
                      <w:color w:val="000000"/>
                      <w:kern w:val="0"/>
                      <w:sz w:val="21"/>
                      <w:szCs w:val="21"/>
                      <w:u w:val="none"/>
                      <w:lang w:val="en-US" w:eastAsia="zh-CN" w:bidi="ar"/>
                    </w:rPr>
                    <w:t>2</w:t>
                  </w:r>
                </w:p>
              </w:tc>
              <w:tc>
                <w:tcPr>
                  <w:tcW w:w="1837" w:type="dxa"/>
                  <w:tcBorders>
                    <w:tl2br w:val="nil"/>
                    <w:tr2bl w:val="nil"/>
                  </w:tcBorders>
                  <w:noWrap/>
                  <w:vAlign w:val="center"/>
                </w:tcPr>
                <w:p w14:paraId="424600E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生活垃圾</w:t>
                  </w:r>
                </w:p>
              </w:tc>
              <w:tc>
                <w:tcPr>
                  <w:tcW w:w="2272" w:type="dxa"/>
                  <w:tcBorders>
                    <w:tl2br w:val="nil"/>
                    <w:tr2bl w:val="nil"/>
                  </w:tcBorders>
                  <w:noWrap/>
                  <w:vAlign w:val="center"/>
                </w:tcPr>
                <w:p w14:paraId="57CAC01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979" w:type="dxa"/>
                  <w:tcBorders>
                    <w:tl2br w:val="nil"/>
                    <w:tr2bl w:val="nil"/>
                  </w:tcBorders>
                  <w:noWrap/>
                  <w:vAlign w:val="center"/>
                </w:tcPr>
                <w:p w14:paraId="427944D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固态</w:t>
                  </w:r>
                </w:p>
              </w:tc>
              <w:tc>
                <w:tcPr>
                  <w:tcW w:w="1273" w:type="dxa"/>
                  <w:tcBorders>
                    <w:tl2br w:val="nil"/>
                    <w:tr2bl w:val="nil"/>
                  </w:tcBorders>
                  <w:noWrap/>
                  <w:vAlign w:val="center"/>
                </w:tcPr>
                <w:p w14:paraId="6B19D69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是</w:t>
                  </w:r>
                </w:p>
              </w:tc>
              <w:tc>
                <w:tcPr>
                  <w:tcW w:w="1658" w:type="dxa"/>
                  <w:tcBorders>
                    <w:tl2br w:val="nil"/>
                    <w:tr2bl w:val="nil"/>
                  </w:tcBorders>
                  <w:noWrap/>
                  <w:vAlign w:val="center"/>
                </w:tcPr>
                <w:p w14:paraId="0024395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4.1a、4.1b、4.1c</w:t>
                  </w:r>
                </w:p>
              </w:tc>
              <w:tc>
                <w:tcPr>
                  <w:tcW w:w="1423" w:type="dxa"/>
                  <w:tcBorders>
                    <w:tl2br w:val="nil"/>
                    <w:tr2bl w:val="nil"/>
                  </w:tcBorders>
                  <w:noWrap/>
                  <w:vAlign w:val="center"/>
                </w:tcPr>
                <w:p w14:paraId="2B766A2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r>
          </w:tbl>
          <w:p w14:paraId="10EDB4D1">
            <w:pPr>
              <w:bidi w:val="0"/>
              <w:adjustRightInd w:val="0"/>
              <w:snapToGrid w:val="0"/>
              <w:spacing w:line="480" w:lineRule="atLeast"/>
              <w:ind w:firstLine="482" w:firstLineChars="200"/>
              <w:rPr>
                <w:rFonts w:hint="default" w:ascii="Times New Roman" w:hAnsi="Times New Roman" w:eastAsia="宋体" w:cs="Times New Roman"/>
                <w:b/>
                <w:bCs/>
                <w:caps w:val="0"/>
                <w:color w:val="auto"/>
                <w:spacing w:val="0"/>
                <w:kern w:val="2"/>
                <w:position w:val="0"/>
                <w:sz w:val="24"/>
                <w:szCs w:val="20"/>
                <w:lang w:val="en-US" w:eastAsia="zh-CN" w:bidi="ar-SA"/>
              </w:rPr>
            </w:pPr>
            <w:r>
              <w:rPr>
                <w:rFonts w:hint="eastAsia" w:cs="Times New Roman"/>
                <w:b/>
                <w:bCs/>
                <w:caps w:val="0"/>
                <w:color w:val="auto"/>
                <w:spacing w:val="0"/>
                <w:kern w:val="2"/>
                <w:position w:val="0"/>
                <w:sz w:val="24"/>
                <w:szCs w:val="20"/>
                <w:lang w:val="en-US" w:eastAsia="zh-CN" w:bidi="ar-SA"/>
              </w:rPr>
              <w:t>（</w:t>
            </w:r>
            <w:r>
              <w:rPr>
                <w:rFonts w:hint="default" w:ascii="Times New Roman" w:hAnsi="Times New Roman" w:eastAsia="宋体" w:cs="Times New Roman"/>
                <w:b/>
                <w:bCs/>
                <w:caps w:val="0"/>
                <w:color w:val="auto"/>
                <w:spacing w:val="0"/>
                <w:kern w:val="2"/>
                <w:position w:val="0"/>
                <w:sz w:val="24"/>
                <w:szCs w:val="20"/>
                <w:lang w:val="en-US" w:eastAsia="zh-CN" w:bidi="ar-SA"/>
              </w:rPr>
              <w:t>二）源强核算</w:t>
            </w:r>
          </w:p>
          <w:p w14:paraId="6F6D16D5">
            <w:pPr>
              <w:pStyle w:val="49"/>
              <w:keepNext w:val="0"/>
              <w:keepLines w:val="0"/>
              <w:pageBreakBefore w:val="0"/>
              <w:widowControl w:val="0"/>
              <w:kinsoku/>
              <w:wordWrap/>
              <w:overflowPunct/>
              <w:topLinePunct w:val="0"/>
              <w:autoSpaceDE/>
              <w:autoSpaceDN/>
              <w:bidi w:val="0"/>
              <w:adjustRightInd/>
              <w:snapToGrid/>
              <w:spacing w:line="480" w:lineRule="atLeast"/>
              <w:ind w:firstLine="480" w:firstLineChars="200"/>
              <w:jc w:val="both"/>
              <w:textAlignment w:val="auto"/>
              <w:rPr>
                <w:rFonts w:hint="default" w:ascii="Times New Roman" w:hAnsi="Times New Roman" w:eastAsia="宋体" w:cs="Times New Roman"/>
                <w:color w:val="auto"/>
                <w:spacing w:val="0"/>
                <w:kern w:val="2"/>
                <w:position w:val="0"/>
                <w:sz w:val="24"/>
                <w:szCs w:val="20"/>
                <w:lang w:val="en-US" w:eastAsia="zh-CN" w:bidi="ar-SA"/>
              </w:rPr>
            </w:pPr>
            <w:r>
              <w:rPr>
                <w:rFonts w:hint="default" w:ascii="Times New Roman" w:hAnsi="Times New Roman" w:eastAsia="宋体" w:cs="Times New Roman"/>
                <w:caps w:val="0"/>
                <w:color w:val="auto"/>
                <w:spacing w:val="0"/>
                <w:kern w:val="2"/>
                <w:position w:val="0"/>
                <w:sz w:val="24"/>
                <w:szCs w:val="20"/>
                <w:lang w:val="en-US" w:eastAsia="zh-CN" w:bidi="ar-SA"/>
              </w:rPr>
              <w:t>项目生产过程中产生的固体废物产生情况及排放信息一览表如下表所示：</w:t>
            </w:r>
          </w:p>
          <w:p w14:paraId="4356115E">
            <w:pPr>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b/>
                <w:bCs/>
                <w:caps w:val="0"/>
                <w:color w:val="auto"/>
                <w:spacing w:val="0"/>
                <w:position w:val="0"/>
                <w:sz w:val="21"/>
                <w:szCs w:val="16"/>
                <w:lang w:val="en-US" w:eastAsia="zh-CN"/>
              </w:rPr>
            </w:pPr>
          </w:p>
          <w:p w14:paraId="2AE7A861">
            <w:pPr>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b/>
                <w:bCs/>
                <w:caps w:val="0"/>
                <w:color w:val="auto"/>
                <w:spacing w:val="0"/>
                <w:position w:val="0"/>
                <w:sz w:val="21"/>
                <w:szCs w:val="16"/>
                <w:lang w:val="en-US" w:eastAsia="zh-CN"/>
              </w:rPr>
            </w:pPr>
          </w:p>
          <w:p w14:paraId="43213C63">
            <w:pPr>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b/>
                <w:bCs/>
                <w:caps w:val="0"/>
                <w:color w:val="auto"/>
                <w:spacing w:val="0"/>
                <w:position w:val="0"/>
                <w:sz w:val="21"/>
                <w:szCs w:val="16"/>
                <w:lang w:val="en-US" w:eastAsia="zh-CN"/>
              </w:rPr>
            </w:pPr>
          </w:p>
          <w:p w14:paraId="7AC7F111">
            <w:pPr>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caps w:val="0"/>
                <w:color w:val="auto"/>
                <w:spacing w:val="0"/>
                <w:position w:val="0"/>
                <w:lang w:val="en-US" w:eastAsia="zh-CN"/>
              </w:rPr>
            </w:pPr>
            <w:r>
              <w:rPr>
                <w:rFonts w:hint="default" w:ascii="Times New Roman" w:hAnsi="Times New Roman" w:eastAsia="宋体" w:cs="Times New Roman"/>
                <w:b/>
                <w:bCs/>
                <w:caps w:val="0"/>
                <w:color w:val="auto"/>
                <w:spacing w:val="0"/>
                <w:position w:val="0"/>
                <w:sz w:val="21"/>
                <w:szCs w:val="16"/>
                <w:lang w:val="en-US" w:eastAsia="zh-CN"/>
              </w:rPr>
              <w:t>表</w:t>
            </w:r>
            <w:r>
              <w:rPr>
                <w:rFonts w:hint="default" w:ascii="Times New Roman" w:hAnsi="Times New Roman" w:cs="Times New Roman"/>
                <w:b/>
                <w:bCs/>
                <w:caps w:val="0"/>
                <w:color w:val="auto"/>
                <w:spacing w:val="0"/>
                <w:position w:val="0"/>
                <w:sz w:val="21"/>
                <w:szCs w:val="16"/>
                <w:lang w:val="en-US" w:eastAsia="zh-CN"/>
              </w:rPr>
              <w:t>4-</w:t>
            </w:r>
            <w:r>
              <w:rPr>
                <w:rFonts w:hint="eastAsia" w:cs="Times New Roman"/>
                <w:b/>
                <w:bCs/>
                <w:caps w:val="0"/>
                <w:color w:val="auto"/>
                <w:spacing w:val="0"/>
                <w:position w:val="0"/>
                <w:sz w:val="21"/>
                <w:szCs w:val="16"/>
                <w:lang w:val="en-US" w:eastAsia="zh-CN"/>
              </w:rPr>
              <w:t>31</w:t>
            </w:r>
            <w:r>
              <w:rPr>
                <w:rFonts w:hint="default" w:ascii="Times New Roman" w:hAnsi="Times New Roman" w:eastAsia="宋体" w:cs="Times New Roman"/>
                <w:b/>
                <w:bCs/>
                <w:caps w:val="0"/>
                <w:color w:val="auto"/>
                <w:spacing w:val="0"/>
                <w:position w:val="0"/>
                <w:sz w:val="21"/>
                <w:szCs w:val="16"/>
                <w:lang w:val="en-US" w:eastAsia="zh-CN"/>
              </w:rPr>
              <w:t xml:space="preserve">  项目固体废物产生情况汇总</w:t>
            </w:r>
          </w:p>
          <w:tbl>
            <w:tblPr>
              <w:tblStyle w:val="26"/>
              <w:tblW w:w="130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6"/>
              <w:gridCol w:w="1575"/>
              <w:gridCol w:w="1117"/>
              <w:gridCol w:w="2093"/>
              <w:gridCol w:w="1182"/>
              <w:gridCol w:w="6634"/>
            </w:tblGrid>
            <w:tr w14:paraId="38F60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jc w:val="center"/>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7BE8F3E8">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vertAlign w:val="baseline"/>
                    </w:rPr>
                  </w:pPr>
                  <w:r>
                    <w:rPr>
                      <w:rStyle w:val="67"/>
                      <w:rFonts w:hint="default" w:ascii="Times New Roman" w:hAnsi="Times New Roman" w:cs="Times New Roman"/>
                      <w:b/>
                      <w:bCs/>
                      <w:color w:val="auto"/>
                      <w:sz w:val="21"/>
                      <w:szCs w:val="21"/>
                      <w:vertAlign w:val="baseline"/>
                      <w:lang w:val="en-US" w:eastAsia="zh-CN" w:bidi="ar"/>
                    </w:rPr>
                    <w:t>序号</w:t>
                  </w:r>
                </w:p>
              </w:tc>
              <w:tc>
                <w:tcPr>
                  <w:tcW w:w="1575" w:type="dxa"/>
                  <w:tcBorders>
                    <w:top w:val="single" w:color="000000" w:sz="4" w:space="0"/>
                    <w:left w:val="single" w:color="000000" w:sz="4" w:space="0"/>
                    <w:bottom w:val="single" w:color="000000" w:sz="4" w:space="0"/>
                    <w:right w:val="single" w:color="000000" w:sz="4" w:space="0"/>
                  </w:tcBorders>
                  <w:noWrap w:val="0"/>
                  <w:vAlign w:val="center"/>
                </w:tcPr>
                <w:p w14:paraId="7E296038">
                  <w:pPr>
                    <w:keepNext w:val="0"/>
                    <w:keepLines w:val="0"/>
                    <w:widowControl/>
                    <w:suppressLineNumbers w:val="0"/>
                    <w:jc w:val="center"/>
                    <w:textAlignment w:val="center"/>
                    <w:rPr>
                      <w:rStyle w:val="67"/>
                      <w:rFonts w:hint="default" w:ascii="Times New Roman" w:hAnsi="Times New Roman" w:eastAsia="宋体" w:cs="Times New Roman"/>
                      <w:b/>
                      <w:bCs/>
                      <w:i w:val="0"/>
                      <w:iCs w:val="0"/>
                      <w:color w:val="auto"/>
                      <w:sz w:val="21"/>
                      <w:szCs w:val="21"/>
                      <w:vertAlign w:val="baseline"/>
                      <w:lang w:val="en-US" w:eastAsia="zh-CN" w:bidi="ar"/>
                    </w:rPr>
                  </w:pPr>
                  <w:r>
                    <w:rPr>
                      <w:rStyle w:val="67"/>
                      <w:rFonts w:hint="default" w:ascii="Times New Roman" w:hAnsi="Times New Roman" w:eastAsia="宋体" w:cs="Times New Roman"/>
                      <w:b/>
                      <w:bCs/>
                      <w:i w:val="0"/>
                      <w:iCs w:val="0"/>
                      <w:color w:val="auto"/>
                      <w:sz w:val="21"/>
                      <w:szCs w:val="21"/>
                      <w:vertAlign w:val="baseline"/>
                      <w:lang w:val="en-US" w:eastAsia="zh-CN" w:bidi="ar"/>
                    </w:rPr>
                    <w:t>固体废物名称</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2C84FA71">
                  <w:pPr>
                    <w:keepNext w:val="0"/>
                    <w:keepLines w:val="0"/>
                    <w:widowControl/>
                    <w:suppressLineNumbers w:val="0"/>
                    <w:jc w:val="center"/>
                    <w:textAlignment w:val="center"/>
                    <w:rPr>
                      <w:rStyle w:val="67"/>
                      <w:rFonts w:hint="default" w:ascii="Times New Roman" w:hAnsi="Times New Roman" w:eastAsia="宋体" w:cs="Times New Roman"/>
                      <w:b/>
                      <w:bCs/>
                      <w:i w:val="0"/>
                      <w:iCs w:val="0"/>
                      <w:color w:val="auto"/>
                      <w:sz w:val="21"/>
                      <w:szCs w:val="21"/>
                      <w:vertAlign w:val="baseline"/>
                      <w:lang w:val="en-US" w:eastAsia="zh-CN" w:bidi="ar"/>
                    </w:rPr>
                  </w:pPr>
                  <w:r>
                    <w:rPr>
                      <w:rStyle w:val="67"/>
                      <w:rFonts w:hint="default" w:ascii="Times New Roman" w:hAnsi="Times New Roman" w:eastAsia="宋体" w:cs="Times New Roman"/>
                      <w:b/>
                      <w:bCs/>
                      <w:i w:val="0"/>
                      <w:iCs w:val="0"/>
                      <w:color w:val="auto"/>
                      <w:sz w:val="21"/>
                      <w:szCs w:val="21"/>
                      <w:vertAlign w:val="baseline"/>
                      <w:lang w:val="en-US" w:eastAsia="zh-CN" w:bidi="ar"/>
                    </w:rPr>
                    <w:t>固废类别</w:t>
                  </w: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49AA2E39">
                  <w:pPr>
                    <w:keepNext w:val="0"/>
                    <w:keepLines w:val="0"/>
                    <w:widowControl/>
                    <w:suppressLineNumbers w:val="0"/>
                    <w:jc w:val="center"/>
                    <w:textAlignment w:val="center"/>
                    <w:rPr>
                      <w:rStyle w:val="67"/>
                      <w:rFonts w:hint="default" w:ascii="Times New Roman" w:hAnsi="Times New Roman" w:eastAsia="宋体" w:cs="Times New Roman"/>
                      <w:b/>
                      <w:bCs/>
                      <w:i w:val="0"/>
                      <w:iCs w:val="0"/>
                      <w:color w:val="auto"/>
                      <w:sz w:val="21"/>
                      <w:szCs w:val="21"/>
                      <w:vertAlign w:val="baseline"/>
                      <w:lang w:val="en-US" w:eastAsia="zh-CN" w:bidi="ar"/>
                    </w:rPr>
                  </w:pPr>
                  <w:r>
                    <w:rPr>
                      <w:rStyle w:val="67"/>
                      <w:rFonts w:hint="default" w:ascii="Times New Roman" w:hAnsi="Times New Roman" w:eastAsia="宋体" w:cs="Times New Roman"/>
                      <w:b/>
                      <w:bCs/>
                      <w:i w:val="0"/>
                      <w:iCs w:val="0"/>
                      <w:color w:val="auto"/>
                      <w:sz w:val="21"/>
                      <w:szCs w:val="21"/>
                      <w:vertAlign w:val="baseline"/>
                      <w:lang w:val="en-US" w:eastAsia="zh-CN" w:bidi="ar"/>
                    </w:rPr>
                    <w:t>类别及代码</w:t>
                  </w:r>
                </w:p>
              </w:tc>
              <w:tc>
                <w:tcPr>
                  <w:tcW w:w="1182" w:type="dxa"/>
                  <w:tcBorders>
                    <w:top w:val="single" w:color="000000" w:sz="4" w:space="0"/>
                    <w:left w:val="single" w:color="000000" w:sz="4" w:space="0"/>
                    <w:bottom w:val="single" w:color="000000" w:sz="4" w:space="0"/>
                    <w:right w:val="single" w:color="000000" w:sz="4" w:space="0"/>
                  </w:tcBorders>
                  <w:noWrap w:val="0"/>
                  <w:vAlign w:val="center"/>
                </w:tcPr>
                <w:p w14:paraId="17FDB6D0">
                  <w:pPr>
                    <w:keepNext w:val="0"/>
                    <w:keepLines w:val="0"/>
                    <w:widowControl/>
                    <w:suppressLineNumbers w:val="0"/>
                    <w:jc w:val="center"/>
                    <w:textAlignment w:val="center"/>
                    <w:rPr>
                      <w:rStyle w:val="67"/>
                      <w:rFonts w:hint="default" w:ascii="Times New Roman" w:hAnsi="Times New Roman" w:eastAsia="宋体" w:cs="Times New Roman"/>
                      <w:b/>
                      <w:bCs/>
                      <w:i w:val="0"/>
                      <w:iCs w:val="0"/>
                      <w:color w:val="auto"/>
                      <w:sz w:val="21"/>
                      <w:szCs w:val="21"/>
                      <w:vertAlign w:val="baseline"/>
                      <w:lang w:val="en-US" w:eastAsia="zh-CN" w:bidi="ar"/>
                    </w:rPr>
                  </w:pPr>
                  <w:r>
                    <w:rPr>
                      <w:rStyle w:val="67"/>
                      <w:rFonts w:hint="default" w:ascii="Times New Roman" w:hAnsi="Times New Roman" w:eastAsia="宋体" w:cs="Times New Roman"/>
                      <w:b/>
                      <w:bCs/>
                      <w:i w:val="0"/>
                      <w:iCs w:val="0"/>
                      <w:color w:val="auto"/>
                      <w:sz w:val="21"/>
                      <w:szCs w:val="21"/>
                      <w:vertAlign w:val="baseline"/>
                      <w:lang w:val="en-US" w:eastAsia="zh-CN" w:bidi="ar"/>
                    </w:rPr>
                    <w:t>产生量</w:t>
                  </w:r>
                  <w:r>
                    <w:rPr>
                      <w:rStyle w:val="67"/>
                      <w:rFonts w:hint="default" w:ascii="Times New Roman" w:hAnsi="Times New Roman" w:cs="Times New Roman"/>
                      <w:b/>
                      <w:bCs/>
                      <w:i w:val="0"/>
                      <w:iCs w:val="0"/>
                      <w:color w:val="auto"/>
                      <w:sz w:val="21"/>
                      <w:szCs w:val="21"/>
                      <w:vertAlign w:val="baseline"/>
                      <w:lang w:val="en-US" w:eastAsia="zh-CN" w:bidi="ar"/>
                    </w:rPr>
                    <w:t>（</w:t>
                  </w:r>
                  <w:r>
                    <w:rPr>
                      <w:rStyle w:val="67"/>
                      <w:rFonts w:hint="default" w:ascii="Times New Roman" w:hAnsi="Times New Roman" w:eastAsia="宋体" w:cs="Times New Roman"/>
                      <w:b/>
                      <w:bCs/>
                      <w:i w:val="0"/>
                      <w:iCs w:val="0"/>
                      <w:color w:val="auto"/>
                      <w:sz w:val="21"/>
                      <w:szCs w:val="21"/>
                      <w:vertAlign w:val="baseline"/>
                      <w:lang w:val="en-US" w:eastAsia="zh-CN" w:bidi="ar"/>
                    </w:rPr>
                    <w:t>t/a）</w:t>
                  </w:r>
                </w:p>
              </w:tc>
              <w:tc>
                <w:tcPr>
                  <w:tcW w:w="6634" w:type="dxa"/>
                  <w:tcBorders>
                    <w:top w:val="single" w:color="000000" w:sz="4" w:space="0"/>
                    <w:left w:val="single" w:color="000000" w:sz="4" w:space="0"/>
                    <w:bottom w:val="single" w:color="000000" w:sz="4" w:space="0"/>
                    <w:right w:val="single" w:color="000000" w:sz="4" w:space="0"/>
                  </w:tcBorders>
                  <w:noWrap w:val="0"/>
                  <w:vAlign w:val="center"/>
                </w:tcPr>
                <w:p w14:paraId="02F7F567">
                  <w:pPr>
                    <w:keepNext w:val="0"/>
                    <w:keepLines w:val="0"/>
                    <w:widowControl/>
                    <w:suppressLineNumbers w:val="0"/>
                    <w:jc w:val="center"/>
                    <w:textAlignment w:val="center"/>
                    <w:rPr>
                      <w:rStyle w:val="67"/>
                      <w:rFonts w:hint="default" w:ascii="Times New Roman" w:hAnsi="Times New Roman" w:eastAsia="宋体" w:cs="Times New Roman"/>
                      <w:b/>
                      <w:bCs/>
                      <w:i w:val="0"/>
                      <w:iCs w:val="0"/>
                      <w:color w:val="auto"/>
                      <w:sz w:val="21"/>
                      <w:szCs w:val="21"/>
                      <w:vertAlign w:val="baseline"/>
                      <w:lang w:val="en-US" w:eastAsia="zh-CN" w:bidi="ar"/>
                    </w:rPr>
                  </w:pPr>
                  <w:r>
                    <w:rPr>
                      <w:rStyle w:val="67"/>
                      <w:rFonts w:hint="default" w:ascii="Times New Roman" w:hAnsi="Times New Roman" w:eastAsia="宋体" w:cs="Times New Roman"/>
                      <w:b/>
                      <w:bCs/>
                      <w:i w:val="0"/>
                      <w:iCs w:val="0"/>
                      <w:color w:val="auto"/>
                      <w:sz w:val="21"/>
                      <w:szCs w:val="21"/>
                      <w:vertAlign w:val="baseline"/>
                      <w:lang w:val="en-US" w:eastAsia="zh-CN" w:bidi="ar"/>
                    </w:rPr>
                    <w:t>产生量核算</w:t>
                  </w:r>
                </w:p>
              </w:tc>
            </w:tr>
            <w:tr w14:paraId="494A4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B7D3F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528C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沉淀池泥渣</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494E9">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一般固废</w:t>
                  </w:r>
                </w:p>
              </w:tc>
              <w:tc>
                <w:tcPr>
                  <w:tcW w:w="2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14C8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color w:val="auto"/>
                      <w:kern w:val="0"/>
                      <w:sz w:val="21"/>
                      <w:szCs w:val="21"/>
                      <w:lang w:bidi="ar"/>
                    </w:rPr>
                    <w:t>SW07：140-001-S07</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4FD35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eastAsia" w:cs="Times New Roman"/>
                      <w:i w:val="0"/>
                      <w:iCs w:val="0"/>
                      <w:color w:val="auto"/>
                      <w:sz w:val="21"/>
                      <w:szCs w:val="21"/>
                      <w:u w:val="none"/>
                      <w:vertAlign w:val="baseline"/>
                      <w:lang w:val="en-US" w:eastAsia="zh-CN"/>
                    </w:rPr>
                    <w:t>47.868</w:t>
                  </w:r>
                </w:p>
              </w:tc>
              <w:tc>
                <w:tcPr>
                  <w:tcW w:w="66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4520A">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ascii="Times New Roman" w:hAnsi="Times New Roman" w:eastAsia="宋体" w:cs="Times New Roman"/>
                      <w:i w:val="0"/>
                      <w:iCs w:val="0"/>
                      <w:color w:val="auto"/>
                      <w:sz w:val="21"/>
                      <w:szCs w:val="21"/>
                      <w:u w:val="none"/>
                      <w:vertAlign w:val="baseline"/>
                      <w:lang w:val="en-US" w:eastAsia="zh-CN"/>
                    </w:rPr>
                    <w:t>根据物料平衡，碱洗沉淀池、洗砂沉淀池泥渣产生量为19.087t/a，根据废水污染源强核算，</w:t>
                  </w:r>
                  <w:r>
                    <w:rPr>
                      <w:rFonts w:hint="eastAsia" w:cs="Times New Roman"/>
                      <w:i w:val="0"/>
                      <w:iCs w:val="0"/>
                      <w:color w:val="auto"/>
                      <w:sz w:val="21"/>
                      <w:szCs w:val="21"/>
                      <w:u w:val="none"/>
                      <w:vertAlign w:val="baseline"/>
                      <w:lang w:val="en-US" w:eastAsia="zh-CN"/>
                    </w:rPr>
                    <w:t>污水处理池</w:t>
                  </w:r>
                  <w:r>
                    <w:rPr>
                      <w:rFonts w:hint="default" w:ascii="Times New Roman" w:hAnsi="Times New Roman" w:eastAsia="宋体" w:cs="Times New Roman"/>
                      <w:i w:val="0"/>
                      <w:iCs w:val="0"/>
                      <w:color w:val="auto"/>
                      <w:sz w:val="21"/>
                      <w:szCs w:val="21"/>
                      <w:u w:val="none"/>
                      <w:vertAlign w:val="baseline"/>
                      <w:lang w:val="en-US" w:eastAsia="zh-CN"/>
                    </w:rPr>
                    <w:t>SS为</w:t>
                  </w:r>
                  <w:r>
                    <w:rPr>
                      <w:rFonts w:hint="eastAsia" w:cs="Times New Roman"/>
                      <w:i w:val="0"/>
                      <w:iCs w:val="0"/>
                      <w:color w:val="auto"/>
                      <w:sz w:val="21"/>
                      <w:szCs w:val="21"/>
                      <w:u w:val="none"/>
                      <w:vertAlign w:val="baseline"/>
                      <w:lang w:val="en-US" w:eastAsia="zh-CN"/>
                    </w:rPr>
                    <w:t>0.06</w:t>
                  </w:r>
                  <w:r>
                    <w:rPr>
                      <w:rFonts w:hint="default" w:ascii="Times New Roman" w:hAnsi="Times New Roman" w:eastAsia="宋体" w:cs="Times New Roman"/>
                      <w:i w:val="0"/>
                      <w:iCs w:val="0"/>
                      <w:color w:val="auto"/>
                      <w:sz w:val="21"/>
                      <w:szCs w:val="21"/>
                      <w:u w:val="none"/>
                      <w:vertAlign w:val="baseline"/>
                      <w:lang w:val="en-US" w:eastAsia="zh-CN"/>
                    </w:rPr>
                    <w:t>t/a。沉淀池渣压滤后含水率取60%，则泥渣量约</w:t>
                  </w:r>
                  <w:r>
                    <w:rPr>
                      <w:rFonts w:hint="eastAsia" w:cs="Times New Roman"/>
                      <w:i w:val="0"/>
                      <w:iCs w:val="0"/>
                      <w:color w:val="auto"/>
                      <w:sz w:val="21"/>
                      <w:szCs w:val="21"/>
                      <w:u w:val="none"/>
                      <w:vertAlign w:val="baseline"/>
                      <w:lang w:val="en-US" w:eastAsia="zh-CN"/>
                    </w:rPr>
                    <w:t>47.868</w:t>
                  </w:r>
                  <w:r>
                    <w:rPr>
                      <w:rFonts w:hint="default" w:ascii="Times New Roman" w:hAnsi="Times New Roman" w:eastAsia="宋体" w:cs="Times New Roman"/>
                      <w:i w:val="0"/>
                      <w:iCs w:val="0"/>
                      <w:color w:val="auto"/>
                      <w:sz w:val="21"/>
                      <w:szCs w:val="21"/>
                      <w:u w:val="none"/>
                      <w:vertAlign w:val="baseline"/>
                      <w:lang w:val="en-US" w:eastAsia="zh-CN"/>
                    </w:rPr>
                    <w:t>t/a。</w:t>
                  </w:r>
                </w:p>
              </w:tc>
            </w:tr>
            <w:tr w14:paraId="52173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96A8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F55E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除尘器收尘</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E089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一般固废</w:t>
                  </w:r>
                </w:p>
              </w:tc>
              <w:tc>
                <w:tcPr>
                  <w:tcW w:w="2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0ADD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SW59：900-009-S59</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D397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
                    </w:rPr>
                  </w:pPr>
                  <w:r>
                    <w:rPr>
                      <w:rStyle w:val="67"/>
                      <w:rFonts w:hint="default" w:ascii="Times New Roman" w:hAnsi="Times New Roman" w:cs="Times New Roman"/>
                      <w:i w:val="0"/>
                      <w:iCs w:val="0"/>
                      <w:color w:val="auto"/>
                      <w:sz w:val="21"/>
                      <w:szCs w:val="21"/>
                      <w:vertAlign w:val="baseline"/>
                      <w:lang w:val="en-US" w:eastAsia="zh-CN" w:bidi="ar"/>
                    </w:rPr>
                    <w:t>20.475</w:t>
                  </w:r>
                </w:p>
              </w:tc>
              <w:tc>
                <w:tcPr>
                  <w:tcW w:w="66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57891">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i w:val="0"/>
                      <w:iCs w:val="0"/>
                      <w:color w:val="auto"/>
                      <w:kern w:val="2"/>
                      <w:sz w:val="21"/>
                      <w:szCs w:val="21"/>
                      <w:u w:val="none"/>
                      <w:vertAlign w:val="baseline"/>
                      <w:lang w:val="en-US" w:eastAsia="zh-CN" w:bidi="ar"/>
                    </w:rPr>
                  </w:pPr>
                  <w:r>
                    <w:rPr>
                      <w:rStyle w:val="67"/>
                      <w:rFonts w:hint="default" w:ascii="Times New Roman" w:hAnsi="Times New Roman" w:eastAsia="宋体" w:cs="Times New Roman"/>
                      <w:i w:val="0"/>
                      <w:iCs w:val="0"/>
                      <w:color w:val="auto"/>
                      <w:sz w:val="21"/>
                      <w:szCs w:val="21"/>
                      <w:vertAlign w:val="baseline"/>
                      <w:lang w:val="en-US" w:eastAsia="zh-CN" w:bidi="ar"/>
                    </w:rPr>
                    <w:t>根据前文废气源强核算，计算除尘器收尘量约</w:t>
                  </w:r>
                  <w:r>
                    <w:rPr>
                      <w:rStyle w:val="67"/>
                      <w:rFonts w:hint="default" w:ascii="Times New Roman" w:hAnsi="Times New Roman" w:cs="Times New Roman"/>
                      <w:i w:val="0"/>
                      <w:iCs w:val="0"/>
                      <w:color w:val="auto"/>
                      <w:sz w:val="21"/>
                      <w:szCs w:val="21"/>
                      <w:vertAlign w:val="baseline"/>
                      <w:lang w:val="en-US" w:eastAsia="zh-CN" w:bidi="ar"/>
                    </w:rPr>
                    <w:t>20.475</w:t>
                  </w:r>
                  <w:r>
                    <w:rPr>
                      <w:rStyle w:val="67"/>
                      <w:rFonts w:hint="default" w:ascii="Times New Roman" w:hAnsi="Times New Roman" w:eastAsia="宋体" w:cs="Times New Roman"/>
                      <w:i w:val="0"/>
                      <w:iCs w:val="0"/>
                      <w:color w:val="auto"/>
                      <w:sz w:val="21"/>
                      <w:szCs w:val="21"/>
                      <w:vertAlign w:val="baseline"/>
                      <w:lang w:val="en-US" w:eastAsia="zh-CN" w:bidi="ar"/>
                    </w:rPr>
                    <w:t>t/a。</w:t>
                  </w:r>
                </w:p>
              </w:tc>
            </w:tr>
            <w:tr w14:paraId="4D309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564C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3</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8CF1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0"/>
                      <w:sz w:val="21"/>
                      <w:szCs w:val="21"/>
                      <w:u w:val="none"/>
                      <w:lang w:val="en-US" w:eastAsia="zh-CN" w:bidi="ar"/>
                    </w:rPr>
                    <w:t>废布袋</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F052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一般固废</w:t>
                  </w:r>
                </w:p>
              </w:tc>
              <w:tc>
                <w:tcPr>
                  <w:tcW w:w="2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3CF4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SW59：900-009-S59</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E47B5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eastAsia" w:cs="Times New Roman"/>
                      <w:i w:val="0"/>
                      <w:iCs w:val="0"/>
                      <w:color w:val="auto"/>
                      <w:sz w:val="21"/>
                      <w:szCs w:val="21"/>
                      <w:u w:val="none"/>
                      <w:vertAlign w:val="baseline"/>
                      <w:lang w:val="en-US" w:eastAsia="zh-CN"/>
                    </w:rPr>
                    <w:t>6</w:t>
                  </w:r>
                  <w:r>
                    <w:rPr>
                      <w:rStyle w:val="67"/>
                      <w:rFonts w:hint="default" w:ascii="Times New Roman" w:hAnsi="Times New Roman" w:cs="Times New Roman"/>
                      <w:i w:val="0"/>
                      <w:iCs w:val="0"/>
                      <w:color w:val="auto"/>
                      <w:sz w:val="21"/>
                      <w:szCs w:val="21"/>
                      <w:vertAlign w:val="baseline"/>
                      <w:lang w:val="en-US" w:eastAsia="zh-CN" w:bidi="ar"/>
                    </w:rPr>
                    <w:t>个</w:t>
                  </w:r>
                  <w:r>
                    <w:rPr>
                      <w:rStyle w:val="67"/>
                      <w:rFonts w:hint="eastAsia" w:ascii="Times New Roman" w:hAnsi="Times New Roman" w:cs="Times New Roman"/>
                      <w:i w:val="0"/>
                      <w:iCs w:val="0"/>
                      <w:color w:val="auto"/>
                      <w:sz w:val="21"/>
                      <w:szCs w:val="21"/>
                      <w:vertAlign w:val="baseline"/>
                      <w:lang w:val="en-US" w:eastAsia="zh-CN" w:bidi="ar"/>
                    </w:rPr>
                    <w:t>/年</w:t>
                  </w:r>
                </w:p>
              </w:tc>
              <w:tc>
                <w:tcPr>
                  <w:tcW w:w="66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FEF87E">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ascii="Times New Roman" w:hAnsi="Times New Roman" w:eastAsia="宋体" w:cs="Times New Roman"/>
                      <w:i w:val="0"/>
                      <w:iCs w:val="0"/>
                      <w:color w:val="auto"/>
                      <w:sz w:val="21"/>
                      <w:szCs w:val="21"/>
                      <w:u w:val="none"/>
                      <w:vertAlign w:val="baseline"/>
                      <w:lang w:val="en-US" w:eastAsia="zh-CN"/>
                    </w:rPr>
                    <w:t>布袋除尘器</w:t>
                  </w:r>
                  <w:r>
                    <w:rPr>
                      <w:rFonts w:hint="eastAsia" w:ascii="Times New Roman" w:hAnsi="Times New Roman" w:eastAsia="宋体" w:cs="Times New Roman"/>
                      <w:i w:val="0"/>
                      <w:iCs w:val="0"/>
                      <w:color w:val="auto"/>
                      <w:sz w:val="21"/>
                      <w:szCs w:val="21"/>
                      <w:u w:val="none"/>
                      <w:vertAlign w:val="baseline"/>
                      <w:lang w:val="en-US" w:eastAsia="zh-CN"/>
                    </w:rPr>
                    <w:t>的布袋</w:t>
                  </w:r>
                  <w:r>
                    <w:rPr>
                      <w:rFonts w:hint="default" w:ascii="Times New Roman" w:hAnsi="Times New Roman" w:eastAsia="宋体" w:cs="Times New Roman"/>
                      <w:i w:val="0"/>
                      <w:iCs w:val="0"/>
                      <w:color w:val="auto"/>
                      <w:sz w:val="21"/>
                      <w:szCs w:val="21"/>
                      <w:u w:val="none"/>
                      <w:vertAlign w:val="baseline"/>
                      <w:lang w:val="en-US" w:eastAsia="zh-CN"/>
                    </w:rPr>
                    <w:t>每年更换一次，合计</w:t>
                  </w:r>
                  <w:r>
                    <w:rPr>
                      <w:rFonts w:hint="eastAsia" w:ascii="Times New Roman" w:hAnsi="Times New Roman" w:eastAsia="宋体" w:cs="Times New Roman"/>
                      <w:i w:val="0"/>
                      <w:iCs w:val="0"/>
                      <w:color w:val="auto"/>
                      <w:sz w:val="21"/>
                      <w:szCs w:val="21"/>
                      <w:u w:val="none"/>
                      <w:vertAlign w:val="baseline"/>
                      <w:lang w:val="en-US" w:eastAsia="zh-CN"/>
                    </w:rPr>
                    <w:t>6</w:t>
                  </w:r>
                  <w:r>
                    <w:rPr>
                      <w:rFonts w:hint="default" w:ascii="Times New Roman" w:hAnsi="Times New Roman" w:eastAsia="宋体" w:cs="Times New Roman"/>
                      <w:i w:val="0"/>
                      <w:iCs w:val="0"/>
                      <w:color w:val="auto"/>
                      <w:sz w:val="21"/>
                      <w:szCs w:val="21"/>
                      <w:u w:val="none"/>
                      <w:vertAlign w:val="baseline"/>
                      <w:lang w:val="en-US" w:eastAsia="zh-CN"/>
                    </w:rPr>
                    <w:t>个/a。</w:t>
                  </w:r>
                </w:p>
              </w:tc>
            </w:tr>
            <w:tr w14:paraId="037CB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E6B5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4</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F6C0E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sz w:val="21"/>
                      <w:szCs w:val="21"/>
                      <w:u w:val="none"/>
                      <w:lang w:val="en-US" w:eastAsia="zh-CN"/>
                    </w:rPr>
                    <w:t>废化学原料包装材料</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F5B4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危险废物</w:t>
                  </w: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7279DD4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HW</w:t>
                  </w:r>
                  <w:r>
                    <w:rPr>
                      <w:rFonts w:hint="default" w:ascii="Times New Roman" w:hAnsi="Times New Roman" w:cs="Times New Roman"/>
                      <w:i w:val="0"/>
                      <w:iCs w:val="0"/>
                      <w:color w:val="auto"/>
                      <w:kern w:val="0"/>
                      <w:sz w:val="21"/>
                      <w:szCs w:val="21"/>
                      <w:u w:val="none"/>
                      <w:lang w:val="en-US" w:eastAsia="zh-CN" w:bidi="ar"/>
                    </w:rPr>
                    <w:t>49</w:t>
                  </w:r>
                  <w:r>
                    <w:rPr>
                      <w:rFonts w:hint="default" w:ascii="Times New Roman" w:hAnsi="Times New Roman" w:eastAsia="宋体" w:cs="Times New Roman"/>
                      <w:i w:val="0"/>
                      <w:iCs w:val="0"/>
                      <w:color w:val="auto"/>
                      <w:kern w:val="0"/>
                      <w:sz w:val="21"/>
                      <w:szCs w:val="21"/>
                      <w:u w:val="none"/>
                      <w:lang w:val="en-US" w:eastAsia="zh-CN" w:bidi="ar"/>
                    </w:rPr>
                    <w:t>：900-</w:t>
                  </w:r>
                  <w:r>
                    <w:rPr>
                      <w:rFonts w:hint="default" w:ascii="Times New Roman" w:hAnsi="Times New Roman" w:cs="Times New Roman"/>
                      <w:i w:val="0"/>
                      <w:iCs w:val="0"/>
                      <w:color w:val="auto"/>
                      <w:kern w:val="0"/>
                      <w:sz w:val="21"/>
                      <w:szCs w:val="21"/>
                      <w:u w:val="none"/>
                      <w:lang w:val="en-US" w:eastAsia="zh-CN" w:bidi="ar"/>
                    </w:rPr>
                    <w:t>041</w:t>
                  </w:r>
                  <w:r>
                    <w:rPr>
                      <w:rFonts w:hint="default"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cs="Times New Roman"/>
                      <w:i w:val="0"/>
                      <w:iCs w:val="0"/>
                      <w:color w:val="auto"/>
                      <w:kern w:val="0"/>
                      <w:sz w:val="21"/>
                      <w:szCs w:val="21"/>
                      <w:u w:val="none"/>
                      <w:lang w:val="en-US" w:eastAsia="zh-CN" w:bidi="ar"/>
                    </w:rPr>
                    <w:t>49</w:t>
                  </w:r>
                </w:p>
              </w:tc>
              <w:tc>
                <w:tcPr>
                  <w:tcW w:w="1182" w:type="dxa"/>
                  <w:tcBorders>
                    <w:top w:val="single" w:color="000000" w:sz="4" w:space="0"/>
                    <w:left w:val="single" w:color="000000" w:sz="4" w:space="0"/>
                    <w:bottom w:val="single" w:color="000000" w:sz="4" w:space="0"/>
                    <w:right w:val="single" w:color="000000" w:sz="4" w:space="0"/>
                  </w:tcBorders>
                  <w:noWrap w:val="0"/>
                  <w:vAlign w:val="center"/>
                </w:tcPr>
                <w:p w14:paraId="038B3D55">
                  <w:pPr>
                    <w:keepNext w:val="0"/>
                    <w:keepLines w:val="0"/>
                    <w:widowControl/>
                    <w:suppressLineNumbers w:val="0"/>
                    <w:jc w:val="center"/>
                    <w:textAlignment w:val="center"/>
                    <w:rPr>
                      <w:rStyle w:val="67"/>
                      <w:rFonts w:hint="default" w:ascii="Times New Roman" w:hAnsi="Times New Roman" w:eastAsia="宋体" w:cs="Times New Roman"/>
                      <w:i w:val="0"/>
                      <w:iCs w:val="0"/>
                      <w:color w:val="auto"/>
                      <w:sz w:val="21"/>
                      <w:szCs w:val="21"/>
                      <w:vertAlign w:val="baseline"/>
                      <w:lang w:val="en-US" w:eastAsia="zh-CN" w:bidi="ar"/>
                    </w:rPr>
                  </w:pPr>
                  <w:r>
                    <w:rPr>
                      <w:rStyle w:val="67"/>
                      <w:rFonts w:hint="eastAsia" w:cs="Times New Roman"/>
                      <w:i w:val="0"/>
                      <w:iCs w:val="0"/>
                      <w:color w:val="auto"/>
                      <w:sz w:val="21"/>
                      <w:szCs w:val="21"/>
                      <w:vertAlign w:val="baseline"/>
                      <w:lang w:val="en-US" w:eastAsia="zh-CN" w:bidi="ar"/>
                    </w:rPr>
                    <w:t>0.14</w:t>
                  </w:r>
                </w:p>
              </w:tc>
              <w:tc>
                <w:tcPr>
                  <w:tcW w:w="6634" w:type="dxa"/>
                  <w:tcBorders>
                    <w:top w:val="single" w:color="000000" w:sz="4" w:space="0"/>
                    <w:left w:val="single" w:color="000000" w:sz="4" w:space="0"/>
                    <w:bottom w:val="single" w:color="000000" w:sz="4" w:space="0"/>
                    <w:right w:val="single" w:color="000000" w:sz="4" w:space="0"/>
                  </w:tcBorders>
                  <w:noWrap w:val="0"/>
                  <w:vAlign w:val="center"/>
                </w:tcPr>
                <w:p w14:paraId="1DB14495">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Style w:val="67"/>
                      <w:rFonts w:hint="default" w:ascii="Times New Roman" w:hAnsi="Times New Roman" w:eastAsia="宋体" w:cs="Times New Roman"/>
                      <w:i w:val="0"/>
                      <w:iCs w:val="0"/>
                      <w:color w:val="auto"/>
                      <w:sz w:val="21"/>
                      <w:szCs w:val="21"/>
                      <w:vertAlign w:val="baseline"/>
                      <w:lang w:val="en-US" w:eastAsia="zh-CN" w:bidi="ar"/>
                    </w:rPr>
                  </w:pPr>
                  <w:r>
                    <w:rPr>
                      <w:rStyle w:val="67"/>
                      <w:rFonts w:hint="default" w:ascii="Times New Roman" w:hAnsi="Times New Roman" w:cs="Times New Roman"/>
                      <w:i w:val="0"/>
                      <w:iCs w:val="0"/>
                      <w:color w:val="auto"/>
                      <w:sz w:val="21"/>
                      <w:szCs w:val="21"/>
                      <w:vertAlign w:val="baseline"/>
                      <w:lang w:val="en-US" w:eastAsia="zh-CN" w:bidi="ar"/>
                    </w:rPr>
                    <w:t>项目</w:t>
                  </w:r>
                  <w:r>
                    <w:rPr>
                      <w:rFonts w:hint="default" w:ascii="Times New Roman" w:hAnsi="Times New Roman" w:cs="Times New Roman"/>
                      <w:i w:val="0"/>
                      <w:iCs w:val="0"/>
                      <w:color w:val="auto"/>
                      <w:sz w:val="21"/>
                      <w:szCs w:val="21"/>
                      <w:u w:val="none"/>
                      <w:lang w:val="en-US" w:eastAsia="zh-CN"/>
                    </w:rPr>
                    <w:t>废化学原料包装材料主要为片碱包装袋、脱色剂包装桶、混凝剂/絮凝剂包装袋，</w:t>
                  </w:r>
                  <w:r>
                    <w:rPr>
                      <w:rStyle w:val="67"/>
                      <w:rFonts w:hint="default" w:ascii="Times New Roman" w:hAnsi="Times New Roman" w:cs="Times New Roman"/>
                      <w:i w:val="0"/>
                      <w:iCs w:val="0"/>
                      <w:color w:val="auto"/>
                      <w:sz w:val="21"/>
                      <w:szCs w:val="21"/>
                      <w:vertAlign w:val="baseline"/>
                      <w:lang w:val="en-US" w:eastAsia="zh-CN" w:bidi="ar"/>
                    </w:rPr>
                    <w:t>质重约</w:t>
                  </w:r>
                  <w:r>
                    <w:rPr>
                      <w:rStyle w:val="67"/>
                      <w:rFonts w:hint="eastAsia" w:cs="Times New Roman"/>
                      <w:i w:val="0"/>
                      <w:iCs w:val="0"/>
                      <w:color w:val="auto"/>
                      <w:sz w:val="21"/>
                      <w:szCs w:val="21"/>
                      <w:vertAlign w:val="baseline"/>
                      <w:lang w:val="en-US" w:eastAsia="zh-CN" w:bidi="ar"/>
                    </w:rPr>
                    <w:t>0.14</w:t>
                  </w:r>
                  <w:r>
                    <w:rPr>
                      <w:rStyle w:val="67"/>
                      <w:rFonts w:hint="default" w:ascii="Times New Roman" w:hAnsi="Times New Roman" w:cs="Times New Roman"/>
                      <w:i w:val="0"/>
                      <w:iCs w:val="0"/>
                      <w:color w:val="auto"/>
                      <w:sz w:val="21"/>
                      <w:szCs w:val="21"/>
                      <w:vertAlign w:val="baseline"/>
                      <w:lang w:val="en-US" w:eastAsia="zh-CN" w:bidi="ar"/>
                    </w:rPr>
                    <w:t>t。</w:t>
                  </w:r>
                </w:p>
              </w:tc>
            </w:tr>
            <w:tr w14:paraId="66630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C5D1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5</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519D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废活性炭</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3D7F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危险废物</w:t>
                  </w: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327A4BB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HW49：900-039-49</w:t>
                  </w:r>
                </w:p>
              </w:tc>
              <w:tc>
                <w:tcPr>
                  <w:tcW w:w="1182" w:type="dxa"/>
                  <w:tcBorders>
                    <w:top w:val="single" w:color="000000" w:sz="4" w:space="0"/>
                    <w:left w:val="single" w:color="000000" w:sz="4" w:space="0"/>
                    <w:bottom w:val="single" w:color="000000" w:sz="4" w:space="0"/>
                    <w:right w:val="single" w:color="000000" w:sz="4" w:space="0"/>
                  </w:tcBorders>
                  <w:noWrap w:val="0"/>
                  <w:vAlign w:val="center"/>
                </w:tcPr>
                <w:p w14:paraId="00113B21">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vertAlign w:val="baseline"/>
                      <w:lang w:val="en-US" w:eastAsia="zh-CN" w:bidi="ar"/>
                    </w:rPr>
                  </w:pPr>
                  <w:r>
                    <w:rPr>
                      <w:rFonts w:hint="eastAsia" w:ascii="Times New Roman" w:hAnsi="Times New Roman" w:cs="Times New Roman"/>
                      <w:i w:val="0"/>
                      <w:iCs w:val="0"/>
                      <w:color w:val="auto"/>
                      <w:kern w:val="0"/>
                      <w:sz w:val="21"/>
                      <w:szCs w:val="21"/>
                      <w:u w:val="none"/>
                      <w:vertAlign w:val="baseline"/>
                      <w:lang w:val="en-US" w:eastAsia="zh-CN" w:bidi="ar"/>
                    </w:rPr>
                    <w:t>63.112</w:t>
                  </w:r>
                </w:p>
              </w:tc>
              <w:tc>
                <w:tcPr>
                  <w:tcW w:w="6634" w:type="dxa"/>
                  <w:tcBorders>
                    <w:top w:val="single" w:color="000000" w:sz="4" w:space="0"/>
                    <w:left w:val="single" w:color="000000" w:sz="4" w:space="0"/>
                    <w:bottom w:val="single" w:color="000000" w:sz="4" w:space="0"/>
                    <w:right w:val="single" w:color="000000" w:sz="4" w:space="0"/>
                  </w:tcBorders>
                  <w:noWrap w:val="0"/>
                  <w:vAlign w:val="center"/>
                </w:tcPr>
                <w:p w14:paraId="524EAD21">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cs="Times New Roman"/>
                      <w:i w:val="0"/>
                      <w:iCs w:val="0"/>
                      <w:color w:val="auto"/>
                      <w:sz w:val="21"/>
                      <w:szCs w:val="21"/>
                      <w:u w:val="none"/>
                      <w:vertAlign w:val="baseline"/>
                      <w:lang w:val="en-US" w:eastAsia="zh-CN"/>
                    </w:rPr>
                  </w:pPr>
                  <w:r>
                    <w:rPr>
                      <w:rFonts w:hint="default" w:ascii="Times New Roman" w:hAnsi="Times New Roman" w:cs="Times New Roman"/>
                      <w:i w:val="0"/>
                      <w:iCs w:val="0"/>
                      <w:color w:val="auto"/>
                      <w:sz w:val="21"/>
                      <w:szCs w:val="21"/>
                      <w:u w:val="none"/>
                      <w:vertAlign w:val="baseline"/>
                      <w:lang w:val="en-US" w:eastAsia="zh-CN"/>
                    </w:rPr>
                    <w:t>根据表4-</w:t>
                  </w:r>
                  <w:r>
                    <w:rPr>
                      <w:rFonts w:hint="eastAsia" w:ascii="Times New Roman" w:hAnsi="Times New Roman" w:cs="Times New Roman"/>
                      <w:i w:val="0"/>
                      <w:iCs w:val="0"/>
                      <w:color w:val="auto"/>
                      <w:sz w:val="21"/>
                      <w:szCs w:val="21"/>
                      <w:u w:val="none"/>
                      <w:vertAlign w:val="baseline"/>
                      <w:lang w:val="en-US" w:eastAsia="zh-CN"/>
                    </w:rPr>
                    <w:t>20</w:t>
                  </w:r>
                  <w:r>
                    <w:rPr>
                      <w:rFonts w:hint="default" w:ascii="Times New Roman" w:hAnsi="Times New Roman" w:cs="Times New Roman"/>
                      <w:i w:val="0"/>
                      <w:iCs w:val="0"/>
                      <w:color w:val="auto"/>
                      <w:sz w:val="21"/>
                      <w:szCs w:val="21"/>
                      <w:u w:val="none"/>
                      <w:vertAlign w:val="baseline"/>
                      <w:lang w:val="en-US" w:eastAsia="zh-CN"/>
                    </w:rPr>
                    <w:t>和表4-</w:t>
                  </w:r>
                  <w:r>
                    <w:rPr>
                      <w:rFonts w:hint="eastAsia" w:ascii="Times New Roman" w:hAnsi="Times New Roman" w:cs="Times New Roman"/>
                      <w:i w:val="0"/>
                      <w:iCs w:val="0"/>
                      <w:color w:val="auto"/>
                      <w:sz w:val="21"/>
                      <w:szCs w:val="21"/>
                      <w:u w:val="none"/>
                      <w:vertAlign w:val="baseline"/>
                      <w:lang w:val="en-US" w:eastAsia="zh-CN"/>
                    </w:rPr>
                    <w:t>21</w:t>
                  </w:r>
                  <w:r>
                    <w:rPr>
                      <w:rFonts w:hint="default" w:ascii="Times New Roman" w:hAnsi="Times New Roman" w:cs="Times New Roman"/>
                      <w:i w:val="0"/>
                      <w:iCs w:val="0"/>
                      <w:color w:val="auto"/>
                      <w:sz w:val="21"/>
                      <w:szCs w:val="21"/>
                      <w:u w:val="none"/>
                      <w:vertAlign w:val="baseline"/>
                      <w:lang w:val="en-US" w:eastAsia="zh-CN"/>
                    </w:rPr>
                    <w:t>，废活性炭产生量约</w:t>
                  </w:r>
                  <w:r>
                    <w:rPr>
                      <w:rFonts w:hint="eastAsia" w:ascii="Times New Roman" w:hAnsi="Times New Roman" w:cs="Times New Roman"/>
                      <w:caps w:val="0"/>
                      <w:smallCaps w:val="0"/>
                      <w:color w:val="auto"/>
                      <w:spacing w:val="0"/>
                      <w:w w:val="100"/>
                      <w:kern w:val="0"/>
                      <w:position w:val="0"/>
                      <w:sz w:val="21"/>
                      <w:szCs w:val="21"/>
                      <w:lang w:val="en-US" w:eastAsia="zh-CN" w:bidi="ar"/>
                    </w:rPr>
                    <w:t>63.112</w:t>
                  </w:r>
                  <w:r>
                    <w:rPr>
                      <w:rFonts w:hint="default" w:ascii="Times New Roman" w:hAnsi="Times New Roman" w:eastAsia="宋体" w:cs="Times New Roman"/>
                      <w:caps w:val="0"/>
                      <w:smallCaps w:val="0"/>
                      <w:color w:val="auto"/>
                      <w:spacing w:val="0"/>
                      <w:w w:val="100"/>
                      <w:kern w:val="0"/>
                      <w:position w:val="0"/>
                      <w:sz w:val="21"/>
                      <w:szCs w:val="21"/>
                      <w:lang w:val="en-US" w:eastAsia="zh-CN" w:bidi="ar"/>
                    </w:rPr>
                    <w:t>t</w:t>
                  </w:r>
                  <w:r>
                    <w:rPr>
                      <w:rFonts w:hint="default" w:ascii="Times New Roman" w:hAnsi="Times New Roman" w:cs="Times New Roman"/>
                      <w:caps w:val="0"/>
                      <w:smallCaps w:val="0"/>
                      <w:color w:val="auto"/>
                      <w:spacing w:val="0"/>
                      <w:w w:val="100"/>
                      <w:kern w:val="0"/>
                      <w:position w:val="0"/>
                      <w:sz w:val="21"/>
                      <w:szCs w:val="21"/>
                      <w:lang w:val="en-US" w:eastAsia="zh-CN" w:bidi="ar"/>
                    </w:rPr>
                    <w:t>/a。</w:t>
                  </w:r>
                </w:p>
              </w:tc>
            </w:tr>
            <w:tr w14:paraId="44AC7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03CE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6</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4C6C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废润滑油</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942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危险废物</w:t>
                  </w:r>
                </w:p>
              </w:tc>
              <w:tc>
                <w:tcPr>
                  <w:tcW w:w="2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AEDA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HW08：900-214-08</w:t>
                  </w:r>
                </w:p>
              </w:tc>
              <w:tc>
                <w:tcPr>
                  <w:tcW w:w="1182" w:type="dxa"/>
                  <w:tcBorders>
                    <w:top w:val="single" w:color="000000" w:sz="4" w:space="0"/>
                    <w:left w:val="single" w:color="000000" w:sz="4" w:space="0"/>
                    <w:bottom w:val="single" w:color="000000" w:sz="4" w:space="0"/>
                    <w:right w:val="single" w:color="000000" w:sz="4" w:space="0"/>
                  </w:tcBorders>
                  <w:noWrap w:val="0"/>
                  <w:vAlign w:val="center"/>
                </w:tcPr>
                <w:p w14:paraId="4015F51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vertAlign w:val="baseline"/>
                      <w:lang w:val="en-US"/>
                    </w:rPr>
                  </w:pPr>
                  <w:r>
                    <w:rPr>
                      <w:rFonts w:hint="default" w:ascii="Times New Roman" w:hAnsi="Times New Roman" w:eastAsia="宋体" w:cs="Times New Roman"/>
                      <w:i w:val="0"/>
                      <w:iCs w:val="0"/>
                      <w:color w:val="auto"/>
                      <w:kern w:val="0"/>
                      <w:sz w:val="21"/>
                      <w:szCs w:val="21"/>
                      <w:u w:val="none"/>
                      <w:vertAlign w:val="baseline"/>
                      <w:lang w:val="en-US" w:eastAsia="zh-CN" w:bidi="ar"/>
                    </w:rPr>
                    <w:t>0.</w:t>
                  </w:r>
                  <w:r>
                    <w:rPr>
                      <w:rFonts w:hint="default" w:ascii="Times New Roman" w:hAnsi="Times New Roman" w:cs="Times New Roman"/>
                      <w:i w:val="0"/>
                      <w:iCs w:val="0"/>
                      <w:color w:val="auto"/>
                      <w:kern w:val="0"/>
                      <w:sz w:val="21"/>
                      <w:szCs w:val="21"/>
                      <w:u w:val="none"/>
                      <w:vertAlign w:val="baseline"/>
                      <w:lang w:val="en-US" w:eastAsia="zh-CN" w:bidi="ar"/>
                    </w:rPr>
                    <w:t>16</w:t>
                  </w:r>
                </w:p>
              </w:tc>
              <w:tc>
                <w:tcPr>
                  <w:tcW w:w="6634" w:type="dxa"/>
                  <w:tcBorders>
                    <w:top w:val="single" w:color="000000" w:sz="4" w:space="0"/>
                    <w:left w:val="single" w:color="000000" w:sz="4" w:space="0"/>
                    <w:bottom w:val="single" w:color="000000" w:sz="4" w:space="0"/>
                    <w:right w:val="single" w:color="000000" w:sz="4" w:space="0"/>
                  </w:tcBorders>
                  <w:noWrap w:val="0"/>
                  <w:vAlign w:val="center"/>
                </w:tcPr>
                <w:p w14:paraId="394466E4">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i w:val="0"/>
                      <w:iCs w:val="0"/>
                      <w:color w:val="auto"/>
                      <w:sz w:val="21"/>
                      <w:szCs w:val="21"/>
                      <w:u w:val="none"/>
                      <w:vertAlign w:val="baseline"/>
                    </w:rPr>
                  </w:pPr>
                  <w:r>
                    <w:rPr>
                      <w:rFonts w:hint="default" w:ascii="Times New Roman" w:hAnsi="Times New Roman" w:eastAsia="宋体" w:cs="Times New Roman"/>
                      <w:i w:val="0"/>
                      <w:iCs w:val="0"/>
                      <w:color w:val="auto"/>
                      <w:kern w:val="0"/>
                      <w:sz w:val="21"/>
                      <w:szCs w:val="21"/>
                      <w:u w:val="none"/>
                      <w:vertAlign w:val="baseline"/>
                      <w:lang w:val="en-US" w:eastAsia="zh-CN" w:bidi="ar"/>
                    </w:rPr>
                    <w:t>项目润滑油用量</w:t>
                  </w:r>
                  <w:r>
                    <w:rPr>
                      <w:rStyle w:val="53"/>
                      <w:rFonts w:hint="default" w:ascii="Times New Roman" w:hAnsi="Times New Roman" w:eastAsia="宋体" w:cs="Times New Roman"/>
                      <w:color w:val="auto"/>
                      <w:sz w:val="21"/>
                      <w:szCs w:val="21"/>
                      <w:vertAlign w:val="baseline"/>
                      <w:lang w:val="en-US" w:eastAsia="zh-CN" w:bidi="ar"/>
                    </w:rPr>
                    <w:t>0.</w:t>
                  </w:r>
                  <w:r>
                    <w:rPr>
                      <w:rStyle w:val="53"/>
                      <w:rFonts w:hint="default" w:ascii="Times New Roman" w:hAnsi="Times New Roman" w:cs="Times New Roman"/>
                      <w:color w:val="auto"/>
                      <w:sz w:val="21"/>
                      <w:szCs w:val="21"/>
                      <w:vertAlign w:val="baseline"/>
                      <w:lang w:val="en-US" w:eastAsia="zh-CN" w:bidi="ar"/>
                    </w:rPr>
                    <w:t>2</w:t>
                  </w:r>
                  <w:r>
                    <w:rPr>
                      <w:rStyle w:val="53"/>
                      <w:rFonts w:hint="default" w:ascii="Times New Roman" w:hAnsi="Times New Roman" w:eastAsia="宋体" w:cs="Times New Roman"/>
                      <w:color w:val="auto"/>
                      <w:sz w:val="21"/>
                      <w:szCs w:val="21"/>
                      <w:vertAlign w:val="baseline"/>
                      <w:lang w:val="en-US" w:eastAsia="zh-CN" w:bidi="ar"/>
                    </w:rPr>
                    <w:t>t/a</w:t>
                  </w:r>
                  <w:r>
                    <w:rPr>
                      <w:rStyle w:val="86"/>
                      <w:rFonts w:hint="default" w:ascii="Times New Roman" w:hAnsi="Times New Roman" w:cs="Times New Roman"/>
                      <w:color w:val="auto"/>
                      <w:sz w:val="21"/>
                      <w:szCs w:val="21"/>
                      <w:vertAlign w:val="baseline"/>
                      <w:lang w:val="en-US" w:eastAsia="zh-CN" w:bidi="ar"/>
                    </w:rPr>
                    <w:t>，废油产生系数取</w:t>
                  </w:r>
                  <w:r>
                    <w:rPr>
                      <w:rStyle w:val="53"/>
                      <w:rFonts w:hint="default" w:ascii="Times New Roman" w:hAnsi="Times New Roman" w:eastAsia="宋体" w:cs="Times New Roman"/>
                      <w:color w:val="auto"/>
                      <w:sz w:val="21"/>
                      <w:szCs w:val="21"/>
                      <w:vertAlign w:val="baseline"/>
                      <w:lang w:val="en-US" w:eastAsia="zh-CN" w:bidi="ar"/>
                    </w:rPr>
                    <w:t>0.8</w:t>
                  </w:r>
                  <w:r>
                    <w:rPr>
                      <w:rStyle w:val="86"/>
                      <w:rFonts w:hint="default" w:ascii="Times New Roman" w:hAnsi="Times New Roman" w:cs="Times New Roman"/>
                      <w:color w:val="auto"/>
                      <w:sz w:val="21"/>
                      <w:szCs w:val="21"/>
                      <w:vertAlign w:val="baseline"/>
                      <w:lang w:val="en-US" w:eastAsia="zh-CN" w:bidi="ar"/>
                    </w:rPr>
                    <w:t>，即</w:t>
                  </w:r>
                  <w:r>
                    <w:rPr>
                      <w:rStyle w:val="53"/>
                      <w:rFonts w:hint="default" w:ascii="Times New Roman" w:hAnsi="Times New Roman" w:eastAsia="宋体" w:cs="Times New Roman"/>
                      <w:color w:val="auto"/>
                      <w:sz w:val="21"/>
                      <w:szCs w:val="21"/>
                      <w:vertAlign w:val="baseline"/>
                      <w:lang w:val="en-US" w:eastAsia="zh-CN" w:bidi="ar"/>
                    </w:rPr>
                    <w:t>0.</w:t>
                  </w:r>
                  <w:r>
                    <w:rPr>
                      <w:rStyle w:val="53"/>
                      <w:rFonts w:hint="default" w:ascii="Times New Roman" w:hAnsi="Times New Roman" w:cs="Times New Roman"/>
                      <w:color w:val="auto"/>
                      <w:sz w:val="21"/>
                      <w:szCs w:val="21"/>
                      <w:vertAlign w:val="baseline"/>
                      <w:lang w:val="en-US" w:eastAsia="zh-CN" w:bidi="ar"/>
                    </w:rPr>
                    <w:t>16</w:t>
                  </w:r>
                  <w:r>
                    <w:rPr>
                      <w:rStyle w:val="53"/>
                      <w:rFonts w:hint="default" w:ascii="Times New Roman" w:hAnsi="Times New Roman" w:eastAsia="宋体" w:cs="Times New Roman"/>
                      <w:color w:val="auto"/>
                      <w:sz w:val="21"/>
                      <w:szCs w:val="21"/>
                      <w:vertAlign w:val="baseline"/>
                      <w:lang w:val="en-US" w:eastAsia="zh-CN" w:bidi="ar"/>
                    </w:rPr>
                    <w:t>t/a</w:t>
                  </w:r>
                  <w:r>
                    <w:rPr>
                      <w:rStyle w:val="86"/>
                      <w:rFonts w:hint="default" w:ascii="Times New Roman" w:hAnsi="Times New Roman" w:cs="Times New Roman"/>
                      <w:color w:val="auto"/>
                      <w:sz w:val="21"/>
                      <w:szCs w:val="21"/>
                      <w:vertAlign w:val="baseline"/>
                      <w:lang w:val="en-US" w:eastAsia="zh-CN" w:bidi="ar"/>
                    </w:rPr>
                    <w:t>。</w:t>
                  </w:r>
                </w:p>
              </w:tc>
            </w:tr>
            <w:tr w14:paraId="728AF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01D2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5120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废液压油</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BAC1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危险废物</w:t>
                  </w:r>
                </w:p>
              </w:tc>
              <w:tc>
                <w:tcPr>
                  <w:tcW w:w="2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0425E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HW08：</w:t>
                  </w:r>
                  <w:r>
                    <w:rPr>
                      <w:rFonts w:hint="default" w:ascii="Times New Roman" w:hAnsi="Times New Roman" w:cs="Times New Roman"/>
                      <w:i w:val="0"/>
                      <w:iCs w:val="0"/>
                      <w:color w:val="auto"/>
                      <w:kern w:val="0"/>
                      <w:sz w:val="21"/>
                      <w:szCs w:val="21"/>
                      <w:u w:val="none"/>
                      <w:lang w:val="en-US" w:eastAsia="zh-CN" w:bidi="ar"/>
                    </w:rPr>
                    <w:t>900-218-08</w:t>
                  </w:r>
                </w:p>
              </w:tc>
              <w:tc>
                <w:tcPr>
                  <w:tcW w:w="1182" w:type="dxa"/>
                  <w:tcBorders>
                    <w:top w:val="single" w:color="000000" w:sz="4" w:space="0"/>
                    <w:left w:val="single" w:color="000000" w:sz="4" w:space="0"/>
                    <w:bottom w:val="single" w:color="000000" w:sz="4" w:space="0"/>
                    <w:right w:val="single" w:color="000000" w:sz="4" w:space="0"/>
                  </w:tcBorders>
                  <w:noWrap w:val="0"/>
                  <w:vAlign w:val="center"/>
                </w:tcPr>
                <w:p w14:paraId="4BFDD2F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vertAlign w:val="baseline"/>
                      <w:lang w:val="en-US" w:eastAsia="zh-CN" w:bidi="ar"/>
                    </w:rPr>
                  </w:pPr>
                  <w:r>
                    <w:rPr>
                      <w:rFonts w:hint="default" w:ascii="Times New Roman" w:hAnsi="Times New Roman" w:cs="Times New Roman"/>
                      <w:i w:val="0"/>
                      <w:iCs w:val="0"/>
                      <w:color w:val="auto"/>
                      <w:kern w:val="0"/>
                      <w:sz w:val="21"/>
                      <w:szCs w:val="21"/>
                      <w:u w:val="none"/>
                      <w:vertAlign w:val="baseline"/>
                      <w:lang w:val="en-US" w:eastAsia="zh-CN" w:bidi="ar"/>
                    </w:rPr>
                    <w:t>0.8</w:t>
                  </w:r>
                </w:p>
              </w:tc>
              <w:tc>
                <w:tcPr>
                  <w:tcW w:w="6634" w:type="dxa"/>
                  <w:tcBorders>
                    <w:top w:val="single" w:color="000000" w:sz="4" w:space="0"/>
                    <w:left w:val="single" w:color="000000" w:sz="4" w:space="0"/>
                    <w:bottom w:val="single" w:color="000000" w:sz="4" w:space="0"/>
                    <w:right w:val="single" w:color="000000" w:sz="4" w:space="0"/>
                  </w:tcBorders>
                  <w:noWrap w:val="0"/>
                  <w:vAlign w:val="center"/>
                </w:tcPr>
                <w:p w14:paraId="124FD866">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i w:val="0"/>
                      <w:iCs w:val="0"/>
                      <w:color w:val="auto"/>
                      <w:kern w:val="0"/>
                      <w:sz w:val="21"/>
                      <w:szCs w:val="21"/>
                      <w:u w:val="none"/>
                      <w:vertAlign w:val="baseline"/>
                      <w:lang w:val="en-US" w:eastAsia="zh-CN" w:bidi="ar"/>
                    </w:rPr>
                  </w:pPr>
                  <w:r>
                    <w:rPr>
                      <w:rFonts w:hint="default" w:ascii="Times New Roman" w:hAnsi="Times New Roman" w:eastAsia="宋体" w:cs="Times New Roman"/>
                      <w:i w:val="0"/>
                      <w:iCs w:val="0"/>
                      <w:color w:val="auto"/>
                      <w:kern w:val="0"/>
                      <w:sz w:val="21"/>
                      <w:szCs w:val="21"/>
                      <w:u w:val="none"/>
                      <w:vertAlign w:val="baseline"/>
                      <w:lang w:val="en-US" w:eastAsia="zh-CN" w:bidi="ar"/>
                    </w:rPr>
                    <w:t>项目</w:t>
                  </w:r>
                  <w:r>
                    <w:rPr>
                      <w:rFonts w:hint="default" w:ascii="Times New Roman" w:hAnsi="Times New Roman" w:cs="Times New Roman"/>
                      <w:i w:val="0"/>
                      <w:iCs w:val="0"/>
                      <w:color w:val="auto"/>
                      <w:kern w:val="0"/>
                      <w:sz w:val="21"/>
                      <w:szCs w:val="21"/>
                      <w:u w:val="none"/>
                      <w:vertAlign w:val="baseline"/>
                      <w:lang w:val="en-US" w:eastAsia="zh-CN" w:bidi="ar"/>
                    </w:rPr>
                    <w:t>液压</w:t>
                  </w:r>
                  <w:r>
                    <w:rPr>
                      <w:rFonts w:hint="default" w:ascii="Times New Roman" w:hAnsi="Times New Roman" w:eastAsia="宋体" w:cs="Times New Roman"/>
                      <w:i w:val="0"/>
                      <w:iCs w:val="0"/>
                      <w:color w:val="auto"/>
                      <w:kern w:val="0"/>
                      <w:sz w:val="21"/>
                      <w:szCs w:val="21"/>
                      <w:u w:val="none"/>
                      <w:vertAlign w:val="baseline"/>
                      <w:lang w:val="en-US" w:eastAsia="zh-CN" w:bidi="ar"/>
                    </w:rPr>
                    <w:t>油用量</w:t>
                  </w:r>
                  <w:r>
                    <w:rPr>
                      <w:rStyle w:val="53"/>
                      <w:rFonts w:hint="default" w:ascii="Times New Roman" w:hAnsi="Times New Roman" w:cs="Times New Roman"/>
                      <w:color w:val="auto"/>
                      <w:sz w:val="21"/>
                      <w:szCs w:val="21"/>
                      <w:vertAlign w:val="baseline"/>
                      <w:lang w:val="en-US" w:eastAsia="zh-CN" w:bidi="ar"/>
                    </w:rPr>
                    <w:t>1</w:t>
                  </w:r>
                  <w:r>
                    <w:rPr>
                      <w:rStyle w:val="53"/>
                      <w:rFonts w:hint="default" w:ascii="Times New Roman" w:hAnsi="Times New Roman" w:eastAsia="宋体" w:cs="Times New Roman"/>
                      <w:color w:val="auto"/>
                      <w:sz w:val="21"/>
                      <w:szCs w:val="21"/>
                      <w:vertAlign w:val="baseline"/>
                      <w:lang w:val="en-US" w:eastAsia="zh-CN" w:bidi="ar"/>
                    </w:rPr>
                    <w:t>t/a</w:t>
                  </w:r>
                  <w:r>
                    <w:rPr>
                      <w:rStyle w:val="86"/>
                      <w:rFonts w:hint="default" w:ascii="Times New Roman" w:hAnsi="Times New Roman" w:cs="Times New Roman"/>
                      <w:color w:val="auto"/>
                      <w:sz w:val="21"/>
                      <w:szCs w:val="21"/>
                      <w:vertAlign w:val="baseline"/>
                      <w:lang w:val="en-US" w:eastAsia="zh-CN" w:bidi="ar"/>
                    </w:rPr>
                    <w:t>，废油产生系数取</w:t>
                  </w:r>
                  <w:r>
                    <w:rPr>
                      <w:rStyle w:val="53"/>
                      <w:rFonts w:hint="default" w:ascii="Times New Roman" w:hAnsi="Times New Roman" w:eastAsia="宋体" w:cs="Times New Roman"/>
                      <w:color w:val="auto"/>
                      <w:sz w:val="21"/>
                      <w:szCs w:val="21"/>
                      <w:vertAlign w:val="baseline"/>
                      <w:lang w:val="en-US" w:eastAsia="zh-CN" w:bidi="ar"/>
                    </w:rPr>
                    <w:t>0.8</w:t>
                  </w:r>
                  <w:r>
                    <w:rPr>
                      <w:rStyle w:val="86"/>
                      <w:rFonts w:hint="default" w:ascii="Times New Roman" w:hAnsi="Times New Roman" w:cs="Times New Roman"/>
                      <w:color w:val="auto"/>
                      <w:sz w:val="21"/>
                      <w:szCs w:val="21"/>
                      <w:vertAlign w:val="baseline"/>
                      <w:lang w:val="en-US" w:eastAsia="zh-CN" w:bidi="ar"/>
                    </w:rPr>
                    <w:t>，即</w:t>
                  </w:r>
                  <w:r>
                    <w:rPr>
                      <w:rStyle w:val="53"/>
                      <w:rFonts w:hint="default" w:ascii="Times New Roman" w:hAnsi="Times New Roman" w:eastAsia="宋体" w:cs="Times New Roman"/>
                      <w:color w:val="auto"/>
                      <w:sz w:val="21"/>
                      <w:szCs w:val="21"/>
                      <w:vertAlign w:val="baseline"/>
                      <w:lang w:val="en-US" w:eastAsia="zh-CN" w:bidi="ar"/>
                    </w:rPr>
                    <w:t>0.</w:t>
                  </w:r>
                  <w:r>
                    <w:rPr>
                      <w:rStyle w:val="53"/>
                      <w:rFonts w:hint="default" w:ascii="Times New Roman" w:hAnsi="Times New Roman" w:cs="Times New Roman"/>
                      <w:color w:val="auto"/>
                      <w:sz w:val="21"/>
                      <w:szCs w:val="21"/>
                      <w:vertAlign w:val="baseline"/>
                      <w:lang w:val="en-US" w:eastAsia="zh-CN" w:bidi="ar"/>
                    </w:rPr>
                    <w:t>8</w:t>
                  </w:r>
                  <w:r>
                    <w:rPr>
                      <w:rStyle w:val="53"/>
                      <w:rFonts w:hint="default" w:ascii="Times New Roman" w:hAnsi="Times New Roman" w:eastAsia="宋体" w:cs="Times New Roman"/>
                      <w:color w:val="auto"/>
                      <w:sz w:val="21"/>
                      <w:szCs w:val="21"/>
                      <w:vertAlign w:val="baseline"/>
                      <w:lang w:val="en-US" w:eastAsia="zh-CN" w:bidi="ar"/>
                    </w:rPr>
                    <w:t>t/a</w:t>
                  </w:r>
                  <w:r>
                    <w:rPr>
                      <w:rStyle w:val="86"/>
                      <w:rFonts w:hint="default" w:ascii="Times New Roman" w:hAnsi="Times New Roman" w:cs="Times New Roman"/>
                      <w:color w:val="auto"/>
                      <w:sz w:val="21"/>
                      <w:szCs w:val="21"/>
                      <w:vertAlign w:val="baseline"/>
                      <w:lang w:val="en-US" w:eastAsia="zh-CN" w:bidi="ar"/>
                    </w:rPr>
                    <w:t>。</w:t>
                  </w:r>
                </w:p>
              </w:tc>
            </w:tr>
            <w:tr w14:paraId="4F9EC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F4EBA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8</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559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废油桶</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65C3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危险废物</w:t>
                  </w:r>
                </w:p>
              </w:tc>
              <w:tc>
                <w:tcPr>
                  <w:tcW w:w="2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6166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HW08：</w:t>
                  </w:r>
                  <w:r>
                    <w:rPr>
                      <w:rFonts w:hint="default" w:ascii="Times New Roman" w:hAnsi="Times New Roman" w:cs="Times New Roman"/>
                      <w:i w:val="0"/>
                      <w:iCs w:val="0"/>
                      <w:color w:val="auto"/>
                      <w:kern w:val="0"/>
                      <w:sz w:val="21"/>
                      <w:szCs w:val="21"/>
                      <w:u w:val="none"/>
                      <w:lang w:val="en-US" w:eastAsia="zh-CN" w:bidi="ar"/>
                    </w:rPr>
                    <w:t>900-249-08</w:t>
                  </w:r>
                </w:p>
              </w:tc>
              <w:tc>
                <w:tcPr>
                  <w:tcW w:w="1182" w:type="dxa"/>
                  <w:tcBorders>
                    <w:top w:val="single" w:color="000000" w:sz="4" w:space="0"/>
                    <w:left w:val="single" w:color="000000" w:sz="4" w:space="0"/>
                    <w:bottom w:val="single" w:color="000000" w:sz="4" w:space="0"/>
                    <w:right w:val="single" w:color="000000" w:sz="4" w:space="0"/>
                  </w:tcBorders>
                  <w:noWrap w:val="0"/>
                  <w:vAlign w:val="center"/>
                </w:tcPr>
                <w:p w14:paraId="6E25FD1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vertAlign w:val="baseline"/>
                      <w:lang w:val="en-US"/>
                    </w:rPr>
                  </w:pPr>
                  <w:r>
                    <w:rPr>
                      <w:rFonts w:hint="default" w:ascii="Times New Roman" w:hAnsi="Times New Roman" w:cs="Times New Roman"/>
                      <w:i w:val="0"/>
                      <w:iCs w:val="0"/>
                      <w:color w:val="auto"/>
                      <w:kern w:val="0"/>
                      <w:sz w:val="21"/>
                      <w:szCs w:val="21"/>
                      <w:u w:val="none"/>
                      <w:vertAlign w:val="baseline"/>
                      <w:lang w:val="en-US" w:eastAsia="zh-CN" w:bidi="ar"/>
                    </w:rPr>
                    <w:t>0.072</w:t>
                  </w:r>
                </w:p>
              </w:tc>
              <w:tc>
                <w:tcPr>
                  <w:tcW w:w="6634" w:type="dxa"/>
                  <w:tcBorders>
                    <w:top w:val="single" w:color="000000" w:sz="4" w:space="0"/>
                    <w:left w:val="single" w:color="000000" w:sz="4" w:space="0"/>
                    <w:bottom w:val="single" w:color="000000" w:sz="4" w:space="0"/>
                    <w:right w:val="single" w:color="000000" w:sz="4" w:space="0"/>
                  </w:tcBorders>
                  <w:noWrap w:val="0"/>
                  <w:vAlign w:val="center"/>
                </w:tcPr>
                <w:p w14:paraId="2D2B4022">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i w:val="0"/>
                      <w:iCs w:val="0"/>
                      <w:color w:val="auto"/>
                      <w:sz w:val="21"/>
                      <w:szCs w:val="21"/>
                      <w:u w:val="none"/>
                      <w:vertAlign w:val="baseline"/>
                    </w:rPr>
                  </w:pPr>
                  <w:r>
                    <w:rPr>
                      <w:rFonts w:hint="default" w:ascii="Times New Roman" w:hAnsi="Times New Roman" w:eastAsia="宋体" w:cs="Times New Roman"/>
                      <w:i w:val="0"/>
                      <w:iCs w:val="0"/>
                      <w:color w:val="auto"/>
                      <w:kern w:val="0"/>
                      <w:sz w:val="21"/>
                      <w:szCs w:val="21"/>
                      <w:u w:val="none"/>
                      <w:vertAlign w:val="baseline"/>
                      <w:lang w:val="en-US" w:eastAsia="zh-CN" w:bidi="ar"/>
                    </w:rPr>
                    <w:t>项目</w:t>
                  </w:r>
                  <w:r>
                    <w:rPr>
                      <w:rFonts w:hint="default" w:ascii="Times New Roman" w:hAnsi="Times New Roman" w:cs="Times New Roman"/>
                      <w:i w:val="0"/>
                      <w:iCs w:val="0"/>
                      <w:color w:val="auto"/>
                      <w:kern w:val="0"/>
                      <w:sz w:val="21"/>
                      <w:szCs w:val="21"/>
                      <w:u w:val="none"/>
                      <w:vertAlign w:val="baseline"/>
                      <w:lang w:val="en-US" w:eastAsia="zh-CN" w:bidi="ar"/>
                    </w:rPr>
                    <w:t>润滑油、液压油</w:t>
                  </w:r>
                  <w:r>
                    <w:rPr>
                      <w:rFonts w:hint="default" w:ascii="Times New Roman" w:hAnsi="Times New Roman" w:eastAsia="宋体" w:cs="Times New Roman"/>
                      <w:i w:val="0"/>
                      <w:iCs w:val="0"/>
                      <w:color w:val="auto"/>
                      <w:kern w:val="0"/>
                      <w:sz w:val="21"/>
                      <w:szCs w:val="21"/>
                      <w:u w:val="none"/>
                      <w:vertAlign w:val="baseline"/>
                      <w:lang w:val="en-US" w:eastAsia="zh-CN" w:bidi="ar"/>
                    </w:rPr>
                    <w:t>用量</w:t>
                  </w:r>
                  <w:r>
                    <w:rPr>
                      <w:rStyle w:val="53"/>
                      <w:rFonts w:hint="default" w:ascii="Times New Roman" w:hAnsi="Times New Roman" w:cs="Times New Roman"/>
                      <w:color w:val="auto"/>
                      <w:sz w:val="21"/>
                      <w:szCs w:val="21"/>
                      <w:vertAlign w:val="baseline"/>
                      <w:lang w:val="en-US" w:eastAsia="zh-CN" w:bidi="ar"/>
                    </w:rPr>
                    <w:t>1.2</w:t>
                  </w:r>
                  <w:r>
                    <w:rPr>
                      <w:rStyle w:val="53"/>
                      <w:rFonts w:hint="default" w:ascii="Times New Roman" w:hAnsi="Times New Roman" w:eastAsia="宋体" w:cs="Times New Roman"/>
                      <w:color w:val="auto"/>
                      <w:sz w:val="21"/>
                      <w:szCs w:val="21"/>
                      <w:vertAlign w:val="baseline"/>
                      <w:lang w:val="en-US" w:eastAsia="zh-CN" w:bidi="ar"/>
                    </w:rPr>
                    <w:t>t/a</w:t>
                  </w:r>
                  <w:r>
                    <w:rPr>
                      <w:rStyle w:val="86"/>
                      <w:rFonts w:hint="default" w:ascii="Times New Roman" w:hAnsi="Times New Roman" w:cs="Times New Roman"/>
                      <w:color w:val="auto"/>
                      <w:sz w:val="21"/>
                      <w:szCs w:val="21"/>
                      <w:vertAlign w:val="baseline"/>
                      <w:lang w:val="en-US" w:eastAsia="zh-CN" w:bidi="ar"/>
                    </w:rPr>
                    <w:t>，废桶产生量48个，约0.072t</w:t>
                  </w:r>
                  <w:r>
                    <w:rPr>
                      <w:rStyle w:val="53"/>
                      <w:rFonts w:hint="default" w:ascii="Times New Roman" w:hAnsi="Times New Roman" w:eastAsia="宋体" w:cs="Times New Roman"/>
                      <w:color w:val="auto"/>
                      <w:sz w:val="21"/>
                      <w:szCs w:val="21"/>
                      <w:vertAlign w:val="baseline"/>
                      <w:lang w:val="en-US" w:eastAsia="zh-CN" w:bidi="ar"/>
                    </w:rPr>
                    <w:t>/a</w:t>
                  </w:r>
                  <w:r>
                    <w:rPr>
                      <w:rStyle w:val="86"/>
                      <w:rFonts w:hint="default" w:ascii="Times New Roman" w:hAnsi="Times New Roman" w:cs="Times New Roman"/>
                      <w:color w:val="auto"/>
                      <w:sz w:val="21"/>
                      <w:szCs w:val="21"/>
                      <w:vertAlign w:val="baseline"/>
                      <w:lang w:val="en-US" w:eastAsia="zh-CN" w:bidi="ar"/>
                    </w:rPr>
                    <w:t>。</w:t>
                  </w:r>
                </w:p>
              </w:tc>
            </w:tr>
            <w:tr w14:paraId="031AA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D193C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9</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9418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含油废手套</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430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危险废物</w:t>
                  </w:r>
                </w:p>
              </w:tc>
              <w:tc>
                <w:tcPr>
                  <w:tcW w:w="2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FEDCE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HW</w:t>
                  </w:r>
                  <w:r>
                    <w:rPr>
                      <w:rFonts w:hint="default" w:ascii="Times New Roman" w:hAnsi="Times New Roman" w:cs="Times New Roman"/>
                      <w:i w:val="0"/>
                      <w:iCs w:val="0"/>
                      <w:color w:val="auto"/>
                      <w:kern w:val="0"/>
                      <w:sz w:val="21"/>
                      <w:szCs w:val="21"/>
                      <w:u w:val="none"/>
                      <w:lang w:val="en-US" w:eastAsia="zh-CN" w:bidi="ar"/>
                    </w:rPr>
                    <w:t>49</w:t>
                  </w:r>
                  <w:r>
                    <w:rPr>
                      <w:rFonts w:hint="default" w:ascii="Times New Roman" w:hAnsi="Times New Roman" w:eastAsia="宋体" w:cs="Times New Roman"/>
                      <w:i w:val="0"/>
                      <w:iCs w:val="0"/>
                      <w:color w:val="auto"/>
                      <w:kern w:val="0"/>
                      <w:sz w:val="21"/>
                      <w:szCs w:val="21"/>
                      <w:u w:val="none"/>
                      <w:lang w:val="en-US" w:eastAsia="zh-CN" w:bidi="ar"/>
                    </w:rPr>
                    <w:t>：900-</w:t>
                  </w:r>
                  <w:r>
                    <w:rPr>
                      <w:rFonts w:hint="default" w:ascii="Times New Roman" w:hAnsi="Times New Roman" w:cs="Times New Roman"/>
                      <w:i w:val="0"/>
                      <w:iCs w:val="0"/>
                      <w:color w:val="auto"/>
                      <w:kern w:val="0"/>
                      <w:sz w:val="21"/>
                      <w:szCs w:val="21"/>
                      <w:u w:val="none"/>
                      <w:lang w:val="en-US" w:eastAsia="zh-CN" w:bidi="ar"/>
                    </w:rPr>
                    <w:t>041</w:t>
                  </w:r>
                  <w:r>
                    <w:rPr>
                      <w:rFonts w:hint="default"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cs="Times New Roman"/>
                      <w:i w:val="0"/>
                      <w:iCs w:val="0"/>
                      <w:color w:val="auto"/>
                      <w:kern w:val="0"/>
                      <w:sz w:val="21"/>
                      <w:szCs w:val="21"/>
                      <w:u w:val="none"/>
                      <w:lang w:val="en-US" w:eastAsia="zh-CN" w:bidi="ar"/>
                    </w:rPr>
                    <w:t>49</w:t>
                  </w:r>
                </w:p>
              </w:tc>
              <w:tc>
                <w:tcPr>
                  <w:tcW w:w="1182" w:type="dxa"/>
                  <w:tcBorders>
                    <w:top w:val="single" w:color="000000" w:sz="4" w:space="0"/>
                    <w:left w:val="single" w:color="000000" w:sz="4" w:space="0"/>
                    <w:bottom w:val="single" w:color="000000" w:sz="4" w:space="0"/>
                    <w:right w:val="single" w:color="000000" w:sz="4" w:space="0"/>
                  </w:tcBorders>
                  <w:noWrap w:val="0"/>
                  <w:vAlign w:val="center"/>
                </w:tcPr>
                <w:p w14:paraId="3E9087E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vertAlign w:val="baseline"/>
                      <w:lang w:val="en-US"/>
                    </w:rPr>
                  </w:pPr>
                  <w:r>
                    <w:rPr>
                      <w:rFonts w:hint="default" w:ascii="Times New Roman" w:hAnsi="Times New Roman" w:eastAsia="宋体" w:cs="Times New Roman"/>
                      <w:i w:val="0"/>
                      <w:iCs w:val="0"/>
                      <w:color w:val="auto"/>
                      <w:kern w:val="0"/>
                      <w:sz w:val="21"/>
                      <w:szCs w:val="21"/>
                      <w:u w:val="none"/>
                      <w:vertAlign w:val="baseline"/>
                      <w:lang w:val="en-US" w:eastAsia="zh-CN" w:bidi="ar"/>
                    </w:rPr>
                    <w:t>0.0</w:t>
                  </w:r>
                  <w:r>
                    <w:rPr>
                      <w:rFonts w:hint="default" w:ascii="Times New Roman" w:hAnsi="Times New Roman" w:cs="Times New Roman"/>
                      <w:i w:val="0"/>
                      <w:iCs w:val="0"/>
                      <w:color w:val="auto"/>
                      <w:kern w:val="0"/>
                      <w:sz w:val="21"/>
                      <w:szCs w:val="21"/>
                      <w:u w:val="none"/>
                      <w:vertAlign w:val="baseline"/>
                      <w:lang w:val="en-US" w:eastAsia="zh-CN" w:bidi="ar"/>
                    </w:rPr>
                    <w:t>1</w:t>
                  </w:r>
                </w:p>
              </w:tc>
              <w:tc>
                <w:tcPr>
                  <w:tcW w:w="6634" w:type="dxa"/>
                  <w:tcBorders>
                    <w:top w:val="single" w:color="000000" w:sz="4" w:space="0"/>
                    <w:left w:val="single" w:color="000000" w:sz="4" w:space="0"/>
                    <w:bottom w:val="single" w:color="000000" w:sz="4" w:space="0"/>
                    <w:right w:val="single" w:color="000000" w:sz="4" w:space="0"/>
                  </w:tcBorders>
                  <w:noWrap w:val="0"/>
                  <w:vAlign w:val="center"/>
                </w:tcPr>
                <w:p w14:paraId="7F309FAC">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i w:val="0"/>
                      <w:iCs w:val="0"/>
                      <w:color w:val="auto"/>
                      <w:sz w:val="21"/>
                      <w:szCs w:val="21"/>
                      <w:u w:val="none"/>
                      <w:vertAlign w:val="baseline"/>
                    </w:rPr>
                  </w:pPr>
                  <w:r>
                    <w:rPr>
                      <w:rFonts w:hint="default" w:ascii="Times New Roman" w:hAnsi="Times New Roman" w:eastAsia="宋体" w:cs="Times New Roman"/>
                      <w:i w:val="0"/>
                      <w:iCs w:val="0"/>
                      <w:color w:val="auto"/>
                      <w:kern w:val="0"/>
                      <w:sz w:val="21"/>
                      <w:szCs w:val="21"/>
                      <w:u w:val="none"/>
                      <w:vertAlign w:val="baseline"/>
                      <w:lang w:val="en-US" w:eastAsia="zh-CN" w:bidi="ar"/>
                    </w:rPr>
                    <w:t>经验取值</w:t>
                  </w:r>
                  <w:r>
                    <w:rPr>
                      <w:rStyle w:val="53"/>
                      <w:rFonts w:hint="default" w:ascii="Times New Roman" w:hAnsi="Times New Roman" w:eastAsia="宋体" w:cs="Times New Roman"/>
                      <w:color w:val="auto"/>
                      <w:sz w:val="21"/>
                      <w:szCs w:val="21"/>
                      <w:vertAlign w:val="baseline"/>
                      <w:lang w:val="en-US" w:eastAsia="zh-CN" w:bidi="ar"/>
                    </w:rPr>
                    <w:t>0.0</w:t>
                  </w:r>
                  <w:r>
                    <w:rPr>
                      <w:rStyle w:val="53"/>
                      <w:rFonts w:hint="default" w:ascii="Times New Roman" w:hAnsi="Times New Roman" w:cs="Times New Roman"/>
                      <w:color w:val="auto"/>
                      <w:sz w:val="21"/>
                      <w:szCs w:val="21"/>
                      <w:vertAlign w:val="baseline"/>
                      <w:lang w:val="en-US" w:eastAsia="zh-CN" w:bidi="ar"/>
                    </w:rPr>
                    <w:t>1</w:t>
                  </w:r>
                  <w:r>
                    <w:rPr>
                      <w:rStyle w:val="53"/>
                      <w:rFonts w:hint="default" w:ascii="Times New Roman" w:hAnsi="Times New Roman" w:eastAsia="宋体" w:cs="Times New Roman"/>
                      <w:color w:val="auto"/>
                      <w:sz w:val="21"/>
                      <w:szCs w:val="21"/>
                      <w:vertAlign w:val="baseline"/>
                      <w:lang w:val="en-US" w:eastAsia="zh-CN" w:bidi="ar"/>
                    </w:rPr>
                    <w:t>t/a</w:t>
                  </w:r>
                  <w:r>
                    <w:rPr>
                      <w:rStyle w:val="86"/>
                      <w:rFonts w:hint="default" w:ascii="Times New Roman" w:hAnsi="Times New Roman" w:cs="Times New Roman"/>
                      <w:color w:val="auto"/>
                      <w:sz w:val="21"/>
                      <w:szCs w:val="21"/>
                      <w:vertAlign w:val="baseline"/>
                      <w:lang w:val="en-US" w:eastAsia="zh-CN" w:bidi="ar"/>
                    </w:rPr>
                    <w:t>。</w:t>
                  </w:r>
                </w:p>
              </w:tc>
            </w:tr>
            <w:tr w14:paraId="2D886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A335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10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7A3E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生活垃圾</w:t>
                  </w: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7B95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w:t>
                  </w: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02CBDF7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1182" w:type="dxa"/>
                  <w:tcBorders>
                    <w:top w:val="single" w:color="000000" w:sz="4" w:space="0"/>
                    <w:left w:val="single" w:color="000000" w:sz="4" w:space="0"/>
                    <w:bottom w:val="single" w:color="000000" w:sz="4" w:space="0"/>
                    <w:right w:val="single" w:color="000000" w:sz="4" w:space="0"/>
                  </w:tcBorders>
                  <w:noWrap w:val="0"/>
                  <w:vAlign w:val="center"/>
                </w:tcPr>
                <w:p w14:paraId="4E1365C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vertAlign w:val="baseline"/>
                      <w:lang w:val="en-US"/>
                    </w:rPr>
                  </w:pPr>
                  <w:r>
                    <w:rPr>
                      <w:rFonts w:hint="eastAsia" w:ascii="Times New Roman" w:hAnsi="Times New Roman" w:cs="Times New Roman"/>
                      <w:i w:val="0"/>
                      <w:iCs w:val="0"/>
                      <w:color w:val="auto"/>
                      <w:kern w:val="0"/>
                      <w:sz w:val="21"/>
                      <w:szCs w:val="21"/>
                      <w:u w:val="none"/>
                      <w:vertAlign w:val="baseline"/>
                      <w:lang w:val="en-US" w:eastAsia="zh-CN" w:bidi="ar"/>
                    </w:rPr>
                    <w:t>4.5</w:t>
                  </w:r>
                </w:p>
              </w:tc>
              <w:tc>
                <w:tcPr>
                  <w:tcW w:w="6634" w:type="dxa"/>
                  <w:tcBorders>
                    <w:top w:val="single" w:color="000000" w:sz="4" w:space="0"/>
                    <w:left w:val="single" w:color="000000" w:sz="4" w:space="0"/>
                    <w:bottom w:val="single" w:color="000000" w:sz="4" w:space="0"/>
                    <w:right w:val="single" w:color="000000" w:sz="4" w:space="0"/>
                  </w:tcBorders>
                  <w:noWrap w:val="0"/>
                  <w:vAlign w:val="center"/>
                </w:tcPr>
                <w:p w14:paraId="566E7ECD">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i w:val="0"/>
                      <w:iCs w:val="0"/>
                      <w:color w:val="auto"/>
                      <w:sz w:val="21"/>
                      <w:szCs w:val="21"/>
                      <w:u w:val="none"/>
                      <w:vertAlign w:val="baseline"/>
                    </w:rPr>
                  </w:pPr>
                  <w:r>
                    <w:rPr>
                      <w:rFonts w:hint="default" w:ascii="Times New Roman" w:hAnsi="Times New Roman" w:cs="Times New Roman"/>
                      <w:i w:val="0"/>
                      <w:iCs w:val="0"/>
                      <w:color w:val="auto"/>
                      <w:kern w:val="0"/>
                      <w:sz w:val="21"/>
                      <w:szCs w:val="21"/>
                      <w:u w:val="none"/>
                      <w:vertAlign w:val="baseline"/>
                      <w:lang w:val="en-US" w:eastAsia="zh-CN" w:bidi="ar"/>
                    </w:rPr>
                    <w:t>项目</w:t>
                  </w:r>
                  <w:r>
                    <w:rPr>
                      <w:rFonts w:hint="default" w:ascii="Times New Roman" w:hAnsi="Times New Roman" w:eastAsia="宋体" w:cs="Times New Roman"/>
                      <w:i w:val="0"/>
                      <w:iCs w:val="0"/>
                      <w:color w:val="auto"/>
                      <w:kern w:val="0"/>
                      <w:sz w:val="21"/>
                      <w:szCs w:val="21"/>
                      <w:u w:val="none"/>
                      <w:vertAlign w:val="baseline"/>
                      <w:lang w:val="en-US" w:eastAsia="zh-CN" w:bidi="ar"/>
                    </w:rPr>
                    <w:t>劳动定员</w:t>
                  </w:r>
                  <w:r>
                    <w:rPr>
                      <w:rFonts w:hint="eastAsia" w:ascii="Times New Roman" w:hAnsi="Times New Roman" w:cs="Times New Roman"/>
                      <w:i w:val="0"/>
                      <w:iCs w:val="0"/>
                      <w:color w:val="auto"/>
                      <w:kern w:val="0"/>
                      <w:sz w:val="21"/>
                      <w:szCs w:val="21"/>
                      <w:u w:val="none"/>
                      <w:vertAlign w:val="baseline"/>
                      <w:lang w:val="en-US" w:eastAsia="zh-CN" w:bidi="ar"/>
                    </w:rPr>
                    <w:t>30</w:t>
                  </w:r>
                  <w:r>
                    <w:rPr>
                      <w:rStyle w:val="86"/>
                      <w:rFonts w:hint="default" w:ascii="Times New Roman" w:hAnsi="Times New Roman" w:cs="Times New Roman"/>
                      <w:color w:val="auto"/>
                      <w:sz w:val="21"/>
                      <w:szCs w:val="21"/>
                      <w:vertAlign w:val="baseline"/>
                      <w:lang w:val="en-US" w:eastAsia="zh-CN" w:bidi="ar"/>
                    </w:rPr>
                    <w:t>人，按人均</w:t>
                  </w:r>
                  <w:r>
                    <w:rPr>
                      <w:rStyle w:val="53"/>
                      <w:rFonts w:hint="default" w:ascii="Times New Roman" w:hAnsi="Times New Roman" w:eastAsia="宋体" w:cs="Times New Roman"/>
                      <w:color w:val="auto"/>
                      <w:sz w:val="21"/>
                      <w:szCs w:val="21"/>
                      <w:vertAlign w:val="baseline"/>
                      <w:lang w:val="en-US" w:eastAsia="zh-CN" w:bidi="ar"/>
                    </w:rPr>
                    <w:t>0.5kg/d</w:t>
                  </w:r>
                  <w:r>
                    <w:rPr>
                      <w:rStyle w:val="86"/>
                      <w:rFonts w:hint="default" w:ascii="Times New Roman" w:hAnsi="Times New Roman" w:cs="Times New Roman"/>
                      <w:color w:val="auto"/>
                      <w:sz w:val="21"/>
                      <w:szCs w:val="21"/>
                      <w:vertAlign w:val="baseline"/>
                      <w:lang w:val="en-US" w:eastAsia="zh-CN" w:bidi="ar"/>
                    </w:rPr>
                    <w:t>垃圾产生量计算。</w:t>
                  </w:r>
                </w:p>
              </w:tc>
            </w:tr>
          </w:tbl>
          <w:p w14:paraId="012B87CF">
            <w:pPr>
              <w:bidi w:val="0"/>
              <w:adjustRightInd w:val="0"/>
              <w:snapToGrid w:val="0"/>
              <w:spacing w:line="480" w:lineRule="atLeast"/>
              <w:ind w:firstLine="482" w:firstLineChars="200"/>
              <w:rPr>
                <w:rFonts w:hint="default" w:ascii="Times New Roman" w:hAnsi="Times New Roman" w:eastAsia="宋体" w:cs="Times New Roman"/>
                <w:b/>
                <w:bCs/>
                <w:caps w:val="0"/>
                <w:color w:val="auto"/>
                <w:spacing w:val="0"/>
                <w:kern w:val="0"/>
                <w:sz w:val="24"/>
                <w:lang w:val="en-US" w:eastAsia="zh-CN"/>
              </w:rPr>
            </w:pPr>
            <w:r>
              <w:rPr>
                <w:rFonts w:hint="eastAsia" w:cs="Times New Roman"/>
                <w:b/>
                <w:bCs/>
                <w:caps w:val="0"/>
                <w:color w:val="auto"/>
                <w:spacing w:val="0"/>
                <w:kern w:val="0"/>
                <w:sz w:val="24"/>
                <w:lang w:val="en-US" w:eastAsia="zh-CN"/>
              </w:rPr>
              <w:t>（</w:t>
            </w:r>
            <w:r>
              <w:rPr>
                <w:rFonts w:hint="default" w:ascii="Times New Roman" w:hAnsi="Times New Roman" w:eastAsia="宋体" w:cs="Times New Roman"/>
                <w:b/>
                <w:bCs/>
                <w:caps w:val="0"/>
                <w:color w:val="auto"/>
                <w:spacing w:val="0"/>
                <w:kern w:val="0"/>
                <w:sz w:val="24"/>
                <w:lang w:val="en-US" w:eastAsia="zh-CN"/>
              </w:rPr>
              <w:t>三）危险废物污染防治措施</w:t>
            </w:r>
          </w:p>
          <w:p w14:paraId="72848226">
            <w:pPr>
              <w:keepNext w:val="0"/>
              <w:keepLines w:val="0"/>
              <w:pageBreakBefore w:val="0"/>
              <w:widowControl w:val="0"/>
              <w:kinsoku/>
              <w:wordWrap/>
              <w:overflowPunct/>
              <w:topLinePunct w:val="0"/>
              <w:autoSpaceDE/>
              <w:autoSpaceDN/>
              <w:bidi w:val="0"/>
              <w:adjustRightInd w:val="0"/>
              <w:snapToGrid/>
              <w:spacing w:before="0" w:line="480" w:lineRule="atLeast"/>
              <w:ind w:left="0" w:leftChars="0" w:firstLine="480" w:firstLineChars="200"/>
              <w:textAlignment w:val="auto"/>
              <w:rPr>
                <w:rFonts w:hint="default" w:ascii="Times New Roman" w:hAnsi="Times New Roman" w:eastAsia="宋体" w:cs="Times New Roman"/>
                <w:b/>
                <w:bCs/>
                <w:caps w:val="0"/>
                <w:color w:val="auto"/>
                <w:spacing w:val="0"/>
                <w:kern w:val="0"/>
                <w:position w:val="0"/>
                <w:sz w:val="21"/>
                <w:szCs w:val="16"/>
                <w:lang w:val="en-US" w:eastAsia="zh-CN"/>
              </w:rPr>
            </w:pPr>
            <w:r>
              <w:rPr>
                <w:rFonts w:hint="default" w:ascii="Times New Roman" w:hAnsi="Times New Roman" w:eastAsia="宋体" w:cs="Times New Roman"/>
                <w:caps w:val="0"/>
                <w:color w:val="auto"/>
                <w:spacing w:val="0"/>
                <w:kern w:val="0"/>
                <w:position w:val="0"/>
                <w:sz w:val="24"/>
                <w:szCs w:val="24"/>
                <w:lang w:val="en-US" w:eastAsia="zh-CN" w:bidi="ar"/>
              </w:rPr>
              <w:t>根据《建设项目危险废物环境影响评价指南》</w:t>
            </w:r>
            <w:r>
              <w:rPr>
                <w:rFonts w:hint="eastAsia" w:cs="Times New Roman"/>
                <w:caps w:val="0"/>
                <w:color w:val="auto"/>
                <w:spacing w:val="0"/>
                <w:kern w:val="0"/>
                <w:position w:val="0"/>
                <w:sz w:val="24"/>
                <w:szCs w:val="24"/>
                <w:lang w:val="en-US" w:eastAsia="zh-CN" w:bidi="ar"/>
              </w:rPr>
              <w:t>（</w:t>
            </w:r>
            <w:r>
              <w:rPr>
                <w:rFonts w:hint="default" w:ascii="Times New Roman" w:hAnsi="Times New Roman" w:eastAsia="宋体" w:cs="Times New Roman"/>
                <w:caps w:val="0"/>
                <w:color w:val="auto"/>
                <w:spacing w:val="0"/>
                <w:kern w:val="0"/>
                <w:position w:val="0"/>
                <w:sz w:val="24"/>
                <w:szCs w:val="24"/>
                <w:lang w:val="en-US" w:eastAsia="zh-CN" w:bidi="ar"/>
              </w:rPr>
              <w:t>环境保护部公告，2017年第43号），经前文分析，项目危险废物基本情况如下表：</w:t>
            </w:r>
          </w:p>
          <w:p w14:paraId="7B2A1CA6">
            <w:pPr>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b/>
                <w:bCs/>
                <w:caps w:val="0"/>
                <w:color w:val="auto"/>
                <w:spacing w:val="0"/>
                <w:kern w:val="0"/>
                <w:position w:val="0"/>
                <w:sz w:val="21"/>
                <w:szCs w:val="16"/>
                <w:lang w:val="en-US" w:eastAsia="zh-CN"/>
              </w:rPr>
            </w:pPr>
          </w:p>
          <w:p w14:paraId="47F7467F">
            <w:pPr>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b/>
                <w:bCs/>
                <w:caps w:val="0"/>
                <w:color w:val="auto"/>
                <w:spacing w:val="0"/>
                <w:kern w:val="0"/>
                <w:position w:val="0"/>
                <w:sz w:val="21"/>
                <w:szCs w:val="16"/>
                <w:lang w:val="en-US" w:eastAsia="zh-CN"/>
              </w:rPr>
            </w:pPr>
          </w:p>
          <w:p w14:paraId="0605D8B0">
            <w:pPr>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b/>
                <w:bCs/>
                <w:caps w:val="0"/>
                <w:color w:val="auto"/>
                <w:spacing w:val="0"/>
                <w:kern w:val="0"/>
                <w:position w:val="0"/>
                <w:sz w:val="21"/>
                <w:szCs w:val="16"/>
                <w:lang w:val="en-US" w:eastAsia="zh-CN"/>
              </w:rPr>
            </w:pPr>
          </w:p>
          <w:p w14:paraId="46DC7125">
            <w:pPr>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caps w:val="0"/>
                <w:color w:val="auto"/>
                <w:spacing w:val="0"/>
                <w:kern w:val="0"/>
                <w:position w:val="0"/>
                <w:sz w:val="24"/>
                <w:lang w:val="en-US" w:eastAsia="zh-CN"/>
              </w:rPr>
            </w:pPr>
            <w:r>
              <w:rPr>
                <w:rFonts w:hint="default" w:ascii="Times New Roman" w:hAnsi="Times New Roman" w:eastAsia="宋体" w:cs="Times New Roman"/>
                <w:b/>
                <w:bCs/>
                <w:caps w:val="0"/>
                <w:color w:val="auto"/>
                <w:spacing w:val="0"/>
                <w:kern w:val="0"/>
                <w:position w:val="0"/>
                <w:sz w:val="21"/>
                <w:szCs w:val="16"/>
                <w:lang w:val="en-US" w:eastAsia="zh-CN"/>
              </w:rPr>
              <w:t>表4-</w:t>
            </w:r>
            <w:r>
              <w:rPr>
                <w:rFonts w:hint="eastAsia" w:cs="Times New Roman"/>
                <w:b/>
                <w:bCs/>
                <w:caps w:val="0"/>
                <w:color w:val="auto"/>
                <w:spacing w:val="0"/>
                <w:kern w:val="0"/>
                <w:position w:val="0"/>
                <w:sz w:val="21"/>
                <w:szCs w:val="16"/>
                <w:lang w:val="en-US" w:eastAsia="zh-CN"/>
              </w:rPr>
              <w:t>32</w:t>
            </w:r>
            <w:r>
              <w:rPr>
                <w:rFonts w:hint="default" w:ascii="Times New Roman" w:hAnsi="Times New Roman" w:eastAsia="宋体" w:cs="Times New Roman"/>
                <w:b/>
                <w:bCs/>
                <w:caps w:val="0"/>
                <w:color w:val="auto"/>
                <w:spacing w:val="0"/>
                <w:kern w:val="0"/>
                <w:position w:val="0"/>
                <w:sz w:val="21"/>
                <w:szCs w:val="16"/>
                <w:lang w:val="en-US" w:eastAsia="zh-CN"/>
              </w:rPr>
              <w:t xml:space="preserve">  项目危险废物产生情况汇总</w:t>
            </w:r>
          </w:p>
          <w:tbl>
            <w:tblPr>
              <w:tblStyle w:val="26"/>
              <w:tblW w:w="129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7"/>
              <w:gridCol w:w="1344"/>
              <w:gridCol w:w="1253"/>
              <w:gridCol w:w="1006"/>
              <w:gridCol w:w="1915"/>
              <w:gridCol w:w="1141"/>
              <w:gridCol w:w="1141"/>
              <w:gridCol w:w="1141"/>
              <w:gridCol w:w="1141"/>
              <w:gridCol w:w="1141"/>
              <w:gridCol w:w="1155"/>
            </w:tblGrid>
            <w:tr w14:paraId="74E6F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jc w:val="center"/>
              </w:trPr>
              <w:tc>
                <w:tcPr>
                  <w:tcW w:w="617" w:type="dxa"/>
                  <w:vMerge w:val="restart"/>
                  <w:tcBorders>
                    <w:tl2br w:val="nil"/>
                    <w:tr2bl w:val="nil"/>
                  </w:tcBorders>
                  <w:noWrap w:val="0"/>
                  <w:vAlign w:val="center"/>
                </w:tcPr>
                <w:p w14:paraId="039895F4">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序号</w:t>
                  </w:r>
                </w:p>
              </w:tc>
              <w:tc>
                <w:tcPr>
                  <w:tcW w:w="1344" w:type="dxa"/>
                  <w:vMerge w:val="restart"/>
                  <w:tcBorders>
                    <w:tl2br w:val="nil"/>
                    <w:tr2bl w:val="nil"/>
                  </w:tcBorders>
                  <w:noWrap w:val="0"/>
                  <w:vAlign w:val="center"/>
                </w:tcPr>
                <w:p w14:paraId="3BF43087">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lang w:val="en-US"/>
                    </w:rPr>
                  </w:pPr>
                  <w:r>
                    <w:rPr>
                      <w:rFonts w:hint="default" w:ascii="Times New Roman" w:hAnsi="Times New Roman" w:eastAsia="宋体" w:cs="Times New Roman"/>
                      <w:b/>
                      <w:bCs/>
                      <w:i w:val="0"/>
                      <w:iCs w:val="0"/>
                      <w:color w:val="auto"/>
                      <w:kern w:val="0"/>
                      <w:sz w:val="21"/>
                      <w:szCs w:val="21"/>
                      <w:u w:val="none"/>
                      <w:lang w:val="en-US" w:eastAsia="zh-CN" w:bidi="ar"/>
                    </w:rPr>
                    <w:t>危废名称</w:t>
                  </w:r>
                </w:p>
              </w:tc>
              <w:tc>
                <w:tcPr>
                  <w:tcW w:w="1253" w:type="dxa"/>
                  <w:vMerge w:val="restart"/>
                  <w:tcBorders>
                    <w:tl2br w:val="nil"/>
                    <w:tr2bl w:val="nil"/>
                  </w:tcBorders>
                  <w:noWrap w:val="0"/>
                  <w:vAlign w:val="center"/>
                </w:tcPr>
                <w:p w14:paraId="776533E2">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主要成分</w:t>
                  </w:r>
                </w:p>
              </w:tc>
              <w:tc>
                <w:tcPr>
                  <w:tcW w:w="1006" w:type="dxa"/>
                  <w:vMerge w:val="restart"/>
                  <w:tcBorders>
                    <w:tl2br w:val="nil"/>
                    <w:tr2bl w:val="nil"/>
                  </w:tcBorders>
                  <w:noWrap w:val="0"/>
                  <w:vAlign w:val="center"/>
                </w:tcPr>
                <w:p w14:paraId="5D1CA9E6">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物理性状</w:t>
                  </w:r>
                </w:p>
              </w:tc>
              <w:tc>
                <w:tcPr>
                  <w:tcW w:w="1915" w:type="dxa"/>
                  <w:vMerge w:val="restart"/>
                  <w:tcBorders>
                    <w:tl2br w:val="nil"/>
                    <w:tr2bl w:val="nil"/>
                  </w:tcBorders>
                  <w:noWrap w:val="0"/>
                  <w:vAlign w:val="center"/>
                </w:tcPr>
                <w:p w14:paraId="45EBBBF9">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代码</w:t>
                  </w:r>
                </w:p>
              </w:tc>
              <w:tc>
                <w:tcPr>
                  <w:tcW w:w="1141" w:type="dxa"/>
                  <w:vMerge w:val="restart"/>
                  <w:tcBorders>
                    <w:tl2br w:val="nil"/>
                    <w:tr2bl w:val="nil"/>
                  </w:tcBorders>
                  <w:noWrap w:val="0"/>
                  <w:vAlign w:val="center"/>
                </w:tcPr>
                <w:p w14:paraId="33CFF4D0">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环境危险特性</w:t>
                  </w:r>
                </w:p>
              </w:tc>
              <w:tc>
                <w:tcPr>
                  <w:tcW w:w="1141" w:type="dxa"/>
                  <w:vMerge w:val="restart"/>
                  <w:tcBorders>
                    <w:tl2br w:val="nil"/>
                    <w:tr2bl w:val="nil"/>
                  </w:tcBorders>
                  <w:noWrap w:val="0"/>
                  <w:vAlign w:val="center"/>
                </w:tcPr>
                <w:p w14:paraId="4F125316">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产生量</w:t>
                  </w:r>
                  <w:r>
                    <w:rPr>
                      <w:rFonts w:hint="eastAsia" w:cs="Times New Roman"/>
                      <w:b/>
                      <w:bCs/>
                      <w:i w:val="0"/>
                      <w:iCs w:val="0"/>
                      <w:color w:val="auto"/>
                      <w:kern w:val="0"/>
                      <w:sz w:val="21"/>
                      <w:szCs w:val="21"/>
                      <w:u w:val="none"/>
                      <w:lang w:val="en-US" w:eastAsia="zh-CN" w:bidi="ar"/>
                    </w:rPr>
                    <w:t>（</w:t>
                  </w:r>
                  <w:r>
                    <w:rPr>
                      <w:rFonts w:hint="default" w:ascii="Times New Roman" w:hAnsi="Times New Roman" w:eastAsia="宋体" w:cs="Times New Roman"/>
                      <w:b/>
                      <w:bCs/>
                      <w:i w:val="0"/>
                      <w:iCs w:val="0"/>
                      <w:color w:val="auto"/>
                      <w:kern w:val="0"/>
                      <w:sz w:val="21"/>
                      <w:szCs w:val="21"/>
                      <w:u w:val="none"/>
                      <w:lang w:val="en-US" w:eastAsia="zh-CN" w:bidi="ar"/>
                    </w:rPr>
                    <w:t>t/a</w:t>
                  </w:r>
                  <w:r>
                    <w:rPr>
                      <w:rFonts w:hint="eastAsia" w:cs="Times New Roman"/>
                      <w:b/>
                      <w:bCs/>
                      <w:i w:val="0"/>
                      <w:iCs w:val="0"/>
                      <w:color w:val="auto"/>
                      <w:kern w:val="0"/>
                      <w:sz w:val="21"/>
                      <w:szCs w:val="21"/>
                      <w:u w:val="none"/>
                      <w:lang w:val="en-US" w:eastAsia="zh-CN" w:bidi="ar"/>
                    </w:rPr>
                    <w:t>）</w:t>
                  </w:r>
                </w:p>
              </w:tc>
              <w:tc>
                <w:tcPr>
                  <w:tcW w:w="4578" w:type="dxa"/>
                  <w:gridSpan w:val="4"/>
                  <w:tcBorders>
                    <w:tl2br w:val="nil"/>
                    <w:tr2bl w:val="nil"/>
                  </w:tcBorders>
                  <w:noWrap w:val="0"/>
                  <w:vAlign w:val="center"/>
                </w:tcPr>
                <w:p w14:paraId="5A727F72">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污染防治措施</w:t>
                  </w:r>
                </w:p>
              </w:tc>
            </w:tr>
            <w:tr w14:paraId="19CB6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jc w:val="center"/>
              </w:trPr>
              <w:tc>
                <w:tcPr>
                  <w:tcW w:w="617" w:type="dxa"/>
                  <w:vMerge w:val="continue"/>
                  <w:tcBorders>
                    <w:tl2br w:val="nil"/>
                    <w:tr2bl w:val="nil"/>
                  </w:tcBorders>
                  <w:noWrap w:val="0"/>
                  <w:vAlign w:val="center"/>
                </w:tcPr>
                <w:p w14:paraId="1986D3FC">
                  <w:pPr>
                    <w:jc w:val="center"/>
                    <w:rPr>
                      <w:rFonts w:hint="default" w:ascii="Times New Roman" w:hAnsi="Times New Roman" w:eastAsia="宋体" w:cs="Times New Roman"/>
                      <w:b/>
                      <w:bCs/>
                      <w:i w:val="0"/>
                      <w:iCs w:val="0"/>
                      <w:color w:val="auto"/>
                      <w:sz w:val="21"/>
                      <w:szCs w:val="21"/>
                      <w:u w:val="none"/>
                    </w:rPr>
                  </w:pPr>
                </w:p>
              </w:tc>
              <w:tc>
                <w:tcPr>
                  <w:tcW w:w="1344" w:type="dxa"/>
                  <w:vMerge w:val="continue"/>
                  <w:tcBorders>
                    <w:tl2br w:val="nil"/>
                    <w:tr2bl w:val="nil"/>
                  </w:tcBorders>
                  <w:noWrap w:val="0"/>
                  <w:vAlign w:val="center"/>
                </w:tcPr>
                <w:p w14:paraId="2A173AAB">
                  <w:pPr>
                    <w:jc w:val="center"/>
                    <w:rPr>
                      <w:rFonts w:hint="default" w:ascii="Times New Roman" w:hAnsi="Times New Roman" w:eastAsia="宋体" w:cs="Times New Roman"/>
                      <w:b/>
                      <w:bCs/>
                      <w:i w:val="0"/>
                      <w:iCs w:val="0"/>
                      <w:color w:val="auto"/>
                      <w:sz w:val="21"/>
                      <w:szCs w:val="21"/>
                      <w:u w:val="none"/>
                    </w:rPr>
                  </w:pPr>
                </w:p>
              </w:tc>
              <w:tc>
                <w:tcPr>
                  <w:tcW w:w="1253" w:type="dxa"/>
                  <w:vMerge w:val="continue"/>
                  <w:tcBorders>
                    <w:tl2br w:val="nil"/>
                    <w:tr2bl w:val="nil"/>
                  </w:tcBorders>
                  <w:noWrap w:val="0"/>
                  <w:vAlign w:val="center"/>
                </w:tcPr>
                <w:p w14:paraId="110A0F51">
                  <w:pPr>
                    <w:jc w:val="center"/>
                    <w:rPr>
                      <w:rFonts w:hint="default" w:ascii="Times New Roman" w:hAnsi="Times New Roman" w:eastAsia="宋体" w:cs="Times New Roman"/>
                      <w:b/>
                      <w:bCs/>
                      <w:i w:val="0"/>
                      <w:iCs w:val="0"/>
                      <w:color w:val="auto"/>
                      <w:sz w:val="21"/>
                      <w:szCs w:val="21"/>
                      <w:u w:val="none"/>
                    </w:rPr>
                  </w:pPr>
                </w:p>
              </w:tc>
              <w:tc>
                <w:tcPr>
                  <w:tcW w:w="1006" w:type="dxa"/>
                  <w:vMerge w:val="continue"/>
                  <w:tcBorders>
                    <w:tl2br w:val="nil"/>
                    <w:tr2bl w:val="nil"/>
                  </w:tcBorders>
                  <w:noWrap w:val="0"/>
                  <w:vAlign w:val="center"/>
                </w:tcPr>
                <w:p w14:paraId="6C56D81A">
                  <w:pPr>
                    <w:jc w:val="center"/>
                    <w:rPr>
                      <w:rFonts w:hint="default" w:ascii="Times New Roman" w:hAnsi="Times New Roman" w:eastAsia="宋体" w:cs="Times New Roman"/>
                      <w:b/>
                      <w:bCs/>
                      <w:i w:val="0"/>
                      <w:iCs w:val="0"/>
                      <w:color w:val="auto"/>
                      <w:sz w:val="21"/>
                      <w:szCs w:val="21"/>
                      <w:u w:val="none"/>
                    </w:rPr>
                  </w:pPr>
                </w:p>
              </w:tc>
              <w:tc>
                <w:tcPr>
                  <w:tcW w:w="1915" w:type="dxa"/>
                  <w:vMerge w:val="continue"/>
                  <w:tcBorders>
                    <w:tl2br w:val="nil"/>
                    <w:tr2bl w:val="nil"/>
                  </w:tcBorders>
                  <w:noWrap w:val="0"/>
                  <w:vAlign w:val="center"/>
                </w:tcPr>
                <w:p w14:paraId="28BA0CDB">
                  <w:pPr>
                    <w:jc w:val="center"/>
                    <w:rPr>
                      <w:rFonts w:hint="default" w:ascii="Times New Roman" w:hAnsi="Times New Roman" w:eastAsia="宋体" w:cs="Times New Roman"/>
                      <w:b/>
                      <w:bCs/>
                      <w:i w:val="0"/>
                      <w:iCs w:val="0"/>
                      <w:color w:val="auto"/>
                      <w:sz w:val="21"/>
                      <w:szCs w:val="21"/>
                      <w:u w:val="none"/>
                    </w:rPr>
                  </w:pPr>
                </w:p>
              </w:tc>
              <w:tc>
                <w:tcPr>
                  <w:tcW w:w="1141" w:type="dxa"/>
                  <w:vMerge w:val="continue"/>
                  <w:tcBorders>
                    <w:tl2br w:val="nil"/>
                    <w:tr2bl w:val="nil"/>
                  </w:tcBorders>
                  <w:noWrap w:val="0"/>
                  <w:vAlign w:val="center"/>
                </w:tcPr>
                <w:p w14:paraId="5B6E6CB7">
                  <w:pPr>
                    <w:jc w:val="center"/>
                    <w:rPr>
                      <w:rFonts w:hint="default" w:ascii="Times New Roman" w:hAnsi="Times New Roman" w:eastAsia="宋体" w:cs="Times New Roman"/>
                      <w:b/>
                      <w:bCs/>
                      <w:i w:val="0"/>
                      <w:iCs w:val="0"/>
                      <w:color w:val="auto"/>
                      <w:sz w:val="21"/>
                      <w:szCs w:val="21"/>
                      <w:u w:val="none"/>
                    </w:rPr>
                  </w:pPr>
                </w:p>
              </w:tc>
              <w:tc>
                <w:tcPr>
                  <w:tcW w:w="1141" w:type="dxa"/>
                  <w:vMerge w:val="continue"/>
                  <w:tcBorders>
                    <w:tl2br w:val="nil"/>
                    <w:tr2bl w:val="nil"/>
                  </w:tcBorders>
                  <w:noWrap w:val="0"/>
                  <w:vAlign w:val="center"/>
                </w:tcPr>
                <w:p w14:paraId="3BBC27E8">
                  <w:pPr>
                    <w:jc w:val="center"/>
                    <w:rPr>
                      <w:rFonts w:hint="default" w:ascii="Times New Roman" w:hAnsi="Times New Roman" w:eastAsia="宋体" w:cs="Times New Roman"/>
                      <w:b/>
                      <w:bCs/>
                      <w:i w:val="0"/>
                      <w:iCs w:val="0"/>
                      <w:color w:val="auto"/>
                      <w:sz w:val="21"/>
                      <w:szCs w:val="21"/>
                      <w:u w:val="none"/>
                    </w:rPr>
                  </w:pPr>
                </w:p>
              </w:tc>
              <w:tc>
                <w:tcPr>
                  <w:tcW w:w="1141" w:type="dxa"/>
                  <w:tcBorders>
                    <w:tl2br w:val="nil"/>
                    <w:tr2bl w:val="nil"/>
                  </w:tcBorders>
                  <w:noWrap w:val="0"/>
                  <w:vAlign w:val="center"/>
                </w:tcPr>
                <w:p w14:paraId="6301C7AD">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收集</w:t>
                  </w:r>
                </w:p>
              </w:tc>
              <w:tc>
                <w:tcPr>
                  <w:tcW w:w="1141" w:type="dxa"/>
                  <w:tcBorders>
                    <w:tl2br w:val="nil"/>
                    <w:tr2bl w:val="nil"/>
                  </w:tcBorders>
                  <w:noWrap w:val="0"/>
                  <w:vAlign w:val="center"/>
                </w:tcPr>
                <w:p w14:paraId="681EEDC4">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运输</w:t>
                  </w:r>
                </w:p>
              </w:tc>
              <w:tc>
                <w:tcPr>
                  <w:tcW w:w="1141" w:type="dxa"/>
                  <w:tcBorders>
                    <w:tl2br w:val="nil"/>
                    <w:tr2bl w:val="nil"/>
                  </w:tcBorders>
                  <w:noWrap w:val="0"/>
                  <w:vAlign w:val="center"/>
                </w:tcPr>
                <w:p w14:paraId="16703062">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储存</w:t>
                  </w:r>
                </w:p>
              </w:tc>
              <w:tc>
                <w:tcPr>
                  <w:tcW w:w="1155" w:type="dxa"/>
                  <w:tcBorders>
                    <w:tl2br w:val="nil"/>
                    <w:tr2bl w:val="nil"/>
                  </w:tcBorders>
                  <w:noWrap w:val="0"/>
                  <w:vAlign w:val="center"/>
                </w:tcPr>
                <w:p w14:paraId="409AFDFD">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处置</w:t>
                  </w:r>
                </w:p>
              </w:tc>
            </w:tr>
            <w:tr w14:paraId="16717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17" w:type="dxa"/>
                  <w:tcBorders>
                    <w:tl2br w:val="nil"/>
                    <w:tr2bl w:val="nil"/>
                  </w:tcBorders>
                  <w:shd w:val="clear" w:color="auto" w:fill="auto"/>
                  <w:noWrap w:val="0"/>
                  <w:vAlign w:val="center"/>
                </w:tcPr>
                <w:p w14:paraId="7D567C9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1</w:t>
                  </w:r>
                </w:p>
              </w:tc>
              <w:tc>
                <w:tcPr>
                  <w:tcW w:w="1344" w:type="dxa"/>
                  <w:tcBorders>
                    <w:tl2br w:val="nil"/>
                    <w:tr2bl w:val="nil"/>
                  </w:tcBorders>
                  <w:shd w:val="clear" w:color="auto" w:fill="auto"/>
                  <w:noWrap w:val="0"/>
                  <w:vAlign w:val="center"/>
                </w:tcPr>
                <w:p w14:paraId="13AA13C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sz w:val="21"/>
                      <w:szCs w:val="21"/>
                      <w:u w:val="none"/>
                      <w:lang w:val="en-US" w:eastAsia="zh-CN"/>
                    </w:rPr>
                    <w:t>废化学原料包装材料</w:t>
                  </w:r>
                </w:p>
              </w:tc>
              <w:tc>
                <w:tcPr>
                  <w:tcW w:w="1253" w:type="dxa"/>
                  <w:tcBorders>
                    <w:tl2br w:val="nil"/>
                    <w:tr2bl w:val="nil"/>
                  </w:tcBorders>
                  <w:shd w:val="clear" w:color="auto" w:fill="auto"/>
                  <w:noWrap w:val="0"/>
                  <w:vAlign w:val="center"/>
                </w:tcPr>
                <w:p w14:paraId="231F7E7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氢氧化钠、脱色剂等</w:t>
                  </w:r>
                </w:p>
              </w:tc>
              <w:tc>
                <w:tcPr>
                  <w:tcW w:w="1006" w:type="dxa"/>
                  <w:tcBorders>
                    <w:tl2br w:val="nil"/>
                    <w:tr2bl w:val="nil"/>
                  </w:tcBorders>
                  <w:shd w:val="clear" w:color="auto" w:fill="auto"/>
                  <w:noWrap/>
                  <w:vAlign w:val="center"/>
                </w:tcPr>
                <w:p w14:paraId="0EB4FF8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固态</w:t>
                  </w:r>
                </w:p>
              </w:tc>
              <w:tc>
                <w:tcPr>
                  <w:tcW w:w="1915" w:type="dxa"/>
                  <w:tcBorders>
                    <w:tl2br w:val="nil"/>
                    <w:tr2bl w:val="nil"/>
                  </w:tcBorders>
                  <w:shd w:val="clear" w:color="auto" w:fill="auto"/>
                  <w:noWrap w:val="0"/>
                  <w:vAlign w:val="center"/>
                </w:tcPr>
                <w:p w14:paraId="62A09AE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HW</w:t>
                  </w:r>
                  <w:r>
                    <w:rPr>
                      <w:rFonts w:hint="default" w:ascii="Times New Roman" w:hAnsi="Times New Roman" w:cs="Times New Roman"/>
                      <w:i w:val="0"/>
                      <w:iCs w:val="0"/>
                      <w:color w:val="auto"/>
                      <w:kern w:val="0"/>
                      <w:sz w:val="21"/>
                      <w:szCs w:val="21"/>
                      <w:u w:val="none"/>
                      <w:lang w:val="en-US" w:eastAsia="zh-CN" w:bidi="ar"/>
                    </w:rPr>
                    <w:t>49</w:t>
                  </w:r>
                  <w:r>
                    <w:rPr>
                      <w:rFonts w:hint="default" w:ascii="Times New Roman" w:hAnsi="Times New Roman" w:eastAsia="宋体" w:cs="Times New Roman"/>
                      <w:i w:val="0"/>
                      <w:iCs w:val="0"/>
                      <w:color w:val="auto"/>
                      <w:kern w:val="0"/>
                      <w:sz w:val="21"/>
                      <w:szCs w:val="21"/>
                      <w:u w:val="none"/>
                      <w:lang w:val="en-US" w:eastAsia="zh-CN" w:bidi="ar"/>
                    </w:rPr>
                    <w:t>：900-</w:t>
                  </w:r>
                  <w:r>
                    <w:rPr>
                      <w:rFonts w:hint="default" w:ascii="Times New Roman" w:hAnsi="Times New Roman" w:cs="Times New Roman"/>
                      <w:i w:val="0"/>
                      <w:iCs w:val="0"/>
                      <w:color w:val="auto"/>
                      <w:kern w:val="0"/>
                      <w:sz w:val="21"/>
                      <w:szCs w:val="21"/>
                      <w:u w:val="none"/>
                      <w:lang w:val="en-US" w:eastAsia="zh-CN" w:bidi="ar"/>
                    </w:rPr>
                    <w:t>041</w:t>
                  </w:r>
                  <w:r>
                    <w:rPr>
                      <w:rFonts w:hint="default"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cs="Times New Roman"/>
                      <w:i w:val="0"/>
                      <w:iCs w:val="0"/>
                      <w:color w:val="auto"/>
                      <w:kern w:val="0"/>
                      <w:sz w:val="21"/>
                      <w:szCs w:val="21"/>
                      <w:u w:val="none"/>
                      <w:lang w:val="en-US" w:eastAsia="zh-CN" w:bidi="ar"/>
                    </w:rPr>
                    <w:t>49</w:t>
                  </w:r>
                </w:p>
              </w:tc>
              <w:tc>
                <w:tcPr>
                  <w:tcW w:w="1141" w:type="dxa"/>
                  <w:tcBorders>
                    <w:tl2br w:val="nil"/>
                    <w:tr2bl w:val="nil"/>
                  </w:tcBorders>
                  <w:shd w:val="clear" w:color="auto" w:fill="auto"/>
                  <w:noWrap w:val="0"/>
                  <w:vAlign w:val="center"/>
                </w:tcPr>
                <w:p w14:paraId="2C88978C">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T/In</w:t>
                  </w:r>
                </w:p>
              </w:tc>
              <w:tc>
                <w:tcPr>
                  <w:tcW w:w="1141" w:type="dxa"/>
                  <w:tcBorders>
                    <w:tl2br w:val="nil"/>
                    <w:tr2bl w:val="nil"/>
                  </w:tcBorders>
                  <w:shd w:val="clear" w:color="auto" w:fill="auto"/>
                  <w:noWrap w:val="0"/>
                  <w:vAlign w:val="center"/>
                </w:tcPr>
                <w:p w14:paraId="4177C92E">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vertAlign w:val="baseline"/>
                      <w:lang w:val="en-US" w:eastAsia="zh-CN" w:bidi="ar"/>
                    </w:rPr>
                  </w:pPr>
                  <w:r>
                    <w:rPr>
                      <w:rStyle w:val="67"/>
                      <w:rFonts w:hint="default" w:ascii="Times New Roman" w:hAnsi="Times New Roman" w:cs="Times New Roman"/>
                      <w:i w:val="0"/>
                      <w:iCs w:val="0"/>
                      <w:color w:val="auto"/>
                      <w:sz w:val="21"/>
                      <w:szCs w:val="21"/>
                      <w:vertAlign w:val="baseline"/>
                      <w:lang w:val="en-US" w:eastAsia="zh-CN" w:bidi="ar"/>
                    </w:rPr>
                    <w:t>0.14</w:t>
                  </w:r>
                </w:p>
              </w:tc>
              <w:tc>
                <w:tcPr>
                  <w:tcW w:w="1141" w:type="dxa"/>
                  <w:vMerge w:val="restart"/>
                  <w:tcBorders>
                    <w:tl2br w:val="nil"/>
                    <w:tr2bl w:val="nil"/>
                  </w:tcBorders>
                  <w:noWrap w:val="0"/>
                  <w:vAlign w:val="center"/>
                </w:tcPr>
                <w:p w14:paraId="4A5D3AE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分类收集、定点收集</w:t>
                  </w:r>
                </w:p>
              </w:tc>
              <w:tc>
                <w:tcPr>
                  <w:tcW w:w="1141" w:type="dxa"/>
                  <w:vMerge w:val="restart"/>
                  <w:tcBorders>
                    <w:tl2br w:val="nil"/>
                    <w:tr2bl w:val="nil"/>
                  </w:tcBorders>
                  <w:noWrap w:val="0"/>
                  <w:vAlign w:val="center"/>
                </w:tcPr>
                <w:p w14:paraId="6EC88F1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密封转运</w:t>
                  </w:r>
                </w:p>
              </w:tc>
              <w:tc>
                <w:tcPr>
                  <w:tcW w:w="1141" w:type="dxa"/>
                  <w:vMerge w:val="restart"/>
                  <w:tcBorders>
                    <w:tl2br w:val="nil"/>
                    <w:tr2bl w:val="nil"/>
                  </w:tcBorders>
                  <w:noWrap w:val="0"/>
                  <w:vAlign w:val="center"/>
                </w:tcPr>
                <w:p w14:paraId="37AEBD9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危废库分类分区贮存</w:t>
                  </w:r>
                </w:p>
              </w:tc>
              <w:tc>
                <w:tcPr>
                  <w:tcW w:w="1155" w:type="dxa"/>
                  <w:vMerge w:val="restart"/>
                  <w:tcBorders>
                    <w:tl2br w:val="nil"/>
                    <w:tr2bl w:val="nil"/>
                  </w:tcBorders>
                  <w:noWrap w:val="0"/>
                  <w:vAlign w:val="center"/>
                </w:tcPr>
                <w:p w14:paraId="01A1D1A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定期委托有资质单位处置</w:t>
                  </w:r>
                </w:p>
              </w:tc>
            </w:tr>
            <w:tr w14:paraId="2BE5F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17" w:type="dxa"/>
                  <w:tcBorders>
                    <w:tl2br w:val="nil"/>
                    <w:tr2bl w:val="nil"/>
                  </w:tcBorders>
                  <w:shd w:val="clear" w:color="auto" w:fill="auto"/>
                  <w:noWrap w:val="0"/>
                  <w:vAlign w:val="center"/>
                </w:tcPr>
                <w:p w14:paraId="6C5964B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2</w:t>
                  </w:r>
                </w:p>
              </w:tc>
              <w:tc>
                <w:tcPr>
                  <w:tcW w:w="1344" w:type="dxa"/>
                  <w:tcBorders>
                    <w:tl2br w:val="nil"/>
                    <w:tr2bl w:val="nil"/>
                  </w:tcBorders>
                  <w:shd w:val="clear" w:color="auto" w:fill="auto"/>
                  <w:noWrap w:val="0"/>
                  <w:vAlign w:val="center"/>
                </w:tcPr>
                <w:p w14:paraId="1C348E6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废活性炭</w:t>
                  </w:r>
                </w:p>
              </w:tc>
              <w:tc>
                <w:tcPr>
                  <w:tcW w:w="1253" w:type="dxa"/>
                  <w:tcBorders>
                    <w:tl2br w:val="nil"/>
                    <w:tr2bl w:val="nil"/>
                  </w:tcBorders>
                  <w:shd w:val="clear" w:color="auto" w:fill="auto"/>
                  <w:noWrap w:val="0"/>
                  <w:vAlign w:val="center"/>
                </w:tcPr>
                <w:p w14:paraId="066027F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含</w:t>
                  </w:r>
                  <w:r>
                    <w:rPr>
                      <w:rFonts w:hint="default" w:ascii="Times New Roman" w:hAnsi="Times New Roman" w:eastAsia="宋体" w:cs="Times New Roman"/>
                      <w:i w:val="0"/>
                      <w:iCs w:val="0"/>
                      <w:color w:val="000000"/>
                      <w:kern w:val="0"/>
                      <w:sz w:val="21"/>
                      <w:szCs w:val="21"/>
                      <w:u w:val="none"/>
                      <w:lang w:val="en-US" w:eastAsia="zh-CN" w:bidi="ar"/>
                    </w:rPr>
                    <w:t>VOCs</w:t>
                  </w:r>
                  <w:r>
                    <w:rPr>
                      <w:rFonts w:hint="eastAsia" w:ascii="宋体" w:hAnsi="宋体" w:eastAsia="宋体" w:cs="宋体"/>
                      <w:i w:val="0"/>
                      <w:iCs w:val="0"/>
                      <w:color w:val="000000"/>
                      <w:kern w:val="0"/>
                      <w:sz w:val="21"/>
                      <w:szCs w:val="21"/>
                      <w:u w:val="none"/>
                      <w:lang w:val="en-US" w:eastAsia="zh-CN" w:bidi="ar"/>
                    </w:rPr>
                    <w:t>的活性炭</w:t>
                  </w:r>
                </w:p>
              </w:tc>
              <w:tc>
                <w:tcPr>
                  <w:tcW w:w="1006" w:type="dxa"/>
                  <w:tcBorders>
                    <w:tl2br w:val="nil"/>
                    <w:tr2bl w:val="nil"/>
                  </w:tcBorders>
                  <w:shd w:val="clear" w:color="auto" w:fill="auto"/>
                  <w:noWrap/>
                  <w:vAlign w:val="center"/>
                </w:tcPr>
                <w:p w14:paraId="722EAA7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固态</w:t>
                  </w:r>
                </w:p>
              </w:tc>
              <w:tc>
                <w:tcPr>
                  <w:tcW w:w="1915" w:type="dxa"/>
                  <w:tcBorders>
                    <w:tl2br w:val="nil"/>
                    <w:tr2bl w:val="nil"/>
                  </w:tcBorders>
                  <w:shd w:val="clear" w:color="auto" w:fill="auto"/>
                  <w:noWrap w:val="0"/>
                  <w:vAlign w:val="center"/>
                </w:tcPr>
                <w:p w14:paraId="5E75C96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HW49：900-039-49</w:t>
                  </w:r>
                </w:p>
              </w:tc>
              <w:tc>
                <w:tcPr>
                  <w:tcW w:w="1141" w:type="dxa"/>
                  <w:tcBorders>
                    <w:tl2br w:val="nil"/>
                    <w:tr2bl w:val="nil"/>
                  </w:tcBorders>
                  <w:shd w:val="clear" w:color="auto" w:fill="auto"/>
                  <w:noWrap w:val="0"/>
                  <w:vAlign w:val="center"/>
                </w:tcPr>
                <w:p w14:paraId="0A04212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T</w:t>
                  </w:r>
                </w:p>
              </w:tc>
              <w:tc>
                <w:tcPr>
                  <w:tcW w:w="1141" w:type="dxa"/>
                  <w:tcBorders>
                    <w:tl2br w:val="nil"/>
                    <w:tr2bl w:val="nil"/>
                  </w:tcBorders>
                  <w:shd w:val="clear" w:color="auto" w:fill="auto"/>
                  <w:noWrap w:val="0"/>
                  <w:vAlign w:val="center"/>
                </w:tcPr>
                <w:p w14:paraId="3EFE91D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vertAlign w:val="baseline"/>
                      <w:lang w:val="en-US" w:eastAsia="zh-CN" w:bidi="ar"/>
                    </w:rPr>
                  </w:pPr>
                  <w:r>
                    <w:rPr>
                      <w:rFonts w:hint="eastAsia" w:ascii="Times New Roman" w:hAnsi="Times New Roman" w:cs="Times New Roman"/>
                      <w:i w:val="0"/>
                      <w:iCs w:val="0"/>
                      <w:color w:val="auto"/>
                      <w:kern w:val="0"/>
                      <w:sz w:val="21"/>
                      <w:szCs w:val="21"/>
                      <w:u w:val="none"/>
                      <w:vertAlign w:val="baseline"/>
                      <w:lang w:val="en-US" w:eastAsia="zh-CN" w:bidi="ar"/>
                    </w:rPr>
                    <w:t>63.112</w:t>
                  </w:r>
                </w:p>
              </w:tc>
              <w:tc>
                <w:tcPr>
                  <w:tcW w:w="1141" w:type="dxa"/>
                  <w:vMerge w:val="continue"/>
                  <w:tcBorders>
                    <w:tl2br w:val="nil"/>
                    <w:tr2bl w:val="nil"/>
                  </w:tcBorders>
                  <w:noWrap w:val="0"/>
                  <w:vAlign w:val="center"/>
                </w:tcPr>
                <w:p w14:paraId="46F292E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1141" w:type="dxa"/>
                  <w:vMerge w:val="continue"/>
                  <w:tcBorders>
                    <w:tl2br w:val="nil"/>
                    <w:tr2bl w:val="nil"/>
                  </w:tcBorders>
                  <w:noWrap w:val="0"/>
                  <w:vAlign w:val="center"/>
                </w:tcPr>
                <w:p w14:paraId="1D0E0DF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1141" w:type="dxa"/>
                  <w:vMerge w:val="continue"/>
                  <w:tcBorders>
                    <w:tl2br w:val="nil"/>
                    <w:tr2bl w:val="nil"/>
                  </w:tcBorders>
                  <w:noWrap w:val="0"/>
                  <w:vAlign w:val="center"/>
                </w:tcPr>
                <w:p w14:paraId="1D7D57BA">
                  <w:pPr>
                    <w:keepNext w:val="0"/>
                    <w:keepLines w:val="0"/>
                    <w:widowControl/>
                    <w:suppressLineNumbers w:val="0"/>
                    <w:jc w:val="center"/>
                    <w:textAlignment w:val="center"/>
                    <w:rPr>
                      <w:rFonts w:hint="eastAsia" w:cs="Times New Roman"/>
                      <w:i w:val="0"/>
                      <w:iCs w:val="0"/>
                      <w:color w:val="auto"/>
                      <w:kern w:val="0"/>
                      <w:sz w:val="21"/>
                      <w:szCs w:val="21"/>
                      <w:u w:val="none"/>
                      <w:lang w:val="en-US" w:eastAsia="zh-CN" w:bidi="ar"/>
                    </w:rPr>
                  </w:pPr>
                </w:p>
              </w:tc>
              <w:tc>
                <w:tcPr>
                  <w:tcW w:w="1155" w:type="dxa"/>
                  <w:vMerge w:val="continue"/>
                  <w:tcBorders>
                    <w:tl2br w:val="nil"/>
                    <w:tr2bl w:val="nil"/>
                  </w:tcBorders>
                  <w:noWrap w:val="0"/>
                  <w:vAlign w:val="center"/>
                </w:tcPr>
                <w:p w14:paraId="23E9340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r>
            <w:tr w14:paraId="2C530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jc w:val="center"/>
              </w:trPr>
              <w:tc>
                <w:tcPr>
                  <w:tcW w:w="617" w:type="dxa"/>
                  <w:tcBorders>
                    <w:tl2br w:val="nil"/>
                    <w:tr2bl w:val="nil"/>
                  </w:tcBorders>
                  <w:shd w:val="clear" w:color="auto" w:fill="auto"/>
                  <w:noWrap w:val="0"/>
                  <w:vAlign w:val="center"/>
                </w:tcPr>
                <w:p w14:paraId="15306A6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3</w:t>
                  </w:r>
                </w:p>
              </w:tc>
              <w:tc>
                <w:tcPr>
                  <w:tcW w:w="1344" w:type="dxa"/>
                  <w:tcBorders>
                    <w:tl2br w:val="nil"/>
                    <w:tr2bl w:val="nil"/>
                  </w:tcBorders>
                  <w:shd w:val="clear" w:color="auto" w:fill="auto"/>
                  <w:noWrap w:val="0"/>
                  <w:vAlign w:val="center"/>
                </w:tcPr>
                <w:p w14:paraId="2BA2318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废润滑油</w:t>
                  </w:r>
                </w:p>
              </w:tc>
              <w:tc>
                <w:tcPr>
                  <w:tcW w:w="1253" w:type="dxa"/>
                  <w:tcBorders>
                    <w:tl2br w:val="nil"/>
                    <w:tr2bl w:val="nil"/>
                  </w:tcBorders>
                  <w:shd w:val="clear" w:color="auto" w:fill="auto"/>
                  <w:noWrap w:val="0"/>
                  <w:vAlign w:val="center"/>
                </w:tcPr>
                <w:p w14:paraId="6BE522D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润滑油</w:t>
                  </w:r>
                </w:p>
              </w:tc>
              <w:tc>
                <w:tcPr>
                  <w:tcW w:w="1006" w:type="dxa"/>
                  <w:tcBorders>
                    <w:tl2br w:val="nil"/>
                    <w:tr2bl w:val="nil"/>
                  </w:tcBorders>
                  <w:shd w:val="clear" w:color="auto" w:fill="auto"/>
                  <w:noWrap/>
                  <w:vAlign w:val="center"/>
                </w:tcPr>
                <w:p w14:paraId="6224168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液态</w:t>
                  </w:r>
                </w:p>
              </w:tc>
              <w:tc>
                <w:tcPr>
                  <w:tcW w:w="1915" w:type="dxa"/>
                  <w:tcBorders>
                    <w:tl2br w:val="nil"/>
                    <w:tr2bl w:val="nil"/>
                  </w:tcBorders>
                  <w:shd w:val="clear" w:color="auto" w:fill="auto"/>
                  <w:noWrap w:val="0"/>
                  <w:vAlign w:val="center"/>
                </w:tcPr>
                <w:p w14:paraId="782384B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HW08：900-214-08</w:t>
                  </w:r>
                </w:p>
              </w:tc>
              <w:tc>
                <w:tcPr>
                  <w:tcW w:w="1141" w:type="dxa"/>
                  <w:tcBorders>
                    <w:tl2br w:val="nil"/>
                    <w:tr2bl w:val="nil"/>
                  </w:tcBorders>
                  <w:shd w:val="clear" w:color="auto" w:fill="auto"/>
                  <w:noWrap w:val="0"/>
                  <w:vAlign w:val="center"/>
                </w:tcPr>
                <w:p w14:paraId="67C04BC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T，I</w:t>
                  </w:r>
                </w:p>
              </w:tc>
              <w:tc>
                <w:tcPr>
                  <w:tcW w:w="1141" w:type="dxa"/>
                  <w:tcBorders>
                    <w:tl2br w:val="nil"/>
                    <w:tr2bl w:val="nil"/>
                  </w:tcBorders>
                  <w:shd w:val="clear" w:color="auto" w:fill="auto"/>
                  <w:noWrap w:val="0"/>
                  <w:vAlign w:val="center"/>
                </w:tcPr>
                <w:p w14:paraId="2CE81D2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ascii="Times New Roman" w:hAnsi="Times New Roman" w:eastAsia="宋体" w:cs="Times New Roman"/>
                      <w:i w:val="0"/>
                      <w:iCs w:val="0"/>
                      <w:color w:val="auto"/>
                      <w:kern w:val="0"/>
                      <w:sz w:val="21"/>
                      <w:szCs w:val="21"/>
                      <w:u w:val="none"/>
                      <w:vertAlign w:val="baseline"/>
                      <w:lang w:val="en-US" w:eastAsia="zh-CN" w:bidi="ar"/>
                    </w:rPr>
                    <w:t>0.</w:t>
                  </w:r>
                  <w:r>
                    <w:rPr>
                      <w:rFonts w:hint="default" w:ascii="Times New Roman" w:hAnsi="Times New Roman" w:cs="Times New Roman"/>
                      <w:i w:val="0"/>
                      <w:iCs w:val="0"/>
                      <w:color w:val="auto"/>
                      <w:kern w:val="0"/>
                      <w:sz w:val="21"/>
                      <w:szCs w:val="21"/>
                      <w:u w:val="none"/>
                      <w:vertAlign w:val="baseline"/>
                      <w:lang w:val="en-US" w:eastAsia="zh-CN" w:bidi="ar"/>
                    </w:rPr>
                    <w:t>16</w:t>
                  </w:r>
                </w:p>
              </w:tc>
              <w:tc>
                <w:tcPr>
                  <w:tcW w:w="1141" w:type="dxa"/>
                  <w:vMerge w:val="continue"/>
                  <w:tcBorders>
                    <w:tl2br w:val="nil"/>
                    <w:tr2bl w:val="nil"/>
                  </w:tcBorders>
                  <w:noWrap w:val="0"/>
                  <w:vAlign w:val="center"/>
                </w:tcPr>
                <w:p w14:paraId="3318AF2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p>
              </w:tc>
              <w:tc>
                <w:tcPr>
                  <w:tcW w:w="1141" w:type="dxa"/>
                  <w:vMerge w:val="continue"/>
                  <w:tcBorders>
                    <w:tl2br w:val="nil"/>
                    <w:tr2bl w:val="nil"/>
                  </w:tcBorders>
                  <w:noWrap w:val="0"/>
                  <w:vAlign w:val="center"/>
                </w:tcPr>
                <w:p w14:paraId="245D389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p>
              </w:tc>
              <w:tc>
                <w:tcPr>
                  <w:tcW w:w="1141" w:type="dxa"/>
                  <w:vMerge w:val="continue"/>
                  <w:tcBorders>
                    <w:tl2br w:val="nil"/>
                    <w:tr2bl w:val="nil"/>
                  </w:tcBorders>
                  <w:noWrap w:val="0"/>
                  <w:vAlign w:val="center"/>
                </w:tcPr>
                <w:p w14:paraId="385F54E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p>
              </w:tc>
              <w:tc>
                <w:tcPr>
                  <w:tcW w:w="1155" w:type="dxa"/>
                  <w:vMerge w:val="continue"/>
                  <w:tcBorders>
                    <w:tl2br w:val="nil"/>
                    <w:tr2bl w:val="nil"/>
                  </w:tcBorders>
                  <w:noWrap w:val="0"/>
                  <w:vAlign w:val="center"/>
                </w:tcPr>
                <w:p w14:paraId="728F76F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p>
              </w:tc>
            </w:tr>
            <w:tr w14:paraId="0A7E2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jc w:val="center"/>
              </w:trPr>
              <w:tc>
                <w:tcPr>
                  <w:tcW w:w="617" w:type="dxa"/>
                  <w:tcBorders>
                    <w:tl2br w:val="nil"/>
                    <w:tr2bl w:val="nil"/>
                  </w:tcBorders>
                  <w:shd w:val="clear" w:color="auto" w:fill="auto"/>
                  <w:noWrap w:val="0"/>
                  <w:vAlign w:val="center"/>
                </w:tcPr>
                <w:p w14:paraId="73C8114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4</w:t>
                  </w:r>
                </w:p>
              </w:tc>
              <w:tc>
                <w:tcPr>
                  <w:tcW w:w="1344" w:type="dxa"/>
                  <w:tcBorders>
                    <w:tl2br w:val="nil"/>
                    <w:tr2bl w:val="nil"/>
                  </w:tcBorders>
                  <w:shd w:val="clear" w:color="auto" w:fill="auto"/>
                  <w:noWrap w:val="0"/>
                  <w:vAlign w:val="center"/>
                </w:tcPr>
                <w:p w14:paraId="5C35B4F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废液压油</w:t>
                  </w:r>
                </w:p>
              </w:tc>
              <w:tc>
                <w:tcPr>
                  <w:tcW w:w="1253" w:type="dxa"/>
                  <w:tcBorders>
                    <w:tl2br w:val="nil"/>
                    <w:tr2bl w:val="nil"/>
                  </w:tcBorders>
                  <w:shd w:val="clear" w:color="auto" w:fill="auto"/>
                  <w:noWrap w:val="0"/>
                  <w:vAlign w:val="center"/>
                </w:tcPr>
                <w:p w14:paraId="2822772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液压油</w:t>
                  </w:r>
                </w:p>
              </w:tc>
              <w:tc>
                <w:tcPr>
                  <w:tcW w:w="1006" w:type="dxa"/>
                  <w:tcBorders>
                    <w:tl2br w:val="nil"/>
                    <w:tr2bl w:val="nil"/>
                  </w:tcBorders>
                  <w:shd w:val="clear" w:color="auto" w:fill="auto"/>
                  <w:noWrap/>
                  <w:vAlign w:val="center"/>
                </w:tcPr>
                <w:p w14:paraId="76EBE14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液态</w:t>
                  </w:r>
                </w:p>
              </w:tc>
              <w:tc>
                <w:tcPr>
                  <w:tcW w:w="1915" w:type="dxa"/>
                  <w:tcBorders>
                    <w:tl2br w:val="nil"/>
                    <w:tr2bl w:val="nil"/>
                  </w:tcBorders>
                  <w:shd w:val="clear" w:color="auto" w:fill="auto"/>
                  <w:noWrap w:val="0"/>
                  <w:vAlign w:val="center"/>
                </w:tcPr>
                <w:p w14:paraId="73F8A75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HW08：</w:t>
                  </w:r>
                  <w:r>
                    <w:rPr>
                      <w:rFonts w:hint="default" w:ascii="Times New Roman" w:hAnsi="Times New Roman" w:cs="Times New Roman"/>
                      <w:i w:val="0"/>
                      <w:iCs w:val="0"/>
                      <w:color w:val="auto"/>
                      <w:kern w:val="0"/>
                      <w:sz w:val="21"/>
                      <w:szCs w:val="21"/>
                      <w:u w:val="none"/>
                      <w:lang w:val="en-US" w:eastAsia="zh-CN" w:bidi="ar"/>
                    </w:rPr>
                    <w:t>900-218-08</w:t>
                  </w:r>
                </w:p>
              </w:tc>
              <w:tc>
                <w:tcPr>
                  <w:tcW w:w="1141" w:type="dxa"/>
                  <w:tcBorders>
                    <w:tl2br w:val="nil"/>
                    <w:tr2bl w:val="nil"/>
                  </w:tcBorders>
                  <w:shd w:val="clear" w:color="auto" w:fill="auto"/>
                  <w:noWrap w:val="0"/>
                  <w:vAlign w:val="center"/>
                </w:tcPr>
                <w:p w14:paraId="5D604F5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T，I</w:t>
                  </w:r>
                </w:p>
              </w:tc>
              <w:tc>
                <w:tcPr>
                  <w:tcW w:w="1141" w:type="dxa"/>
                  <w:tcBorders>
                    <w:tl2br w:val="nil"/>
                    <w:tr2bl w:val="nil"/>
                  </w:tcBorders>
                  <w:shd w:val="clear" w:color="auto" w:fill="auto"/>
                  <w:noWrap w:val="0"/>
                  <w:vAlign w:val="center"/>
                </w:tcPr>
                <w:p w14:paraId="2FCDFB1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vertAlign w:val="baseline"/>
                      <w:lang w:val="en-US" w:eastAsia="zh-CN" w:bidi="ar"/>
                    </w:rPr>
                  </w:pPr>
                  <w:r>
                    <w:rPr>
                      <w:rFonts w:hint="default" w:ascii="Times New Roman" w:hAnsi="Times New Roman" w:cs="Times New Roman"/>
                      <w:i w:val="0"/>
                      <w:iCs w:val="0"/>
                      <w:color w:val="auto"/>
                      <w:kern w:val="0"/>
                      <w:sz w:val="21"/>
                      <w:szCs w:val="21"/>
                      <w:u w:val="none"/>
                      <w:vertAlign w:val="baseline"/>
                      <w:lang w:val="en-US" w:eastAsia="zh-CN" w:bidi="ar"/>
                    </w:rPr>
                    <w:t>0.8</w:t>
                  </w:r>
                </w:p>
              </w:tc>
              <w:tc>
                <w:tcPr>
                  <w:tcW w:w="1141" w:type="dxa"/>
                  <w:vMerge w:val="continue"/>
                  <w:tcBorders>
                    <w:tl2br w:val="nil"/>
                    <w:tr2bl w:val="nil"/>
                  </w:tcBorders>
                  <w:noWrap w:val="0"/>
                  <w:vAlign w:val="center"/>
                </w:tcPr>
                <w:p w14:paraId="22C37DD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1141" w:type="dxa"/>
                  <w:vMerge w:val="continue"/>
                  <w:tcBorders>
                    <w:tl2br w:val="nil"/>
                    <w:tr2bl w:val="nil"/>
                  </w:tcBorders>
                  <w:noWrap w:val="0"/>
                  <w:vAlign w:val="center"/>
                </w:tcPr>
                <w:p w14:paraId="2FBF0E0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1141" w:type="dxa"/>
                  <w:vMerge w:val="continue"/>
                  <w:tcBorders>
                    <w:tl2br w:val="nil"/>
                    <w:tr2bl w:val="nil"/>
                  </w:tcBorders>
                  <w:noWrap w:val="0"/>
                  <w:vAlign w:val="center"/>
                </w:tcPr>
                <w:p w14:paraId="1F8AAEBE">
                  <w:pPr>
                    <w:keepNext w:val="0"/>
                    <w:keepLines w:val="0"/>
                    <w:widowControl/>
                    <w:suppressLineNumbers w:val="0"/>
                    <w:jc w:val="center"/>
                    <w:textAlignment w:val="center"/>
                    <w:rPr>
                      <w:rFonts w:hint="eastAsia" w:cs="Times New Roman"/>
                      <w:i w:val="0"/>
                      <w:iCs w:val="0"/>
                      <w:color w:val="auto"/>
                      <w:kern w:val="0"/>
                      <w:sz w:val="21"/>
                      <w:szCs w:val="21"/>
                      <w:u w:val="none"/>
                      <w:lang w:val="en-US" w:eastAsia="zh-CN" w:bidi="ar"/>
                    </w:rPr>
                  </w:pPr>
                </w:p>
              </w:tc>
              <w:tc>
                <w:tcPr>
                  <w:tcW w:w="1155" w:type="dxa"/>
                  <w:vMerge w:val="continue"/>
                  <w:tcBorders>
                    <w:tl2br w:val="nil"/>
                    <w:tr2bl w:val="nil"/>
                  </w:tcBorders>
                  <w:noWrap w:val="0"/>
                  <w:vAlign w:val="center"/>
                </w:tcPr>
                <w:p w14:paraId="2A60D14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r>
            <w:tr w14:paraId="7152C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17" w:type="dxa"/>
                  <w:tcBorders>
                    <w:tl2br w:val="nil"/>
                    <w:tr2bl w:val="nil"/>
                  </w:tcBorders>
                  <w:shd w:val="clear" w:color="auto" w:fill="auto"/>
                  <w:noWrap w:val="0"/>
                  <w:vAlign w:val="center"/>
                </w:tcPr>
                <w:p w14:paraId="3B1A1A7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0"/>
                      <w:sz w:val="21"/>
                      <w:szCs w:val="21"/>
                      <w:u w:val="none"/>
                      <w:lang w:val="en-US" w:eastAsia="zh-CN" w:bidi="ar"/>
                    </w:rPr>
                    <w:t>5</w:t>
                  </w:r>
                </w:p>
              </w:tc>
              <w:tc>
                <w:tcPr>
                  <w:tcW w:w="1344" w:type="dxa"/>
                  <w:tcBorders>
                    <w:tl2br w:val="nil"/>
                    <w:tr2bl w:val="nil"/>
                  </w:tcBorders>
                  <w:shd w:val="clear" w:color="auto" w:fill="auto"/>
                  <w:noWrap w:val="0"/>
                  <w:vAlign w:val="center"/>
                </w:tcPr>
                <w:p w14:paraId="1772232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废油桶</w:t>
                  </w:r>
                </w:p>
              </w:tc>
              <w:tc>
                <w:tcPr>
                  <w:tcW w:w="1253" w:type="dxa"/>
                  <w:tcBorders>
                    <w:tl2br w:val="nil"/>
                    <w:tr2bl w:val="nil"/>
                  </w:tcBorders>
                  <w:shd w:val="clear" w:color="auto" w:fill="auto"/>
                  <w:noWrap w:val="0"/>
                  <w:vAlign w:val="center"/>
                </w:tcPr>
                <w:p w14:paraId="3276709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0"/>
                      <w:sz w:val="21"/>
                      <w:szCs w:val="21"/>
                      <w:u w:val="none"/>
                      <w:lang w:val="en-US" w:eastAsia="zh-CN" w:bidi="ar"/>
                    </w:rPr>
                    <w:t>润滑油、液压油</w:t>
                  </w:r>
                </w:p>
              </w:tc>
              <w:tc>
                <w:tcPr>
                  <w:tcW w:w="1006" w:type="dxa"/>
                  <w:tcBorders>
                    <w:tl2br w:val="nil"/>
                    <w:tr2bl w:val="nil"/>
                  </w:tcBorders>
                  <w:shd w:val="clear" w:color="auto" w:fill="auto"/>
                  <w:noWrap w:val="0"/>
                  <w:vAlign w:val="center"/>
                </w:tcPr>
                <w:p w14:paraId="55ED804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固态</w:t>
                  </w:r>
                </w:p>
              </w:tc>
              <w:tc>
                <w:tcPr>
                  <w:tcW w:w="1915" w:type="dxa"/>
                  <w:tcBorders>
                    <w:tl2br w:val="nil"/>
                    <w:tr2bl w:val="nil"/>
                  </w:tcBorders>
                  <w:shd w:val="clear" w:color="auto" w:fill="auto"/>
                  <w:noWrap w:val="0"/>
                  <w:vAlign w:val="center"/>
                </w:tcPr>
                <w:p w14:paraId="667D229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HW08：</w:t>
                  </w:r>
                  <w:r>
                    <w:rPr>
                      <w:rFonts w:hint="default" w:ascii="Times New Roman" w:hAnsi="Times New Roman" w:cs="Times New Roman"/>
                      <w:i w:val="0"/>
                      <w:iCs w:val="0"/>
                      <w:color w:val="auto"/>
                      <w:kern w:val="0"/>
                      <w:sz w:val="21"/>
                      <w:szCs w:val="21"/>
                      <w:u w:val="none"/>
                      <w:lang w:val="en-US" w:eastAsia="zh-CN" w:bidi="ar"/>
                    </w:rPr>
                    <w:t>900-249-08</w:t>
                  </w:r>
                </w:p>
              </w:tc>
              <w:tc>
                <w:tcPr>
                  <w:tcW w:w="1141" w:type="dxa"/>
                  <w:tcBorders>
                    <w:tl2br w:val="nil"/>
                    <w:tr2bl w:val="nil"/>
                  </w:tcBorders>
                  <w:shd w:val="clear" w:color="auto" w:fill="auto"/>
                  <w:noWrap w:val="0"/>
                  <w:vAlign w:val="center"/>
                </w:tcPr>
                <w:p w14:paraId="2A34DF0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T，I</w:t>
                  </w:r>
                </w:p>
              </w:tc>
              <w:tc>
                <w:tcPr>
                  <w:tcW w:w="1141" w:type="dxa"/>
                  <w:tcBorders>
                    <w:tl2br w:val="nil"/>
                    <w:tr2bl w:val="nil"/>
                  </w:tcBorders>
                  <w:shd w:val="clear" w:color="auto" w:fill="auto"/>
                  <w:noWrap w:val="0"/>
                  <w:vAlign w:val="center"/>
                </w:tcPr>
                <w:p w14:paraId="6106E52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ascii="Times New Roman" w:hAnsi="Times New Roman" w:cs="Times New Roman"/>
                      <w:i w:val="0"/>
                      <w:iCs w:val="0"/>
                      <w:color w:val="auto"/>
                      <w:kern w:val="0"/>
                      <w:sz w:val="21"/>
                      <w:szCs w:val="21"/>
                      <w:u w:val="none"/>
                      <w:vertAlign w:val="baseline"/>
                      <w:lang w:val="en-US" w:eastAsia="zh-CN" w:bidi="ar"/>
                    </w:rPr>
                    <w:t>0.072</w:t>
                  </w:r>
                </w:p>
              </w:tc>
              <w:tc>
                <w:tcPr>
                  <w:tcW w:w="1141" w:type="dxa"/>
                  <w:vMerge w:val="continue"/>
                  <w:tcBorders>
                    <w:tl2br w:val="nil"/>
                    <w:tr2bl w:val="nil"/>
                  </w:tcBorders>
                  <w:noWrap w:val="0"/>
                  <w:vAlign w:val="center"/>
                </w:tcPr>
                <w:p w14:paraId="616A2E11">
                  <w:pPr>
                    <w:jc w:val="center"/>
                    <w:rPr>
                      <w:rFonts w:hint="default" w:ascii="Times New Roman" w:hAnsi="Times New Roman" w:eastAsia="宋体" w:cs="Times New Roman"/>
                      <w:i w:val="0"/>
                      <w:iCs w:val="0"/>
                      <w:color w:val="auto"/>
                      <w:sz w:val="21"/>
                      <w:szCs w:val="21"/>
                      <w:u w:val="none"/>
                    </w:rPr>
                  </w:pPr>
                </w:p>
              </w:tc>
              <w:tc>
                <w:tcPr>
                  <w:tcW w:w="1141" w:type="dxa"/>
                  <w:vMerge w:val="continue"/>
                  <w:tcBorders>
                    <w:tl2br w:val="nil"/>
                    <w:tr2bl w:val="nil"/>
                  </w:tcBorders>
                  <w:noWrap w:val="0"/>
                  <w:vAlign w:val="center"/>
                </w:tcPr>
                <w:p w14:paraId="2F730818">
                  <w:pPr>
                    <w:jc w:val="center"/>
                    <w:rPr>
                      <w:rFonts w:hint="default" w:ascii="Times New Roman" w:hAnsi="Times New Roman" w:eastAsia="宋体" w:cs="Times New Roman"/>
                      <w:i w:val="0"/>
                      <w:iCs w:val="0"/>
                      <w:color w:val="auto"/>
                      <w:sz w:val="21"/>
                      <w:szCs w:val="21"/>
                      <w:u w:val="none"/>
                    </w:rPr>
                  </w:pPr>
                </w:p>
              </w:tc>
              <w:tc>
                <w:tcPr>
                  <w:tcW w:w="1141" w:type="dxa"/>
                  <w:vMerge w:val="continue"/>
                  <w:tcBorders>
                    <w:tl2br w:val="nil"/>
                    <w:tr2bl w:val="nil"/>
                  </w:tcBorders>
                  <w:noWrap w:val="0"/>
                  <w:vAlign w:val="center"/>
                </w:tcPr>
                <w:p w14:paraId="7D7C5E34">
                  <w:pPr>
                    <w:jc w:val="center"/>
                    <w:rPr>
                      <w:rFonts w:hint="default" w:ascii="Times New Roman" w:hAnsi="Times New Roman" w:eastAsia="宋体" w:cs="Times New Roman"/>
                      <w:i w:val="0"/>
                      <w:iCs w:val="0"/>
                      <w:color w:val="auto"/>
                      <w:sz w:val="21"/>
                      <w:szCs w:val="21"/>
                      <w:u w:val="none"/>
                    </w:rPr>
                  </w:pPr>
                </w:p>
              </w:tc>
              <w:tc>
                <w:tcPr>
                  <w:tcW w:w="1155" w:type="dxa"/>
                  <w:vMerge w:val="continue"/>
                  <w:tcBorders>
                    <w:tl2br w:val="nil"/>
                    <w:tr2bl w:val="nil"/>
                  </w:tcBorders>
                  <w:noWrap w:val="0"/>
                  <w:vAlign w:val="center"/>
                </w:tcPr>
                <w:p w14:paraId="1ED41D65">
                  <w:pPr>
                    <w:jc w:val="center"/>
                    <w:rPr>
                      <w:rFonts w:hint="default" w:ascii="Times New Roman" w:hAnsi="Times New Roman" w:eastAsia="宋体" w:cs="Times New Roman"/>
                      <w:i w:val="0"/>
                      <w:iCs w:val="0"/>
                      <w:color w:val="auto"/>
                      <w:sz w:val="21"/>
                      <w:szCs w:val="21"/>
                      <w:u w:val="none"/>
                    </w:rPr>
                  </w:pPr>
                </w:p>
              </w:tc>
            </w:tr>
            <w:tr w14:paraId="2279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17" w:type="dxa"/>
                  <w:tcBorders>
                    <w:tl2br w:val="nil"/>
                    <w:tr2bl w:val="nil"/>
                  </w:tcBorders>
                  <w:shd w:val="clear" w:color="auto" w:fill="auto"/>
                  <w:noWrap w:val="0"/>
                  <w:vAlign w:val="center"/>
                </w:tcPr>
                <w:p w14:paraId="41F3A91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0"/>
                      <w:sz w:val="21"/>
                      <w:szCs w:val="21"/>
                      <w:u w:val="none"/>
                      <w:lang w:val="en-US" w:eastAsia="zh-CN" w:bidi="ar"/>
                    </w:rPr>
                    <w:t>6</w:t>
                  </w:r>
                </w:p>
              </w:tc>
              <w:tc>
                <w:tcPr>
                  <w:tcW w:w="1344" w:type="dxa"/>
                  <w:tcBorders>
                    <w:tl2br w:val="nil"/>
                    <w:tr2bl w:val="nil"/>
                  </w:tcBorders>
                  <w:shd w:val="clear" w:color="auto" w:fill="auto"/>
                  <w:noWrap w:val="0"/>
                  <w:vAlign w:val="center"/>
                </w:tcPr>
                <w:p w14:paraId="5FB5BE1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含油废手套</w:t>
                  </w:r>
                </w:p>
              </w:tc>
              <w:tc>
                <w:tcPr>
                  <w:tcW w:w="1253" w:type="dxa"/>
                  <w:tcBorders>
                    <w:tl2br w:val="nil"/>
                    <w:tr2bl w:val="nil"/>
                  </w:tcBorders>
                  <w:shd w:val="clear" w:color="auto" w:fill="auto"/>
                  <w:noWrap w:val="0"/>
                  <w:vAlign w:val="center"/>
                </w:tcPr>
                <w:p w14:paraId="5AE2D29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0"/>
                      <w:sz w:val="21"/>
                      <w:szCs w:val="21"/>
                      <w:u w:val="none"/>
                      <w:lang w:val="en-US" w:eastAsia="zh-CN" w:bidi="ar"/>
                    </w:rPr>
                    <w:t>润滑油、液压油</w:t>
                  </w:r>
                </w:p>
              </w:tc>
              <w:tc>
                <w:tcPr>
                  <w:tcW w:w="1006" w:type="dxa"/>
                  <w:tcBorders>
                    <w:tl2br w:val="nil"/>
                    <w:tr2bl w:val="nil"/>
                  </w:tcBorders>
                  <w:shd w:val="clear" w:color="auto" w:fill="auto"/>
                  <w:noWrap/>
                  <w:vAlign w:val="center"/>
                </w:tcPr>
                <w:p w14:paraId="5BD7DAB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固态</w:t>
                  </w:r>
                </w:p>
              </w:tc>
              <w:tc>
                <w:tcPr>
                  <w:tcW w:w="1915" w:type="dxa"/>
                  <w:tcBorders>
                    <w:tl2br w:val="nil"/>
                    <w:tr2bl w:val="nil"/>
                  </w:tcBorders>
                  <w:shd w:val="clear" w:color="auto" w:fill="auto"/>
                  <w:noWrap w:val="0"/>
                  <w:vAlign w:val="center"/>
                </w:tcPr>
                <w:p w14:paraId="3A728BC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HW</w:t>
                  </w:r>
                  <w:r>
                    <w:rPr>
                      <w:rFonts w:hint="default" w:ascii="Times New Roman" w:hAnsi="Times New Roman" w:cs="Times New Roman"/>
                      <w:i w:val="0"/>
                      <w:iCs w:val="0"/>
                      <w:color w:val="auto"/>
                      <w:kern w:val="0"/>
                      <w:sz w:val="21"/>
                      <w:szCs w:val="21"/>
                      <w:u w:val="none"/>
                      <w:lang w:val="en-US" w:eastAsia="zh-CN" w:bidi="ar"/>
                    </w:rPr>
                    <w:t>49</w:t>
                  </w:r>
                  <w:r>
                    <w:rPr>
                      <w:rFonts w:hint="default" w:ascii="Times New Roman" w:hAnsi="Times New Roman" w:eastAsia="宋体" w:cs="Times New Roman"/>
                      <w:i w:val="0"/>
                      <w:iCs w:val="0"/>
                      <w:color w:val="auto"/>
                      <w:kern w:val="0"/>
                      <w:sz w:val="21"/>
                      <w:szCs w:val="21"/>
                      <w:u w:val="none"/>
                      <w:lang w:val="en-US" w:eastAsia="zh-CN" w:bidi="ar"/>
                    </w:rPr>
                    <w:t>：900-</w:t>
                  </w:r>
                  <w:r>
                    <w:rPr>
                      <w:rFonts w:hint="default" w:ascii="Times New Roman" w:hAnsi="Times New Roman" w:cs="Times New Roman"/>
                      <w:i w:val="0"/>
                      <w:iCs w:val="0"/>
                      <w:color w:val="auto"/>
                      <w:kern w:val="0"/>
                      <w:sz w:val="21"/>
                      <w:szCs w:val="21"/>
                      <w:u w:val="none"/>
                      <w:lang w:val="en-US" w:eastAsia="zh-CN" w:bidi="ar"/>
                    </w:rPr>
                    <w:t>041</w:t>
                  </w:r>
                  <w:r>
                    <w:rPr>
                      <w:rFonts w:hint="default"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cs="Times New Roman"/>
                      <w:i w:val="0"/>
                      <w:iCs w:val="0"/>
                      <w:color w:val="auto"/>
                      <w:kern w:val="0"/>
                      <w:sz w:val="21"/>
                      <w:szCs w:val="21"/>
                      <w:u w:val="none"/>
                      <w:lang w:val="en-US" w:eastAsia="zh-CN" w:bidi="ar"/>
                    </w:rPr>
                    <w:t>49</w:t>
                  </w:r>
                </w:p>
              </w:tc>
              <w:tc>
                <w:tcPr>
                  <w:tcW w:w="1141" w:type="dxa"/>
                  <w:tcBorders>
                    <w:tl2br w:val="nil"/>
                    <w:tr2bl w:val="nil"/>
                  </w:tcBorders>
                  <w:shd w:val="clear" w:color="auto" w:fill="auto"/>
                  <w:noWrap w:val="0"/>
                  <w:vAlign w:val="center"/>
                </w:tcPr>
                <w:p w14:paraId="58EAFCB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T，I</w:t>
                  </w:r>
                </w:p>
              </w:tc>
              <w:tc>
                <w:tcPr>
                  <w:tcW w:w="1141" w:type="dxa"/>
                  <w:tcBorders>
                    <w:tl2br w:val="nil"/>
                    <w:tr2bl w:val="nil"/>
                  </w:tcBorders>
                  <w:shd w:val="clear" w:color="auto" w:fill="auto"/>
                  <w:noWrap w:val="0"/>
                  <w:vAlign w:val="center"/>
                </w:tcPr>
                <w:p w14:paraId="72F4CB0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ascii="Times New Roman" w:hAnsi="Times New Roman" w:eastAsia="宋体" w:cs="Times New Roman"/>
                      <w:i w:val="0"/>
                      <w:iCs w:val="0"/>
                      <w:color w:val="auto"/>
                      <w:kern w:val="0"/>
                      <w:sz w:val="21"/>
                      <w:szCs w:val="21"/>
                      <w:u w:val="none"/>
                      <w:vertAlign w:val="baseline"/>
                      <w:lang w:val="en-US" w:eastAsia="zh-CN" w:bidi="ar"/>
                    </w:rPr>
                    <w:t>0.0</w:t>
                  </w:r>
                  <w:r>
                    <w:rPr>
                      <w:rFonts w:hint="default" w:ascii="Times New Roman" w:hAnsi="Times New Roman" w:cs="Times New Roman"/>
                      <w:i w:val="0"/>
                      <w:iCs w:val="0"/>
                      <w:color w:val="auto"/>
                      <w:kern w:val="0"/>
                      <w:sz w:val="21"/>
                      <w:szCs w:val="21"/>
                      <w:u w:val="none"/>
                      <w:vertAlign w:val="baseline"/>
                      <w:lang w:val="en-US" w:eastAsia="zh-CN" w:bidi="ar"/>
                    </w:rPr>
                    <w:t>1</w:t>
                  </w:r>
                </w:p>
              </w:tc>
              <w:tc>
                <w:tcPr>
                  <w:tcW w:w="1141" w:type="dxa"/>
                  <w:vMerge w:val="continue"/>
                  <w:tcBorders>
                    <w:tl2br w:val="nil"/>
                    <w:tr2bl w:val="nil"/>
                  </w:tcBorders>
                  <w:noWrap w:val="0"/>
                  <w:vAlign w:val="center"/>
                </w:tcPr>
                <w:p w14:paraId="6D2C3355">
                  <w:pPr>
                    <w:jc w:val="center"/>
                    <w:rPr>
                      <w:rFonts w:hint="default" w:ascii="Times New Roman" w:hAnsi="Times New Roman" w:eastAsia="宋体" w:cs="Times New Roman"/>
                      <w:i w:val="0"/>
                      <w:iCs w:val="0"/>
                      <w:color w:val="auto"/>
                      <w:sz w:val="21"/>
                      <w:szCs w:val="21"/>
                      <w:u w:val="none"/>
                    </w:rPr>
                  </w:pPr>
                </w:p>
              </w:tc>
              <w:tc>
                <w:tcPr>
                  <w:tcW w:w="1141" w:type="dxa"/>
                  <w:vMerge w:val="continue"/>
                  <w:tcBorders>
                    <w:tl2br w:val="nil"/>
                    <w:tr2bl w:val="nil"/>
                  </w:tcBorders>
                  <w:noWrap w:val="0"/>
                  <w:vAlign w:val="center"/>
                </w:tcPr>
                <w:p w14:paraId="0599698B">
                  <w:pPr>
                    <w:jc w:val="center"/>
                    <w:rPr>
                      <w:rFonts w:hint="default" w:ascii="Times New Roman" w:hAnsi="Times New Roman" w:eastAsia="宋体" w:cs="Times New Roman"/>
                      <w:i w:val="0"/>
                      <w:iCs w:val="0"/>
                      <w:color w:val="auto"/>
                      <w:sz w:val="21"/>
                      <w:szCs w:val="21"/>
                      <w:u w:val="none"/>
                    </w:rPr>
                  </w:pPr>
                </w:p>
              </w:tc>
              <w:tc>
                <w:tcPr>
                  <w:tcW w:w="1141" w:type="dxa"/>
                  <w:vMerge w:val="continue"/>
                  <w:tcBorders>
                    <w:tl2br w:val="nil"/>
                    <w:tr2bl w:val="nil"/>
                  </w:tcBorders>
                  <w:noWrap w:val="0"/>
                  <w:vAlign w:val="center"/>
                </w:tcPr>
                <w:p w14:paraId="22E05F34">
                  <w:pPr>
                    <w:jc w:val="center"/>
                    <w:rPr>
                      <w:rFonts w:hint="default" w:ascii="Times New Roman" w:hAnsi="Times New Roman" w:eastAsia="宋体" w:cs="Times New Roman"/>
                      <w:i w:val="0"/>
                      <w:iCs w:val="0"/>
                      <w:color w:val="auto"/>
                      <w:sz w:val="21"/>
                      <w:szCs w:val="21"/>
                      <w:u w:val="none"/>
                    </w:rPr>
                  </w:pPr>
                </w:p>
              </w:tc>
              <w:tc>
                <w:tcPr>
                  <w:tcW w:w="1155" w:type="dxa"/>
                  <w:vMerge w:val="continue"/>
                  <w:tcBorders>
                    <w:tl2br w:val="nil"/>
                    <w:tr2bl w:val="nil"/>
                  </w:tcBorders>
                  <w:noWrap w:val="0"/>
                  <w:vAlign w:val="center"/>
                </w:tcPr>
                <w:p w14:paraId="17BD126E">
                  <w:pPr>
                    <w:jc w:val="center"/>
                    <w:rPr>
                      <w:rFonts w:hint="default" w:ascii="Times New Roman" w:hAnsi="Times New Roman" w:eastAsia="宋体" w:cs="Times New Roman"/>
                      <w:i w:val="0"/>
                      <w:iCs w:val="0"/>
                      <w:color w:val="auto"/>
                      <w:sz w:val="21"/>
                      <w:szCs w:val="21"/>
                      <w:u w:val="none"/>
                    </w:rPr>
                  </w:pPr>
                </w:p>
              </w:tc>
            </w:tr>
          </w:tbl>
          <w:p w14:paraId="73CF29E2">
            <w:pPr>
              <w:pStyle w:val="49"/>
              <w:keepNext w:val="0"/>
              <w:keepLines w:val="0"/>
              <w:pageBreakBefore w:val="0"/>
              <w:widowControl w:val="0"/>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eastAsia="宋体" w:cs="Times New Roman"/>
                <w:color w:val="auto"/>
                <w:spacing w:val="0"/>
                <w:kern w:val="2"/>
                <w:position w:val="0"/>
                <w:sz w:val="24"/>
                <w:szCs w:val="20"/>
                <w:lang w:val="en-US" w:eastAsia="zh-CN" w:bidi="ar-SA"/>
              </w:rPr>
            </w:pPr>
            <w:r>
              <w:rPr>
                <w:rFonts w:hint="default" w:ascii="Times New Roman" w:hAnsi="Times New Roman" w:eastAsia="宋体" w:cs="Times New Roman"/>
                <w:b/>
                <w:bCs/>
                <w:caps w:val="0"/>
                <w:color w:val="auto"/>
                <w:spacing w:val="0"/>
                <w:kern w:val="0"/>
                <w:position w:val="0"/>
                <w:sz w:val="21"/>
                <w:szCs w:val="21"/>
                <w:lang w:val="en-US" w:eastAsia="zh-CN" w:bidi="ar"/>
              </w:rPr>
              <w:t>表</w:t>
            </w:r>
            <w:r>
              <w:rPr>
                <w:rFonts w:hint="default" w:ascii="Times New Roman" w:hAnsi="Times New Roman" w:cs="Times New Roman"/>
                <w:b/>
                <w:bCs/>
                <w:caps w:val="0"/>
                <w:color w:val="auto"/>
                <w:spacing w:val="0"/>
                <w:kern w:val="0"/>
                <w:position w:val="0"/>
                <w:sz w:val="21"/>
                <w:szCs w:val="21"/>
                <w:lang w:val="en-US" w:eastAsia="zh-CN" w:bidi="ar"/>
              </w:rPr>
              <w:t>4-</w:t>
            </w:r>
            <w:r>
              <w:rPr>
                <w:rFonts w:hint="eastAsia" w:ascii="Times New Roman" w:hAnsi="Times New Roman" w:cs="Times New Roman"/>
                <w:b/>
                <w:bCs/>
                <w:caps w:val="0"/>
                <w:color w:val="auto"/>
                <w:spacing w:val="0"/>
                <w:kern w:val="0"/>
                <w:position w:val="0"/>
                <w:sz w:val="21"/>
                <w:szCs w:val="21"/>
                <w:lang w:val="en-US" w:eastAsia="zh-CN" w:bidi="ar"/>
              </w:rPr>
              <w:t>33</w:t>
            </w:r>
            <w:r>
              <w:rPr>
                <w:rFonts w:hint="default" w:ascii="Times New Roman" w:hAnsi="Times New Roman" w:eastAsia="宋体" w:cs="Times New Roman"/>
                <w:b/>
                <w:bCs/>
                <w:caps w:val="0"/>
                <w:color w:val="auto"/>
                <w:spacing w:val="0"/>
                <w:kern w:val="0"/>
                <w:position w:val="0"/>
                <w:sz w:val="21"/>
                <w:szCs w:val="21"/>
                <w:lang w:val="en-US" w:eastAsia="zh-CN" w:bidi="ar"/>
              </w:rPr>
              <w:t xml:space="preserve">  建设项目危险废物贮存场所</w:t>
            </w:r>
            <w:r>
              <w:rPr>
                <w:rFonts w:hint="eastAsia" w:ascii="Times New Roman" w:hAnsi="Times New Roman" w:cs="Times New Roman"/>
                <w:b/>
                <w:bCs/>
                <w:caps w:val="0"/>
                <w:color w:val="auto"/>
                <w:spacing w:val="0"/>
                <w:kern w:val="0"/>
                <w:position w:val="0"/>
                <w:sz w:val="21"/>
                <w:szCs w:val="21"/>
                <w:lang w:val="en-US" w:eastAsia="zh-CN" w:bidi="ar"/>
              </w:rPr>
              <w:t>（</w:t>
            </w:r>
            <w:r>
              <w:rPr>
                <w:rFonts w:hint="default" w:ascii="Times New Roman" w:hAnsi="Times New Roman" w:eastAsia="宋体" w:cs="Times New Roman"/>
                <w:b/>
                <w:bCs/>
                <w:caps w:val="0"/>
                <w:color w:val="auto"/>
                <w:spacing w:val="0"/>
                <w:kern w:val="0"/>
                <w:position w:val="0"/>
                <w:sz w:val="21"/>
                <w:szCs w:val="21"/>
                <w:lang w:val="en-US" w:eastAsia="zh-CN" w:bidi="ar"/>
              </w:rPr>
              <w:t>设施）基本情况表</w:t>
            </w:r>
          </w:p>
          <w:tbl>
            <w:tblPr>
              <w:tblStyle w:val="26"/>
              <w:tblW w:w="12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3"/>
              <w:gridCol w:w="1660"/>
              <w:gridCol w:w="1280"/>
              <w:gridCol w:w="2334"/>
              <w:gridCol w:w="2040"/>
              <w:gridCol w:w="1066"/>
              <w:gridCol w:w="1267"/>
              <w:gridCol w:w="1080"/>
              <w:gridCol w:w="1100"/>
            </w:tblGrid>
            <w:tr w14:paraId="6A74F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3" w:type="dxa"/>
                  <w:tcBorders>
                    <w:tl2br w:val="nil"/>
                    <w:tr2bl w:val="nil"/>
                  </w:tcBorders>
                  <w:noWrap w:val="0"/>
                  <w:vAlign w:val="center"/>
                </w:tcPr>
                <w:p w14:paraId="1B67FED6">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贮存场所</w:t>
                  </w:r>
                </w:p>
              </w:tc>
              <w:tc>
                <w:tcPr>
                  <w:tcW w:w="1660" w:type="dxa"/>
                  <w:tcBorders>
                    <w:tl2br w:val="nil"/>
                    <w:tr2bl w:val="nil"/>
                  </w:tcBorders>
                  <w:noWrap w:val="0"/>
                  <w:vAlign w:val="center"/>
                </w:tcPr>
                <w:p w14:paraId="0EC82F22">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危废来源</w:t>
                  </w:r>
                </w:p>
              </w:tc>
              <w:tc>
                <w:tcPr>
                  <w:tcW w:w="1280" w:type="dxa"/>
                  <w:tcBorders>
                    <w:tl2br w:val="nil"/>
                    <w:tr2bl w:val="nil"/>
                  </w:tcBorders>
                  <w:noWrap w:val="0"/>
                  <w:vAlign w:val="center"/>
                </w:tcPr>
                <w:p w14:paraId="65BA758C">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产生环节</w:t>
                  </w:r>
                </w:p>
              </w:tc>
              <w:tc>
                <w:tcPr>
                  <w:tcW w:w="2334" w:type="dxa"/>
                  <w:tcBorders>
                    <w:tl2br w:val="nil"/>
                    <w:tr2bl w:val="nil"/>
                  </w:tcBorders>
                  <w:noWrap w:val="0"/>
                  <w:vAlign w:val="center"/>
                </w:tcPr>
                <w:p w14:paraId="0641AE5F">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危废名称</w:t>
                  </w:r>
                </w:p>
              </w:tc>
              <w:tc>
                <w:tcPr>
                  <w:tcW w:w="2040" w:type="dxa"/>
                  <w:tcBorders>
                    <w:tl2br w:val="nil"/>
                    <w:tr2bl w:val="nil"/>
                  </w:tcBorders>
                  <w:noWrap w:val="0"/>
                  <w:vAlign w:val="center"/>
                </w:tcPr>
                <w:p w14:paraId="2EE491B9">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类别及代码</w:t>
                  </w:r>
                </w:p>
              </w:tc>
              <w:tc>
                <w:tcPr>
                  <w:tcW w:w="1066" w:type="dxa"/>
                  <w:tcBorders>
                    <w:tl2br w:val="nil"/>
                    <w:tr2bl w:val="nil"/>
                  </w:tcBorders>
                  <w:noWrap w:val="0"/>
                  <w:vAlign w:val="center"/>
                </w:tcPr>
                <w:p w14:paraId="3F74BB2F">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占地面积</w:t>
                  </w:r>
                </w:p>
              </w:tc>
              <w:tc>
                <w:tcPr>
                  <w:tcW w:w="1267" w:type="dxa"/>
                  <w:tcBorders>
                    <w:tl2br w:val="nil"/>
                    <w:tr2bl w:val="nil"/>
                  </w:tcBorders>
                  <w:noWrap w:val="0"/>
                  <w:vAlign w:val="center"/>
                </w:tcPr>
                <w:p w14:paraId="0C267C06">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贮存方式</w:t>
                  </w:r>
                </w:p>
              </w:tc>
              <w:tc>
                <w:tcPr>
                  <w:tcW w:w="1080" w:type="dxa"/>
                  <w:tcBorders>
                    <w:tl2br w:val="nil"/>
                    <w:tr2bl w:val="nil"/>
                  </w:tcBorders>
                  <w:noWrap w:val="0"/>
                  <w:vAlign w:val="center"/>
                </w:tcPr>
                <w:p w14:paraId="0C73C09E">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贮存能力</w:t>
                  </w:r>
                </w:p>
              </w:tc>
              <w:tc>
                <w:tcPr>
                  <w:tcW w:w="1100" w:type="dxa"/>
                  <w:tcBorders>
                    <w:tl2br w:val="nil"/>
                    <w:tr2bl w:val="nil"/>
                  </w:tcBorders>
                  <w:noWrap w:val="0"/>
                  <w:vAlign w:val="center"/>
                </w:tcPr>
                <w:p w14:paraId="5EF4FF25">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贮存周期</w:t>
                  </w:r>
                </w:p>
              </w:tc>
            </w:tr>
            <w:tr w14:paraId="49054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3" w:type="dxa"/>
                  <w:vMerge w:val="restart"/>
                  <w:tcBorders>
                    <w:tl2br w:val="nil"/>
                    <w:tr2bl w:val="nil"/>
                  </w:tcBorders>
                  <w:noWrap w:val="0"/>
                  <w:vAlign w:val="center"/>
                </w:tcPr>
                <w:p w14:paraId="7B67F4BA">
                  <w:pPr>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危废库</w:t>
                  </w:r>
                </w:p>
              </w:tc>
              <w:tc>
                <w:tcPr>
                  <w:tcW w:w="2940" w:type="dxa"/>
                  <w:gridSpan w:val="2"/>
                  <w:tcBorders>
                    <w:tl2br w:val="nil"/>
                    <w:tr2bl w:val="nil"/>
                  </w:tcBorders>
                  <w:shd w:val="clear" w:color="auto" w:fill="auto"/>
                  <w:noWrap w:val="0"/>
                  <w:vAlign w:val="center"/>
                </w:tcPr>
                <w:p w14:paraId="749ECFE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auto"/>
                      <w:sz w:val="21"/>
                      <w:szCs w:val="21"/>
                      <w:u w:val="none"/>
                      <w:lang w:val="en-US" w:eastAsia="zh-CN"/>
                    </w:rPr>
                    <w:t>废化学原料包装</w:t>
                  </w:r>
                </w:p>
              </w:tc>
              <w:tc>
                <w:tcPr>
                  <w:tcW w:w="2334" w:type="dxa"/>
                  <w:tcBorders>
                    <w:tl2br w:val="nil"/>
                    <w:tr2bl w:val="nil"/>
                  </w:tcBorders>
                  <w:shd w:val="clear" w:color="auto" w:fill="auto"/>
                  <w:noWrap w:val="0"/>
                  <w:vAlign w:val="center"/>
                </w:tcPr>
                <w:p w14:paraId="329D0F3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sz w:val="21"/>
                      <w:szCs w:val="21"/>
                      <w:u w:val="none"/>
                      <w:lang w:val="en-US" w:eastAsia="zh-CN"/>
                    </w:rPr>
                    <w:t>废化学原料包装材料</w:t>
                  </w:r>
                </w:p>
              </w:tc>
              <w:tc>
                <w:tcPr>
                  <w:tcW w:w="2040" w:type="dxa"/>
                  <w:tcBorders>
                    <w:tl2br w:val="nil"/>
                    <w:tr2bl w:val="nil"/>
                  </w:tcBorders>
                  <w:shd w:val="clear" w:color="auto" w:fill="auto"/>
                  <w:noWrap w:val="0"/>
                  <w:vAlign w:val="center"/>
                </w:tcPr>
                <w:p w14:paraId="5F65A12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HW</w:t>
                  </w:r>
                  <w:r>
                    <w:rPr>
                      <w:rFonts w:hint="default" w:ascii="Times New Roman" w:hAnsi="Times New Roman" w:cs="Times New Roman"/>
                      <w:i w:val="0"/>
                      <w:iCs w:val="0"/>
                      <w:color w:val="auto"/>
                      <w:kern w:val="0"/>
                      <w:sz w:val="21"/>
                      <w:szCs w:val="21"/>
                      <w:u w:val="none"/>
                      <w:lang w:val="en-US" w:eastAsia="zh-CN" w:bidi="ar"/>
                    </w:rPr>
                    <w:t>49</w:t>
                  </w:r>
                  <w:r>
                    <w:rPr>
                      <w:rFonts w:hint="default" w:ascii="Times New Roman" w:hAnsi="Times New Roman" w:eastAsia="宋体" w:cs="Times New Roman"/>
                      <w:i w:val="0"/>
                      <w:iCs w:val="0"/>
                      <w:color w:val="auto"/>
                      <w:kern w:val="0"/>
                      <w:sz w:val="21"/>
                      <w:szCs w:val="21"/>
                      <w:u w:val="none"/>
                      <w:lang w:val="en-US" w:eastAsia="zh-CN" w:bidi="ar"/>
                    </w:rPr>
                    <w:t>：900-</w:t>
                  </w:r>
                  <w:r>
                    <w:rPr>
                      <w:rFonts w:hint="default" w:ascii="Times New Roman" w:hAnsi="Times New Roman" w:cs="Times New Roman"/>
                      <w:i w:val="0"/>
                      <w:iCs w:val="0"/>
                      <w:color w:val="auto"/>
                      <w:kern w:val="0"/>
                      <w:sz w:val="21"/>
                      <w:szCs w:val="21"/>
                      <w:u w:val="none"/>
                      <w:lang w:val="en-US" w:eastAsia="zh-CN" w:bidi="ar"/>
                    </w:rPr>
                    <w:t>041</w:t>
                  </w:r>
                  <w:r>
                    <w:rPr>
                      <w:rFonts w:hint="default"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cs="Times New Roman"/>
                      <w:i w:val="0"/>
                      <w:iCs w:val="0"/>
                      <w:color w:val="auto"/>
                      <w:kern w:val="0"/>
                      <w:sz w:val="21"/>
                      <w:szCs w:val="21"/>
                      <w:u w:val="none"/>
                      <w:lang w:val="en-US" w:eastAsia="zh-CN" w:bidi="ar"/>
                    </w:rPr>
                    <w:t>49</w:t>
                  </w:r>
                </w:p>
              </w:tc>
              <w:tc>
                <w:tcPr>
                  <w:tcW w:w="1066" w:type="dxa"/>
                  <w:vMerge w:val="restart"/>
                  <w:tcBorders>
                    <w:tl2br w:val="nil"/>
                    <w:tr2bl w:val="nil"/>
                  </w:tcBorders>
                  <w:noWrap w:val="0"/>
                  <w:vAlign w:val="center"/>
                </w:tcPr>
                <w:p w14:paraId="4668EE9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eastAsia" w:cs="Times New Roman"/>
                      <w:i w:val="0"/>
                      <w:iCs w:val="0"/>
                      <w:color w:val="auto"/>
                      <w:kern w:val="0"/>
                      <w:sz w:val="21"/>
                      <w:szCs w:val="21"/>
                      <w:u w:val="none"/>
                      <w:lang w:val="en-US" w:eastAsia="zh-CN" w:bidi="ar"/>
                    </w:rPr>
                    <w:t>10</w:t>
                  </w:r>
                  <w:r>
                    <w:rPr>
                      <w:rFonts w:hint="default" w:ascii="Times New Roman" w:hAnsi="Times New Roman" w:eastAsia="宋体" w:cs="Times New Roman"/>
                      <w:i w:val="0"/>
                      <w:iCs w:val="0"/>
                      <w:color w:val="auto"/>
                      <w:kern w:val="0"/>
                      <w:sz w:val="21"/>
                      <w:szCs w:val="21"/>
                      <w:u w:val="none"/>
                      <w:lang w:val="en-US" w:eastAsia="zh-CN" w:bidi="ar"/>
                    </w:rPr>
                    <w:t>m</w:t>
                  </w:r>
                  <w:r>
                    <w:rPr>
                      <w:rFonts w:hint="default" w:ascii="Times New Roman" w:hAnsi="Times New Roman" w:eastAsia="宋体" w:cs="Times New Roman"/>
                      <w:i w:val="0"/>
                      <w:iCs w:val="0"/>
                      <w:color w:val="auto"/>
                      <w:kern w:val="0"/>
                      <w:sz w:val="21"/>
                      <w:szCs w:val="21"/>
                      <w:u w:val="none"/>
                      <w:vertAlign w:val="superscript"/>
                      <w:lang w:val="en-US" w:eastAsia="zh-CN" w:bidi="ar"/>
                    </w:rPr>
                    <w:t>2</w:t>
                  </w:r>
                </w:p>
              </w:tc>
              <w:tc>
                <w:tcPr>
                  <w:tcW w:w="1267" w:type="dxa"/>
                  <w:tcBorders>
                    <w:tl2br w:val="nil"/>
                    <w:tr2bl w:val="nil"/>
                  </w:tcBorders>
                  <w:noWrap w:val="0"/>
                  <w:vAlign w:val="center"/>
                </w:tcPr>
                <w:p w14:paraId="06118F7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容器装</w:t>
                  </w:r>
                </w:p>
              </w:tc>
              <w:tc>
                <w:tcPr>
                  <w:tcW w:w="1080" w:type="dxa"/>
                  <w:vMerge w:val="restart"/>
                  <w:tcBorders>
                    <w:tl2br w:val="nil"/>
                    <w:tr2bl w:val="nil"/>
                  </w:tcBorders>
                  <w:noWrap w:val="0"/>
                  <w:vAlign w:val="center"/>
                </w:tcPr>
                <w:p w14:paraId="76DC9D4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8t</w:t>
                  </w:r>
                </w:p>
              </w:tc>
              <w:tc>
                <w:tcPr>
                  <w:tcW w:w="1100" w:type="dxa"/>
                  <w:vMerge w:val="restart"/>
                  <w:tcBorders>
                    <w:tl2br w:val="nil"/>
                    <w:tr2bl w:val="nil"/>
                  </w:tcBorders>
                  <w:noWrap w:val="0"/>
                  <w:vAlign w:val="center"/>
                </w:tcPr>
                <w:p w14:paraId="256B075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eastAsia" w:cs="Times New Roman"/>
                      <w:i w:val="0"/>
                      <w:iCs w:val="0"/>
                      <w:color w:val="auto"/>
                      <w:kern w:val="0"/>
                      <w:sz w:val="21"/>
                      <w:szCs w:val="21"/>
                      <w:u w:val="none"/>
                      <w:lang w:val="en-US" w:eastAsia="zh-CN" w:bidi="ar"/>
                    </w:rPr>
                    <w:t>1</w:t>
                  </w:r>
                  <w:r>
                    <w:rPr>
                      <w:rFonts w:hint="default" w:ascii="Times New Roman" w:hAnsi="Times New Roman" w:eastAsia="宋体" w:cs="Times New Roman"/>
                      <w:i w:val="0"/>
                      <w:iCs w:val="0"/>
                      <w:color w:val="auto"/>
                      <w:kern w:val="0"/>
                      <w:sz w:val="21"/>
                      <w:szCs w:val="21"/>
                      <w:u w:val="none"/>
                      <w:lang w:val="en-US" w:eastAsia="zh-CN" w:bidi="ar"/>
                    </w:rPr>
                    <w:t>月</w:t>
                  </w:r>
                </w:p>
              </w:tc>
            </w:tr>
            <w:tr w14:paraId="04D04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jc w:val="center"/>
              </w:trPr>
              <w:tc>
                <w:tcPr>
                  <w:tcW w:w="1103" w:type="dxa"/>
                  <w:vMerge w:val="continue"/>
                  <w:tcBorders>
                    <w:tl2br w:val="nil"/>
                    <w:tr2bl w:val="nil"/>
                  </w:tcBorders>
                  <w:noWrap w:val="0"/>
                  <w:vAlign w:val="center"/>
                </w:tcPr>
                <w:p w14:paraId="04C17964">
                  <w:pPr>
                    <w:jc w:val="center"/>
                    <w:rPr>
                      <w:rFonts w:hint="default" w:ascii="Times New Roman" w:hAnsi="Times New Roman" w:eastAsia="宋体" w:cs="Times New Roman"/>
                      <w:i w:val="0"/>
                      <w:iCs w:val="0"/>
                      <w:color w:val="auto"/>
                      <w:sz w:val="21"/>
                      <w:szCs w:val="21"/>
                      <w:u w:val="none"/>
                    </w:rPr>
                  </w:pPr>
                </w:p>
              </w:tc>
              <w:tc>
                <w:tcPr>
                  <w:tcW w:w="2940" w:type="dxa"/>
                  <w:gridSpan w:val="2"/>
                  <w:tcBorders>
                    <w:tl2br w:val="nil"/>
                    <w:tr2bl w:val="nil"/>
                  </w:tcBorders>
                  <w:noWrap w:val="0"/>
                  <w:vAlign w:val="center"/>
                </w:tcPr>
                <w:p w14:paraId="0E9AEDED">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废气治理</w:t>
                  </w:r>
                </w:p>
              </w:tc>
              <w:tc>
                <w:tcPr>
                  <w:tcW w:w="2334" w:type="dxa"/>
                  <w:tcBorders>
                    <w:tl2br w:val="nil"/>
                    <w:tr2bl w:val="nil"/>
                  </w:tcBorders>
                  <w:shd w:val="clear" w:color="auto" w:fill="auto"/>
                  <w:noWrap w:val="0"/>
                  <w:vAlign w:val="center"/>
                </w:tcPr>
                <w:p w14:paraId="1ED8077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废活性炭</w:t>
                  </w:r>
                </w:p>
              </w:tc>
              <w:tc>
                <w:tcPr>
                  <w:tcW w:w="2040" w:type="dxa"/>
                  <w:tcBorders>
                    <w:tl2br w:val="nil"/>
                    <w:tr2bl w:val="nil"/>
                  </w:tcBorders>
                  <w:shd w:val="clear" w:color="auto" w:fill="auto"/>
                  <w:noWrap w:val="0"/>
                  <w:vAlign w:val="center"/>
                </w:tcPr>
                <w:p w14:paraId="36EE958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HW49：900-039-49</w:t>
                  </w:r>
                </w:p>
              </w:tc>
              <w:tc>
                <w:tcPr>
                  <w:tcW w:w="1066" w:type="dxa"/>
                  <w:vMerge w:val="continue"/>
                  <w:tcBorders>
                    <w:tl2br w:val="nil"/>
                    <w:tr2bl w:val="nil"/>
                  </w:tcBorders>
                  <w:shd w:val="clear" w:color="auto" w:fill="auto"/>
                  <w:noWrap w:val="0"/>
                  <w:vAlign w:val="center"/>
                </w:tcPr>
                <w:p w14:paraId="6B16BB2C">
                  <w:pPr>
                    <w:jc w:val="center"/>
                    <w:rPr>
                      <w:rFonts w:hint="default" w:ascii="Times New Roman" w:hAnsi="Times New Roman" w:eastAsia="宋体" w:cs="Times New Roman"/>
                      <w:i w:val="0"/>
                      <w:iCs w:val="0"/>
                      <w:color w:val="auto"/>
                      <w:sz w:val="21"/>
                      <w:szCs w:val="21"/>
                      <w:u w:val="none"/>
                    </w:rPr>
                  </w:pPr>
                </w:p>
              </w:tc>
              <w:tc>
                <w:tcPr>
                  <w:tcW w:w="1267" w:type="dxa"/>
                  <w:tcBorders>
                    <w:tl2br w:val="nil"/>
                    <w:tr2bl w:val="nil"/>
                  </w:tcBorders>
                  <w:noWrap w:val="0"/>
                  <w:vAlign w:val="center"/>
                </w:tcPr>
                <w:p w14:paraId="235C735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容器装</w:t>
                  </w:r>
                </w:p>
              </w:tc>
              <w:tc>
                <w:tcPr>
                  <w:tcW w:w="1080" w:type="dxa"/>
                  <w:vMerge w:val="continue"/>
                  <w:tcBorders>
                    <w:tl2br w:val="nil"/>
                    <w:tr2bl w:val="nil"/>
                  </w:tcBorders>
                  <w:noWrap w:val="0"/>
                  <w:vAlign w:val="center"/>
                </w:tcPr>
                <w:p w14:paraId="5C297B48">
                  <w:pPr>
                    <w:jc w:val="center"/>
                    <w:rPr>
                      <w:rFonts w:hint="default" w:ascii="Times New Roman" w:hAnsi="Times New Roman" w:eastAsia="宋体" w:cs="Times New Roman"/>
                      <w:i w:val="0"/>
                      <w:iCs w:val="0"/>
                      <w:color w:val="auto"/>
                      <w:sz w:val="21"/>
                      <w:szCs w:val="21"/>
                      <w:u w:val="none"/>
                    </w:rPr>
                  </w:pPr>
                </w:p>
              </w:tc>
              <w:tc>
                <w:tcPr>
                  <w:tcW w:w="1100" w:type="dxa"/>
                  <w:vMerge w:val="continue"/>
                  <w:tcBorders>
                    <w:tl2br w:val="nil"/>
                    <w:tr2bl w:val="nil"/>
                  </w:tcBorders>
                  <w:noWrap w:val="0"/>
                  <w:vAlign w:val="center"/>
                </w:tcPr>
                <w:p w14:paraId="313F4B4A">
                  <w:pPr>
                    <w:jc w:val="center"/>
                    <w:rPr>
                      <w:rFonts w:hint="default" w:ascii="Times New Roman" w:hAnsi="Times New Roman" w:eastAsia="宋体" w:cs="Times New Roman"/>
                      <w:i w:val="0"/>
                      <w:iCs w:val="0"/>
                      <w:color w:val="auto"/>
                      <w:sz w:val="21"/>
                      <w:szCs w:val="21"/>
                      <w:u w:val="none"/>
                    </w:rPr>
                  </w:pPr>
                </w:p>
              </w:tc>
            </w:tr>
            <w:tr w14:paraId="6942A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3" w:type="dxa"/>
                  <w:vMerge w:val="continue"/>
                  <w:tcBorders>
                    <w:tl2br w:val="nil"/>
                    <w:tr2bl w:val="nil"/>
                  </w:tcBorders>
                  <w:noWrap w:val="0"/>
                  <w:vAlign w:val="center"/>
                </w:tcPr>
                <w:p w14:paraId="69C2A9DF">
                  <w:pPr>
                    <w:jc w:val="center"/>
                    <w:rPr>
                      <w:rFonts w:hint="default" w:ascii="Times New Roman" w:hAnsi="Times New Roman" w:eastAsia="宋体" w:cs="Times New Roman"/>
                      <w:i w:val="0"/>
                      <w:iCs w:val="0"/>
                      <w:color w:val="auto"/>
                      <w:sz w:val="21"/>
                      <w:szCs w:val="21"/>
                      <w:u w:val="none"/>
                    </w:rPr>
                  </w:pPr>
                </w:p>
              </w:tc>
              <w:tc>
                <w:tcPr>
                  <w:tcW w:w="2940" w:type="dxa"/>
                  <w:gridSpan w:val="2"/>
                  <w:vMerge w:val="restart"/>
                  <w:tcBorders>
                    <w:tl2br w:val="nil"/>
                    <w:tr2bl w:val="nil"/>
                  </w:tcBorders>
                  <w:noWrap w:val="0"/>
                  <w:vAlign w:val="center"/>
                </w:tcPr>
                <w:p w14:paraId="0B6F7847">
                  <w:pPr>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设备维护</w:t>
                  </w:r>
                </w:p>
              </w:tc>
              <w:tc>
                <w:tcPr>
                  <w:tcW w:w="2334" w:type="dxa"/>
                  <w:tcBorders>
                    <w:tl2br w:val="nil"/>
                    <w:tr2bl w:val="nil"/>
                  </w:tcBorders>
                  <w:shd w:val="clear" w:color="auto" w:fill="auto"/>
                  <w:noWrap w:val="0"/>
                  <w:vAlign w:val="center"/>
                </w:tcPr>
                <w:p w14:paraId="4009AC1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废润滑油</w:t>
                  </w:r>
                </w:p>
              </w:tc>
              <w:tc>
                <w:tcPr>
                  <w:tcW w:w="2040" w:type="dxa"/>
                  <w:tcBorders>
                    <w:tl2br w:val="nil"/>
                    <w:tr2bl w:val="nil"/>
                  </w:tcBorders>
                  <w:shd w:val="clear" w:color="auto" w:fill="auto"/>
                  <w:noWrap w:val="0"/>
                  <w:vAlign w:val="center"/>
                </w:tcPr>
                <w:p w14:paraId="562AF2B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HW08：900-214-08</w:t>
                  </w:r>
                </w:p>
              </w:tc>
              <w:tc>
                <w:tcPr>
                  <w:tcW w:w="1066" w:type="dxa"/>
                  <w:vMerge w:val="continue"/>
                  <w:tcBorders>
                    <w:tl2br w:val="nil"/>
                    <w:tr2bl w:val="nil"/>
                  </w:tcBorders>
                  <w:shd w:val="clear" w:color="auto" w:fill="auto"/>
                  <w:noWrap w:val="0"/>
                  <w:vAlign w:val="center"/>
                </w:tcPr>
                <w:p w14:paraId="7ED9ED2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p>
              </w:tc>
              <w:tc>
                <w:tcPr>
                  <w:tcW w:w="1267" w:type="dxa"/>
                  <w:tcBorders>
                    <w:tl2br w:val="nil"/>
                    <w:tr2bl w:val="nil"/>
                  </w:tcBorders>
                  <w:noWrap w:val="0"/>
                  <w:vAlign w:val="center"/>
                </w:tcPr>
                <w:p w14:paraId="5F8CA14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容器装</w:t>
                  </w:r>
                </w:p>
              </w:tc>
              <w:tc>
                <w:tcPr>
                  <w:tcW w:w="1080" w:type="dxa"/>
                  <w:vMerge w:val="continue"/>
                  <w:tcBorders>
                    <w:tl2br w:val="nil"/>
                    <w:tr2bl w:val="nil"/>
                  </w:tcBorders>
                  <w:noWrap w:val="0"/>
                  <w:vAlign w:val="center"/>
                </w:tcPr>
                <w:p w14:paraId="647ADF3F">
                  <w:pPr>
                    <w:jc w:val="center"/>
                    <w:rPr>
                      <w:rFonts w:hint="default" w:ascii="Times New Roman" w:hAnsi="Times New Roman" w:eastAsia="宋体" w:cs="Times New Roman"/>
                      <w:i w:val="0"/>
                      <w:iCs w:val="0"/>
                      <w:color w:val="auto"/>
                      <w:sz w:val="21"/>
                      <w:szCs w:val="21"/>
                      <w:u w:val="none"/>
                    </w:rPr>
                  </w:pPr>
                </w:p>
              </w:tc>
              <w:tc>
                <w:tcPr>
                  <w:tcW w:w="1100" w:type="dxa"/>
                  <w:vMerge w:val="continue"/>
                  <w:tcBorders>
                    <w:tl2br w:val="nil"/>
                    <w:tr2bl w:val="nil"/>
                  </w:tcBorders>
                  <w:noWrap w:val="0"/>
                  <w:vAlign w:val="center"/>
                </w:tcPr>
                <w:p w14:paraId="1140BF0F">
                  <w:pPr>
                    <w:jc w:val="center"/>
                    <w:rPr>
                      <w:rFonts w:hint="default" w:ascii="Times New Roman" w:hAnsi="Times New Roman" w:eastAsia="宋体" w:cs="Times New Roman"/>
                      <w:i w:val="0"/>
                      <w:iCs w:val="0"/>
                      <w:color w:val="auto"/>
                      <w:sz w:val="21"/>
                      <w:szCs w:val="21"/>
                      <w:u w:val="none"/>
                    </w:rPr>
                  </w:pPr>
                </w:p>
              </w:tc>
            </w:tr>
            <w:tr w14:paraId="60233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3" w:type="dxa"/>
                  <w:vMerge w:val="continue"/>
                </w:tcPr>
                <w:p w14:paraId="6CDB409A">
                  <w:pPr>
                    <w:jc w:val="center"/>
                    <w:rPr>
                      <w:rFonts w:hint="default" w:ascii="Times New Roman" w:hAnsi="Times New Roman" w:eastAsia="宋体" w:cs="Times New Roman"/>
                      <w:i w:val="0"/>
                      <w:iCs w:val="0"/>
                      <w:color w:val="auto"/>
                      <w:sz w:val="21"/>
                      <w:szCs w:val="21"/>
                      <w:u w:val="none"/>
                    </w:rPr>
                  </w:pPr>
                </w:p>
              </w:tc>
              <w:tc>
                <w:tcPr>
                  <w:tcW w:w="2940" w:type="dxa"/>
                  <w:gridSpan w:val="2"/>
                  <w:vMerge w:val="continue"/>
                </w:tcPr>
                <w:p w14:paraId="6C47D0EA">
                  <w:pPr>
                    <w:jc w:val="center"/>
                    <w:rPr>
                      <w:rFonts w:hint="default" w:ascii="Times New Roman" w:hAnsi="Times New Roman" w:eastAsia="宋体" w:cs="Times New Roman"/>
                      <w:i w:val="0"/>
                      <w:iCs w:val="0"/>
                      <w:color w:val="auto"/>
                      <w:sz w:val="21"/>
                      <w:szCs w:val="21"/>
                      <w:u w:val="none"/>
                    </w:rPr>
                  </w:pPr>
                </w:p>
              </w:tc>
              <w:tc>
                <w:tcPr>
                  <w:tcW w:w="0" w:type="auto"/>
                  <w:shd w:val="clear" w:color="auto" w:fill="auto"/>
                  <w:vAlign w:val="center"/>
                </w:tcPr>
                <w:p w14:paraId="542A488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废液压油</w:t>
                  </w:r>
                </w:p>
              </w:tc>
              <w:tc>
                <w:tcPr>
                  <w:tcW w:w="0" w:type="auto"/>
                  <w:shd w:val="clear" w:color="auto" w:fill="auto"/>
                  <w:vAlign w:val="center"/>
                </w:tcPr>
                <w:p w14:paraId="1B9E43D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HW08：</w:t>
                  </w:r>
                  <w:r>
                    <w:rPr>
                      <w:rFonts w:hint="default" w:ascii="Times New Roman" w:hAnsi="Times New Roman" w:cs="Times New Roman"/>
                      <w:i w:val="0"/>
                      <w:iCs w:val="0"/>
                      <w:color w:val="auto"/>
                      <w:kern w:val="0"/>
                      <w:sz w:val="21"/>
                      <w:szCs w:val="21"/>
                      <w:u w:val="none"/>
                      <w:lang w:val="en-US" w:eastAsia="zh-CN" w:bidi="ar"/>
                    </w:rPr>
                    <w:t>900-218-08</w:t>
                  </w:r>
                </w:p>
              </w:tc>
              <w:tc>
                <w:tcPr>
                  <w:tcW w:w="1066" w:type="dxa"/>
                  <w:vMerge w:val="continue"/>
                </w:tcPr>
                <w:p w14:paraId="2ABCC15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p>
              </w:tc>
              <w:tc>
                <w:tcPr>
                  <w:tcW w:w="0" w:type="auto"/>
                </w:tcPr>
                <w:p w14:paraId="54B198C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容器装</w:t>
                  </w:r>
                </w:p>
              </w:tc>
              <w:tc>
                <w:tcPr>
                  <w:tcW w:w="1080" w:type="dxa"/>
                  <w:vMerge w:val="continue"/>
                </w:tcPr>
                <w:p w14:paraId="39D02188">
                  <w:pPr>
                    <w:jc w:val="center"/>
                    <w:rPr>
                      <w:rFonts w:hint="default" w:ascii="Times New Roman" w:hAnsi="Times New Roman" w:eastAsia="宋体" w:cs="Times New Roman"/>
                      <w:i w:val="0"/>
                      <w:iCs w:val="0"/>
                      <w:color w:val="auto"/>
                      <w:sz w:val="21"/>
                      <w:szCs w:val="21"/>
                      <w:u w:val="none"/>
                    </w:rPr>
                  </w:pPr>
                </w:p>
              </w:tc>
              <w:tc>
                <w:tcPr>
                  <w:tcW w:w="1100" w:type="dxa"/>
                  <w:vMerge w:val="continue"/>
                </w:tcPr>
                <w:p w14:paraId="293AF7FA">
                  <w:pPr>
                    <w:jc w:val="center"/>
                    <w:rPr>
                      <w:rFonts w:hint="default" w:ascii="Times New Roman" w:hAnsi="Times New Roman" w:eastAsia="宋体" w:cs="Times New Roman"/>
                      <w:i w:val="0"/>
                      <w:iCs w:val="0"/>
                      <w:color w:val="auto"/>
                      <w:sz w:val="21"/>
                      <w:szCs w:val="21"/>
                      <w:u w:val="none"/>
                    </w:rPr>
                  </w:pPr>
                </w:p>
              </w:tc>
            </w:tr>
            <w:tr w14:paraId="1938D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3" w:type="dxa"/>
                  <w:vMerge w:val="continue"/>
                </w:tcPr>
                <w:p w14:paraId="7DE3CB75">
                  <w:pPr>
                    <w:jc w:val="center"/>
                    <w:rPr>
                      <w:rFonts w:hint="default" w:ascii="Times New Roman" w:hAnsi="Times New Roman" w:eastAsia="宋体" w:cs="Times New Roman"/>
                      <w:i w:val="0"/>
                      <w:iCs w:val="0"/>
                      <w:color w:val="auto"/>
                      <w:sz w:val="21"/>
                      <w:szCs w:val="21"/>
                      <w:u w:val="none"/>
                    </w:rPr>
                  </w:pPr>
                </w:p>
              </w:tc>
              <w:tc>
                <w:tcPr>
                  <w:tcW w:w="2940" w:type="dxa"/>
                  <w:gridSpan w:val="2"/>
                  <w:vMerge w:val="continue"/>
                </w:tcPr>
                <w:p w14:paraId="23B86DE3">
                  <w:pPr>
                    <w:jc w:val="center"/>
                    <w:rPr>
                      <w:rFonts w:hint="default" w:ascii="Times New Roman" w:hAnsi="Times New Roman" w:eastAsia="宋体" w:cs="Times New Roman"/>
                      <w:i w:val="0"/>
                      <w:iCs w:val="0"/>
                      <w:color w:val="auto"/>
                      <w:sz w:val="21"/>
                      <w:szCs w:val="21"/>
                      <w:u w:val="none"/>
                    </w:rPr>
                  </w:pPr>
                </w:p>
              </w:tc>
              <w:tc>
                <w:tcPr>
                  <w:tcW w:w="0" w:type="auto"/>
                  <w:shd w:val="clear" w:color="auto" w:fill="auto"/>
                  <w:vAlign w:val="center"/>
                </w:tcPr>
                <w:p w14:paraId="6809708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废油桶</w:t>
                  </w:r>
                </w:p>
              </w:tc>
              <w:tc>
                <w:tcPr>
                  <w:tcW w:w="0" w:type="auto"/>
                  <w:shd w:val="clear" w:color="auto" w:fill="auto"/>
                  <w:vAlign w:val="center"/>
                </w:tcPr>
                <w:p w14:paraId="322A217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HW08：</w:t>
                  </w:r>
                  <w:r>
                    <w:rPr>
                      <w:rFonts w:hint="default" w:ascii="Times New Roman" w:hAnsi="Times New Roman" w:cs="Times New Roman"/>
                      <w:i w:val="0"/>
                      <w:iCs w:val="0"/>
                      <w:color w:val="auto"/>
                      <w:kern w:val="0"/>
                      <w:sz w:val="21"/>
                      <w:szCs w:val="21"/>
                      <w:u w:val="none"/>
                      <w:lang w:val="en-US" w:eastAsia="zh-CN" w:bidi="ar"/>
                    </w:rPr>
                    <w:t>900-249-08</w:t>
                  </w:r>
                </w:p>
              </w:tc>
              <w:tc>
                <w:tcPr>
                  <w:tcW w:w="1066" w:type="dxa"/>
                  <w:vMerge w:val="continue"/>
                </w:tcPr>
                <w:p w14:paraId="3AA2DCE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p>
              </w:tc>
              <w:tc>
                <w:tcPr>
                  <w:tcW w:w="0" w:type="auto"/>
                </w:tcPr>
                <w:p w14:paraId="6155B55F">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堆叠</w:t>
                  </w:r>
                </w:p>
              </w:tc>
              <w:tc>
                <w:tcPr>
                  <w:tcW w:w="1080" w:type="dxa"/>
                  <w:vMerge w:val="continue"/>
                </w:tcPr>
                <w:p w14:paraId="0AB50D14">
                  <w:pPr>
                    <w:jc w:val="center"/>
                    <w:rPr>
                      <w:rFonts w:hint="default" w:ascii="Times New Roman" w:hAnsi="Times New Roman" w:eastAsia="宋体" w:cs="Times New Roman"/>
                      <w:i w:val="0"/>
                      <w:iCs w:val="0"/>
                      <w:color w:val="auto"/>
                      <w:sz w:val="21"/>
                      <w:szCs w:val="21"/>
                      <w:u w:val="none"/>
                    </w:rPr>
                  </w:pPr>
                </w:p>
              </w:tc>
              <w:tc>
                <w:tcPr>
                  <w:tcW w:w="1100" w:type="dxa"/>
                  <w:vMerge w:val="continue"/>
                </w:tcPr>
                <w:p w14:paraId="1796AA7E">
                  <w:pPr>
                    <w:jc w:val="center"/>
                    <w:rPr>
                      <w:rFonts w:hint="default" w:ascii="Times New Roman" w:hAnsi="Times New Roman" w:eastAsia="宋体" w:cs="Times New Roman"/>
                      <w:i w:val="0"/>
                      <w:iCs w:val="0"/>
                      <w:color w:val="auto"/>
                      <w:sz w:val="21"/>
                      <w:szCs w:val="21"/>
                      <w:u w:val="none"/>
                    </w:rPr>
                  </w:pPr>
                </w:p>
              </w:tc>
            </w:tr>
            <w:tr w14:paraId="60E85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3" w:type="dxa"/>
                  <w:vMerge w:val="continue"/>
                </w:tcPr>
                <w:p w14:paraId="0D11F4FD">
                  <w:pPr>
                    <w:jc w:val="center"/>
                    <w:rPr>
                      <w:rFonts w:hint="default" w:ascii="Times New Roman" w:hAnsi="Times New Roman" w:eastAsia="宋体" w:cs="Times New Roman"/>
                      <w:i w:val="0"/>
                      <w:iCs w:val="0"/>
                      <w:color w:val="auto"/>
                      <w:sz w:val="21"/>
                      <w:szCs w:val="21"/>
                      <w:u w:val="none"/>
                    </w:rPr>
                  </w:pPr>
                </w:p>
              </w:tc>
              <w:tc>
                <w:tcPr>
                  <w:tcW w:w="2940" w:type="dxa"/>
                  <w:gridSpan w:val="2"/>
                  <w:vMerge w:val="continue"/>
                </w:tcPr>
                <w:p w14:paraId="773090EF">
                  <w:pPr>
                    <w:jc w:val="center"/>
                    <w:rPr>
                      <w:rFonts w:hint="default" w:ascii="Times New Roman" w:hAnsi="Times New Roman" w:eastAsia="宋体" w:cs="Times New Roman"/>
                      <w:i w:val="0"/>
                      <w:iCs w:val="0"/>
                      <w:color w:val="auto"/>
                      <w:sz w:val="21"/>
                      <w:szCs w:val="21"/>
                      <w:u w:val="none"/>
                    </w:rPr>
                  </w:pPr>
                </w:p>
              </w:tc>
              <w:tc>
                <w:tcPr>
                  <w:tcW w:w="0" w:type="auto"/>
                  <w:shd w:val="clear" w:color="auto" w:fill="auto"/>
                  <w:vAlign w:val="center"/>
                </w:tcPr>
                <w:p w14:paraId="1B87429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含油废手套</w:t>
                  </w:r>
                </w:p>
              </w:tc>
              <w:tc>
                <w:tcPr>
                  <w:tcW w:w="0" w:type="auto"/>
                  <w:shd w:val="clear" w:color="auto" w:fill="auto"/>
                  <w:vAlign w:val="center"/>
                </w:tcPr>
                <w:p w14:paraId="756149E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HW</w:t>
                  </w:r>
                  <w:r>
                    <w:rPr>
                      <w:rFonts w:hint="default" w:ascii="Times New Roman" w:hAnsi="Times New Roman" w:cs="Times New Roman"/>
                      <w:i w:val="0"/>
                      <w:iCs w:val="0"/>
                      <w:color w:val="auto"/>
                      <w:kern w:val="0"/>
                      <w:sz w:val="21"/>
                      <w:szCs w:val="21"/>
                      <w:u w:val="none"/>
                      <w:lang w:val="en-US" w:eastAsia="zh-CN" w:bidi="ar"/>
                    </w:rPr>
                    <w:t>49</w:t>
                  </w:r>
                  <w:r>
                    <w:rPr>
                      <w:rFonts w:hint="default" w:ascii="Times New Roman" w:hAnsi="Times New Roman" w:eastAsia="宋体" w:cs="Times New Roman"/>
                      <w:i w:val="0"/>
                      <w:iCs w:val="0"/>
                      <w:color w:val="auto"/>
                      <w:kern w:val="0"/>
                      <w:sz w:val="21"/>
                      <w:szCs w:val="21"/>
                      <w:u w:val="none"/>
                      <w:lang w:val="en-US" w:eastAsia="zh-CN" w:bidi="ar"/>
                    </w:rPr>
                    <w:t>：900-</w:t>
                  </w:r>
                  <w:r>
                    <w:rPr>
                      <w:rFonts w:hint="default" w:ascii="Times New Roman" w:hAnsi="Times New Roman" w:cs="Times New Roman"/>
                      <w:i w:val="0"/>
                      <w:iCs w:val="0"/>
                      <w:color w:val="auto"/>
                      <w:kern w:val="0"/>
                      <w:sz w:val="21"/>
                      <w:szCs w:val="21"/>
                      <w:u w:val="none"/>
                      <w:lang w:val="en-US" w:eastAsia="zh-CN" w:bidi="ar"/>
                    </w:rPr>
                    <w:t>041</w:t>
                  </w:r>
                  <w:r>
                    <w:rPr>
                      <w:rFonts w:hint="default"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cs="Times New Roman"/>
                      <w:i w:val="0"/>
                      <w:iCs w:val="0"/>
                      <w:color w:val="auto"/>
                      <w:kern w:val="0"/>
                      <w:sz w:val="21"/>
                      <w:szCs w:val="21"/>
                      <w:u w:val="none"/>
                      <w:lang w:val="en-US" w:eastAsia="zh-CN" w:bidi="ar"/>
                    </w:rPr>
                    <w:t>49</w:t>
                  </w:r>
                </w:p>
              </w:tc>
              <w:tc>
                <w:tcPr>
                  <w:tcW w:w="1066" w:type="dxa"/>
                  <w:vMerge w:val="continue"/>
                </w:tcPr>
                <w:p w14:paraId="33E0950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p>
              </w:tc>
              <w:tc>
                <w:tcPr>
                  <w:tcW w:w="0" w:type="auto"/>
                </w:tcPr>
                <w:p w14:paraId="6015378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容器装</w:t>
                  </w:r>
                </w:p>
              </w:tc>
              <w:tc>
                <w:tcPr>
                  <w:tcW w:w="1080" w:type="dxa"/>
                  <w:vMerge w:val="continue"/>
                </w:tcPr>
                <w:p w14:paraId="22B2B130">
                  <w:pPr>
                    <w:jc w:val="center"/>
                    <w:rPr>
                      <w:rFonts w:hint="default" w:ascii="Times New Roman" w:hAnsi="Times New Roman" w:eastAsia="宋体" w:cs="Times New Roman"/>
                      <w:i w:val="0"/>
                      <w:iCs w:val="0"/>
                      <w:color w:val="auto"/>
                      <w:sz w:val="21"/>
                      <w:szCs w:val="21"/>
                      <w:u w:val="none"/>
                    </w:rPr>
                  </w:pPr>
                </w:p>
              </w:tc>
              <w:tc>
                <w:tcPr>
                  <w:tcW w:w="1100" w:type="dxa"/>
                  <w:vMerge w:val="continue"/>
                </w:tcPr>
                <w:p w14:paraId="2B4B0D8B">
                  <w:pPr>
                    <w:jc w:val="center"/>
                    <w:rPr>
                      <w:rFonts w:hint="default" w:ascii="Times New Roman" w:hAnsi="Times New Roman" w:eastAsia="宋体" w:cs="Times New Roman"/>
                      <w:i w:val="0"/>
                      <w:iCs w:val="0"/>
                      <w:color w:val="auto"/>
                      <w:sz w:val="21"/>
                      <w:szCs w:val="21"/>
                      <w:u w:val="none"/>
                    </w:rPr>
                  </w:pPr>
                </w:p>
              </w:tc>
            </w:tr>
          </w:tbl>
          <w:p w14:paraId="3225170D">
            <w:pPr>
              <w:pStyle w:val="49"/>
              <w:keepNext w:val="0"/>
              <w:keepLines w:val="0"/>
              <w:pageBreakBefore w:val="0"/>
              <w:widowControl w:val="0"/>
              <w:kinsoku/>
              <w:wordWrap/>
              <w:overflowPunct/>
              <w:topLinePunct w:val="0"/>
              <w:autoSpaceDE/>
              <w:autoSpaceDN/>
              <w:bidi w:val="0"/>
              <w:adjustRightInd/>
              <w:snapToGrid/>
              <w:spacing w:line="480" w:lineRule="atLeast"/>
              <w:ind w:firstLine="482" w:firstLineChars="200"/>
              <w:jc w:val="both"/>
              <w:textAlignment w:val="auto"/>
              <w:rPr>
                <w:rFonts w:hint="eastAsia" w:ascii="Times New Roman" w:hAnsi="Times New Roman" w:cs="Times New Roman"/>
                <w:b/>
                <w:bCs/>
                <w:color w:val="auto"/>
                <w:spacing w:val="0"/>
                <w:kern w:val="2"/>
                <w:position w:val="0"/>
                <w:sz w:val="24"/>
                <w:szCs w:val="20"/>
                <w:lang w:val="en-US" w:eastAsia="zh-CN" w:bidi="ar-SA"/>
              </w:rPr>
            </w:pPr>
          </w:p>
          <w:p w14:paraId="30CAA701">
            <w:pPr>
              <w:pStyle w:val="49"/>
              <w:keepNext w:val="0"/>
              <w:keepLines w:val="0"/>
              <w:pageBreakBefore w:val="0"/>
              <w:widowControl w:val="0"/>
              <w:kinsoku/>
              <w:wordWrap/>
              <w:overflowPunct/>
              <w:topLinePunct w:val="0"/>
              <w:autoSpaceDE/>
              <w:autoSpaceDN/>
              <w:bidi w:val="0"/>
              <w:adjustRightInd/>
              <w:snapToGrid/>
              <w:spacing w:line="480" w:lineRule="atLeast"/>
              <w:ind w:firstLine="482" w:firstLineChars="200"/>
              <w:jc w:val="both"/>
              <w:textAlignment w:val="auto"/>
              <w:rPr>
                <w:rFonts w:hint="eastAsia" w:ascii="Times New Roman" w:hAnsi="Times New Roman" w:cs="Times New Roman"/>
                <w:b/>
                <w:bCs/>
                <w:color w:val="auto"/>
                <w:spacing w:val="0"/>
                <w:kern w:val="2"/>
                <w:position w:val="0"/>
                <w:sz w:val="24"/>
                <w:szCs w:val="20"/>
                <w:lang w:val="en-US" w:eastAsia="zh-CN" w:bidi="ar-SA"/>
              </w:rPr>
            </w:pPr>
          </w:p>
          <w:p w14:paraId="0508A39B">
            <w:pPr>
              <w:pStyle w:val="49"/>
              <w:keepNext w:val="0"/>
              <w:keepLines w:val="0"/>
              <w:pageBreakBefore w:val="0"/>
              <w:widowControl w:val="0"/>
              <w:kinsoku/>
              <w:wordWrap/>
              <w:overflowPunct/>
              <w:topLinePunct w:val="0"/>
              <w:autoSpaceDE/>
              <w:autoSpaceDN/>
              <w:bidi w:val="0"/>
              <w:adjustRightInd/>
              <w:snapToGrid/>
              <w:spacing w:line="480" w:lineRule="atLeast"/>
              <w:ind w:firstLine="482" w:firstLineChars="200"/>
              <w:jc w:val="both"/>
              <w:textAlignment w:val="auto"/>
              <w:rPr>
                <w:rFonts w:hint="eastAsia" w:ascii="Times New Roman" w:hAnsi="Times New Roman" w:cs="Times New Roman"/>
                <w:b/>
                <w:bCs/>
                <w:color w:val="auto"/>
                <w:spacing w:val="0"/>
                <w:kern w:val="2"/>
                <w:position w:val="0"/>
                <w:sz w:val="24"/>
                <w:szCs w:val="20"/>
                <w:lang w:val="en-US" w:eastAsia="zh-CN" w:bidi="ar-SA"/>
              </w:rPr>
            </w:pPr>
          </w:p>
          <w:p w14:paraId="7CB89345">
            <w:pPr>
              <w:pStyle w:val="49"/>
              <w:keepNext w:val="0"/>
              <w:keepLines w:val="0"/>
              <w:pageBreakBefore w:val="0"/>
              <w:widowControl w:val="0"/>
              <w:kinsoku/>
              <w:wordWrap/>
              <w:overflowPunct/>
              <w:topLinePunct w:val="0"/>
              <w:autoSpaceDE/>
              <w:autoSpaceDN/>
              <w:bidi w:val="0"/>
              <w:adjustRightInd/>
              <w:snapToGrid/>
              <w:spacing w:line="480" w:lineRule="atLeast"/>
              <w:ind w:firstLine="482" w:firstLineChars="200"/>
              <w:jc w:val="both"/>
              <w:textAlignment w:val="auto"/>
              <w:rPr>
                <w:rFonts w:hint="eastAsia" w:ascii="Times New Roman" w:hAnsi="Times New Roman" w:cs="Times New Roman"/>
                <w:b/>
                <w:bCs/>
                <w:color w:val="auto"/>
                <w:spacing w:val="0"/>
                <w:kern w:val="2"/>
                <w:position w:val="0"/>
                <w:sz w:val="24"/>
                <w:szCs w:val="20"/>
                <w:lang w:val="en-US" w:eastAsia="zh-CN" w:bidi="ar-SA"/>
              </w:rPr>
            </w:pPr>
          </w:p>
          <w:p w14:paraId="45F545ED">
            <w:pPr>
              <w:pStyle w:val="49"/>
              <w:keepNext w:val="0"/>
              <w:keepLines w:val="0"/>
              <w:pageBreakBefore w:val="0"/>
              <w:widowControl w:val="0"/>
              <w:kinsoku/>
              <w:wordWrap/>
              <w:overflowPunct/>
              <w:topLinePunct w:val="0"/>
              <w:autoSpaceDE/>
              <w:autoSpaceDN/>
              <w:bidi w:val="0"/>
              <w:adjustRightInd/>
              <w:snapToGrid/>
              <w:spacing w:line="480" w:lineRule="atLeast"/>
              <w:ind w:firstLine="482" w:firstLineChars="200"/>
              <w:jc w:val="both"/>
              <w:textAlignment w:val="auto"/>
              <w:rPr>
                <w:rFonts w:hint="eastAsia" w:ascii="Times New Roman" w:hAnsi="Times New Roman" w:cs="Times New Roman"/>
                <w:b/>
                <w:bCs/>
                <w:color w:val="auto"/>
                <w:spacing w:val="0"/>
                <w:kern w:val="2"/>
                <w:position w:val="0"/>
                <w:sz w:val="24"/>
                <w:szCs w:val="20"/>
                <w:lang w:val="en-US" w:eastAsia="zh-CN" w:bidi="ar-SA"/>
              </w:rPr>
            </w:pPr>
          </w:p>
          <w:p w14:paraId="3EAFB306">
            <w:pPr>
              <w:pStyle w:val="49"/>
              <w:keepNext w:val="0"/>
              <w:keepLines w:val="0"/>
              <w:pageBreakBefore w:val="0"/>
              <w:widowControl w:val="0"/>
              <w:kinsoku/>
              <w:wordWrap/>
              <w:overflowPunct/>
              <w:topLinePunct w:val="0"/>
              <w:autoSpaceDE/>
              <w:autoSpaceDN/>
              <w:bidi w:val="0"/>
              <w:adjustRightInd/>
              <w:snapToGrid/>
              <w:spacing w:line="480" w:lineRule="atLeast"/>
              <w:ind w:firstLine="482" w:firstLineChars="200"/>
              <w:jc w:val="both"/>
              <w:textAlignment w:val="auto"/>
              <w:rPr>
                <w:rFonts w:hint="default" w:ascii="Times New Roman" w:hAnsi="Times New Roman" w:eastAsia="宋体" w:cs="Times New Roman"/>
                <w:b/>
                <w:bCs/>
                <w:color w:val="auto"/>
                <w:spacing w:val="0"/>
                <w:kern w:val="2"/>
                <w:position w:val="0"/>
                <w:sz w:val="24"/>
                <w:szCs w:val="20"/>
                <w:lang w:val="en-US" w:eastAsia="zh-CN" w:bidi="ar-SA"/>
              </w:rPr>
            </w:pPr>
            <w:r>
              <w:rPr>
                <w:rFonts w:hint="eastAsia" w:ascii="Times New Roman" w:hAnsi="Times New Roman" w:cs="Times New Roman"/>
                <w:b/>
                <w:bCs/>
                <w:color w:val="auto"/>
                <w:spacing w:val="0"/>
                <w:kern w:val="2"/>
                <w:position w:val="0"/>
                <w:sz w:val="24"/>
                <w:szCs w:val="20"/>
                <w:lang w:val="en-US" w:eastAsia="zh-CN" w:bidi="ar-SA"/>
              </w:rPr>
              <w:t>（</w:t>
            </w:r>
            <w:r>
              <w:rPr>
                <w:rFonts w:hint="default" w:ascii="Times New Roman" w:hAnsi="Times New Roman" w:eastAsia="宋体" w:cs="Times New Roman"/>
                <w:b/>
                <w:bCs/>
                <w:color w:val="auto"/>
                <w:spacing w:val="0"/>
                <w:kern w:val="2"/>
                <w:position w:val="0"/>
                <w:sz w:val="24"/>
                <w:szCs w:val="20"/>
                <w:lang w:val="en-US" w:eastAsia="zh-CN" w:bidi="ar-SA"/>
              </w:rPr>
              <w:t>四）固废排放信息汇总</w:t>
            </w:r>
          </w:p>
          <w:p w14:paraId="3243544C">
            <w:pPr>
              <w:pStyle w:val="64"/>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b/>
                <w:bCs/>
                <w:color w:val="auto"/>
                <w:spacing w:val="0"/>
                <w:position w:val="0"/>
                <w:sz w:val="21"/>
                <w:szCs w:val="16"/>
                <w:lang w:val="en-US" w:eastAsia="zh-CN"/>
              </w:rPr>
            </w:pPr>
            <w:r>
              <w:rPr>
                <w:rFonts w:hint="default" w:ascii="Times New Roman" w:hAnsi="Times New Roman" w:eastAsia="宋体" w:cs="Times New Roman"/>
                <w:b/>
                <w:bCs/>
                <w:color w:val="auto"/>
                <w:spacing w:val="0"/>
                <w:position w:val="0"/>
                <w:sz w:val="21"/>
                <w:szCs w:val="16"/>
                <w:lang w:val="en-US" w:eastAsia="zh-CN"/>
              </w:rPr>
              <w:t>表4-</w:t>
            </w:r>
            <w:r>
              <w:rPr>
                <w:rFonts w:hint="eastAsia" w:cs="Times New Roman"/>
                <w:b/>
                <w:bCs/>
                <w:color w:val="auto"/>
                <w:spacing w:val="0"/>
                <w:position w:val="0"/>
                <w:sz w:val="21"/>
                <w:szCs w:val="16"/>
                <w:lang w:val="en-US" w:eastAsia="zh-CN"/>
              </w:rPr>
              <w:t>34</w:t>
            </w:r>
            <w:r>
              <w:rPr>
                <w:rFonts w:hint="default" w:ascii="Times New Roman" w:hAnsi="Times New Roman" w:eastAsia="宋体" w:cs="Times New Roman"/>
                <w:b/>
                <w:bCs/>
                <w:color w:val="auto"/>
                <w:spacing w:val="0"/>
                <w:position w:val="0"/>
                <w:sz w:val="21"/>
                <w:szCs w:val="16"/>
                <w:lang w:val="en-US" w:eastAsia="zh-CN"/>
              </w:rPr>
              <w:t xml:space="preserve">  项目固废排放信息一览表</w:t>
            </w:r>
          </w:p>
          <w:tbl>
            <w:tblPr>
              <w:tblStyle w:val="26"/>
              <w:tblW w:w="12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1687"/>
              <w:gridCol w:w="2187"/>
              <w:gridCol w:w="2016"/>
              <w:gridCol w:w="1116"/>
              <w:gridCol w:w="904"/>
              <w:gridCol w:w="993"/>
              <w:gridCol w:w="1067"/>
              <w:gridCol w:w="1236"/>
              <w:gridCol w:w="952"/>
            </w:tblGrid>
            <w:tr w14:paraId="5E408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 w:hRule="atLeast"/>
                <w:jc w:val="center"/>
              </w:trPr>
              <w:tc>
                <w:tcPr>
                  <w:tcW w:w="719" w:type="dxa"/>
                  <w:vMerge w:val="restart"/>
                  <w:tcBorders>
                    <w:tl2br w:val="nil"/>
                    <w:tr2bl w:val="nil"/>
                  </w:tcBorders>
                  <w:noWrap w:val="0"/>
                  <w:vAlign w:val="center"/>
                </w:tcPr>
                <w:p w14:paraId="1416DE3F">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序号</w:t>
                  </w:r>
                </w:p>
              </w:tc>
              <w:tc>
                <w:tcPr>
                  <w:tcW w:w="1687" w:type="dxa"/>
                  <w:vMerge w:val="restart"/>
                  <w:tcBorders>
                    <w:tl2br w:val="nil"/>
                    <w:tr2bl w:val="nil"/>
                  </w:tcBorders>
                  <w:noWrap w:val="0"/>
                  <w:vAlign w:val="center"/>
                </w:tcPr>
                <w:p w14:paraId="33CF1317">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eastAsia" w:cs="Times New Roman"/>
                      <w:b/>
                      <w:bCs/>
                      <w:i w:val="0"/>
                      <w:iCs w:val="0"/>
                      <w:color w:val="auto"/>
                      <w:kern w:val="0"/>
                      <w:sz w:val="21"/>
                      <w:szCs w:val="21"/>
                      <w:u w:val="none"/>
                      <w:lang w:val="en-US" w:eastAsia="zh-CN" w:bidi="ar"/>
                    </w:rPr>
                    <w:t>固废来源</w:t>
                  </w:r>
                </w:p>
              </w:tc>
              <w:tc>
                <w:tcPr>
                  <w:tcW w:w="2187" w:type="dxa"/>
                  <w:vMerge w:val="restart"/>
                  <w:tcBorders>
                    <w:tl2br w:val="nil"/>
                    <w:tr2bl w:val="nil"/>
                  </w:tcBorders>
                  <w:noWrap w:val="0"/>
                  <w:vAlign w:val="center"/>
                </w:tcPr>
                <w:p w14:paraId="214F1AFB">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固废名称</w:t>
                  </w:r>
                </w:p>
              </w:tc>
              <w:tc>
                <w:tcPr>
                  <w:tcW w:w="2016" w:type="dxa"/>
                  <w:vMerge w:val="restart"/>
                  <w:tcBorders>
                    <w:tl2br w:val="nil"/>
                    <w:tr2bl w:val="nil"/>
                  </w:tcBorders>
                  <w:noWrap w:val="0"/>
                  <w:vAlign w:val="center"/>
                </w:tcPr>
                <w:p w14:paraId="62CEAB61">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处置方式</w:t>
                  </w:r>
                </w:p>
              </w:tc>
              <w:tc>
                <w:tcPr>
                  <w:tcW w:w="6268" w:type="dxa"/>
                  <w:gridSpan w:val="6"/>
                  <w:tcBorders>
                    <w:tl2br w:val="nil"/>
                    <w:tr2bl w:val="nil"/>
                  </w:tcBorders>
                  <w:noWrap w:val="0"/>
                  <w:vAlign w:val="center"/>
                </w:tcPr>
                <w:p w14:paraId="0925777F">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处置去向</w:t>
                  </w:r>
                </w:p>
              </w:tc>
            </w:tr>
            <w:tr w14:paraId="1D882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 w:hRule="atLeast"/>
                <w:jc w:val="center"/>
              </w:trPr>
              <w:tc>
                <w:tcPr>
                  <w:tcW w:w="719" w:type="dxa"/>
                  <w:vMerge w:val="continue"/>
                  <w:tcBorders>
                    <w:tl2br w:val="nil"/>
                    <w:tr2bl w:val="nil"/>
                  </w:tcBorders>
                  <w:noWrap w:val="0"/>
                  <w:vAlign w:val="center"/>
                </w:tcPr>
                <w:p w14:paraId="069422FF">
                  <w:pPr>
                    <w:jc w:val="center"/>
                    <w:rPr>
                      <w:rFonts w:hint="default" w:ascii="Times New Roman" w:hAnsi="Times New Roman" w:eastAsia="宋体" w:cs="Times New Roman"/>
                      <w:b/>
                      <w:bCs/>
                      <w:i w:val="0"/>
                      <w:iCs w:val="0"/>
                      <w:color w:val="auto"/>
                      <w:sz w:val="21"/>
                      <w:szCs w:val="21"/>
                      <w:u w:val="none"/>
                    </w:rPr>
                  </w:pPr>
                </w:p>
              </w:tc>
              <w:tc>
                <w:tcPr>
                  <w:tcW w:w="1687" w:type="dxa"/>
                  <w:vMerge w:val="continue"/>
                  <w:tcBorders>
                    <w:tl2br w:val="nil"/>
                    <w:tr2bl w:val="nil"/>
                  </w:tcBorders>
                  <w:noWrap w:val="0"/>
                  <w:vAlign w:val="center"/>
                </w:tcPr>
                <w:p w14:paraId="14302BE1">
                  <w:pPr>
                    <w:jc w:val="center"/>
                    <w:rPr>
                      <w:rFonts w:hint="default" w:ascii="Times New Roman" w:hAnsi="Times New Roman" w:eastAsia="宋体" w:cs="Times New Roman"/>
                      <w:b/>
                      <w:bCs/>
                      <w:i w:val="0"/>
                      <w:iCs w:val="0"/>
                      <w:color w:val="auto"/>
                      <w:sz w:val="21"/>
                      <w:szCs w:val="21"/>
                      <w:u w:val="none"/>
                    </w:rPr>
                  </w:pPr>
                </w:p>
              </w:tc>
              <w:tc>
                <w:tcPr>
                  <w:tcW w:w="2187" w:type="dxa"/>
                  <w:vMerge w:val="continue"/>
                  <w:tcBorders>
                    <w:tl2br w:val="nil"/>
                    <w:tr2bl w:val="nil"/>
                  </w:tcBorders>
                  <w:noWrap w:val="0"/>
                  <w:vAlign w:val="center"/>
                </w:tcPr>
                <w:p w14:paraId="6E17C97F">
                  <w:pPr>
                    <w:jc w:val="center"/>
                    <w:rPr>
                      <w:rFonts w:hint="default" w:ascii="Times New Roman" w:hAnsi="Times New Roman" w:eastAsia="宋体" w:cs="Times New Roman"/>
                      <w:b/>
                      <w:bCs/>
                      <w:i w:val="0"/>
                      <w:iCs w:val="0"/>
                      <w:color w:val="auto"/>
                      <w:sz w:val="21"/>
                      <w:szCs w:val="21"/>
                      <w:u w:val="none"/>
                    </w:rPr>
                  </w:pPr>
                </w:p>
              </w:tc>
              <w:tc>
                <w:tcPr>
                  <w:tcW w:w="2016" w:type="dxa"/>
                  <w:vMerge w:val="continue"/>
                  <w:tcBorders>
                    <w:tl2br w:val="nil"/>
                    <w:tr2bl w:val="nil"/>
                  </w:tcBorders>
                  <w:noWrap w:val="0"/>
                  <w:vAlign w:val="center"/>
                </w:tcPr>
                <w:p w14:paraId="1EC4DD7B">
                  <w:pPr>
                    <w:jc w:val="center"/>
                    <w:rPr>
                      <w:rFonts w:hint="default" w:ascii="Times New Roman" w:hAnsi="Times New Roman" w:eastAsia="宋体" w:cs="Times New Roman"/>
                      <w:b/>
                      <w:bCs/>
                      <w:i w:val="0"/>
                      <w:iCs w:val="0"/>
                      <w:color w:val="auto"/>
                      <w:sz w:val="21"/>
                      <w:szCs w:val="21"/>
                      <w:u w:val="none"/>
                    </w:rPr>
                  </w:pPr>
                </w:p>
              </w:tc>
              <w:tc>
                <w:tcPr>
                  <w:tcW w:w="1116" w:type="dxa"/>
                  <w:vMerge w:val="restart"/>
                  <w:tcBorders>
                    <w:tl2br w:val="nil"/>
                    <w:tr2bl w:val="nil"/>
                  </w:tcBorders>
                  <w:noWrap w:val="0"/>
                  <w:vAlign w:val="center"/>
                </w:tcPr>
                <w:p w14:paraId="76E85A22">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自行贮存量</w:t>
                  </w:r>
                  <w:r>
                    <w:rPr>
                      <w:rFonts w:hint="eastAsia" w:cs="Times New Roman"/>
                      <w:b/>
                      <w:bCs/>
                      <w:i w:val="0"/>
                      <w:iCs w:val="0"/>
                      <w:color w:val="auto"/>
                      <w:kern w:val="0"/>
                      <w:sz w:val="21"/>
                      <w:szCs w:val="21"/>
                      <w:u w:val="none"/>
                      <w:lang w:val="en-US" w:eastAsia="zh-CN" w:bidi="ar"/>
                    </w:rPr>
                    <w:t>（</w:t>
                  </w:r>
                  <w:r>
                    <w:rPr>
                      <w:rFonts w:hint="default" w:ascii="Times New Roman" w:hAnsi="Times New Roman" w:eastAsia="宋体" w:cs="Times New Roman"/>
                      <w:b/>
                      <w:bCs/>
                      <w:i w:val="0"/>
                      <w:iCs w:val="0"/>
                      <w:color w:val="auto"/>
                      <w:kern w:val="0"/>
                      <w:sz w:val="21"/>
                      <w:szCs w:val="21"/>
                      <w:u w:val="none"/>
                      <w:lang w:val="en-US" w:eastAsia="zh-CN" w:bidi="ar"/>
                    </w:rPr>
                    <w:t>t/a）</w:t>
                  </w:r>
                </w:p>
              </w:tc>
              <w:tc>
                <w:tcPr>
                  <w:tcW w:w="904" w:type="dxa"/>
                  <w:vMerge w:val="restart"/>
                  <w:tcBorders>
                    <w:tl2br w:val="nil"/>
                    <w:tr2bl w:val="nil"/>
                  </w:tcBorders>
                  <w:noWrap w:val="0"/>
                  <w:vAlign w:val="center"/>
                </w:tcPr>
                <w:p w14:paraId="0737747A">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自行利用量</w:t>
                  </w:r>
                  <w:r>
                    <w:rPr>
                      <w:rFonts w:hint="eastAsia" w:cs="Times New Roman"/>
                      <w:b/>
                      <w:bCs/>
                      <w:i w:val="0"/>
                      <w:iCs w:val="0"/>
                      <w:color w:val="auto"/>
                      <w:kern w:val="0"/>
                      <w:sz w:val="21"/>
                      <w:szCs w:val="21"/>
                      <w:u w:val="none"/>
                      <w:lang w:val="en-US" w:eastAsia="zh-CN" w:bidi="ar"/>
                    </w:rPr>
                    <w:t>（</w:t>
                  </w:r>
                  <w:r>
                    <w:rPr>
                      <w:rFonts w:hint="default" w:ascii="Times New Roman" w:hAnsi="Times New Roman" w:eastAsia="宋体" w:cs="Times New Roman"/>
                      <w:b/>
                      <w:bCs/>
                      <w:i w:val="0"/>
                      <w:iCs w:val="0"/>
                      <w:color w:val="auto"/>
                      <w:kern w:val="0"/>
                      <w:sz w:val="21"/>
                      <w:szCs w:val="21"/>
                      <w:u w:val="none"/>
                      <w:lang w:val="en-US" w:eastAsia="zh-CN" w:bidi="ar"/>
                    </w:rPr>
                    <w:t>t/a）</w:t>
                  </w:r>
                </w:p>
              </w:tc>
              <w:tc>
                <w:tcPr>
                  <w:tcW w:w="993" w:type="dxa"/>
                  <w:vMerge w:val="restart"/>
                  <w:tcBorders>
                    <w:tl2br w:val="nil"/>
                    <w:tr2bl w:val="nil"/>
                  </w:tcBorders>
                  <w:noWrap w:val="0"/>
                  <w:vAlign w:val="center"/>
                </w:tcPr>
                <w:p w14:paraId="41D0F178">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自行处置量</w:t>
                  </w:r>
                  <w:r>
                    <w:rPr>
                      <w:rFonts w:hint="eastAsia" w:cs="Times New Roman"/>
                      <w:b/>
                      <w:bCs/>
                      <w:i w:val="0"/>
                      <w:iCs w:val="0"/>
                      <w:color w:val="auto"/>
                      <w:kern w:val="0"/>
                      <w:sz w:val="21"/>
                      <w:szCs w:val="21"/>
                      <w:u w:val="none"/>
                      <w:lang w:val="en-US" w:eastAsia="zh-CN" w:bidi="ar"/>
                    </w:rPr>
                    <w:t>（</w:t>
                  </w:r>
                  <w:r>
                    <w:rPr>
                      <w:rFonts w:hint="default" w:ascii="Times New Roman" w:hAnsi="Times New Roman" w:eastAsia="宋体" w:cs="Times New Roman"/>
                      <w:b/>
                      <w:bCs/>
                      <w:i w:val="0"/>
                      <w:iCs w:val="0"/>
                      <w:color w:val="auto"/>
                      <w:kern w:val="0"/>
                      <w:sz w:val="21"/>
                      <w:szCs w:val="21"/>
                      <w:u w:val="none"/>
                      <w:lang w:val="en-US" w:eastAsia="zh-CN" w:bidi="ar"/>
                    </w:rPr>
                    <w:t>t/a）</w:t>
                  </w:r>
                </w:p>
              </w:tc>
              <w:tc>
                <w:tcPr>
                  <w:tcW w:w="2303" w:type="dxa"/>
                  <w:gridSpan w:val="2"/>
                  <w:tcBorders>
                    <w:tl2br w:val="nil"/>
                    <w:tr2bl w:val="nil"/>
                  </w:tcBorders>
                  <w:noWrap w:val="0"/>
                  <w:vAlign w:val="center"/>
                </w:tcPr>
                <w:p w14:paraId="0DABBDE0">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转移量</w:t>
                  </w:r>
                </w:p>
              </w:tc>
              <w:tc>
                <w:tcPr>
                  <w:tcW w:w="952" w:type="dxa"/>
                  <w:vMerge w:val="restart"/>
                  <w:tcBorders>
                    <w:tl2br w:val="nil"/>
                    <w:tr2bl w:val="nil"/>
                  </w:tcBorders>
                  <w:noWrap w:val="0"/>
                  <w:vAlign w:val="center"/>
                </w:tcPr>
                <w:p w14:paraId="619A6D5E">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排放量</w:t>
                  </w:r>
                  <w:r>
                    <w:rPr>
                      <w:rFonts w:hint="eastAsia" w:cs="Times New Roman"/>
                      <w:b/>
                      <w:bCs/>
                      <w:i w:val="0"/>
                      <w:iCs w:val="0"/>
                      <w:color w:val="auto"/>
                      <w:kern w:val="0"/>
                      <w:sz w:val="21"/>
                      <w:szCs w:val="21"/>
                      <w:u w:val="none"/>
                      <w:lang w:val="en-US" w:eastAsia="zh-CN" w:bidi="ar"/>
                    </w:rPr>
                    <w:t>（</w:t>
                  </w:r>
                  <w:r>
                    <w:rPr>
                      <w:rFonts w:hint="default" w:ascii="Times New Roman" w:hAnsi="Times New Roman" w:eastAsia="宋体" w:cs="Times New Roman"/>
                      <w:b/>
                      <w:bCs/>
                      <w:i w:val="0"/>
                      <w:iCs w:val="0"/>
                      <w:color w:val="auto"/>
                      <w:kern w:val="0"/>
                      <w:sz w:val="21"/>
                      <w:szCs w:val="21"/>
                      <w:u w:val="none"/>
                      <w:lang w:val="en-US" w:eastAsia="zh-CN" w:bidi="ar"/>
                    </w:rPr>
                    <w:t>t/a）</w:t>
                  </w:r>
                </w:p>
              </w:tc>
            </w:tr>
            <w:tr w14:paraId="2FBCD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19" w:type="dxa"/>
                  <w:vMerge w:val="continue"/>
                  <w:tcBorders>
                    <w:tl2br w:val="nil"/>
                    <w:tr2bl w:val="nil"/>
                  </w:tcBorders>
                  <w:noWrap w:val="0"/>
                  <w:vAlign w:val="center"/>
                </w:tcPr>
                <w:p w14:paraId="24CA286B">
                  <w:pPr>
                    <w:jc w:val="center"/>
                    <w:rPr>
                      <w:rFonts w:hint="default" w:ascii="Times New Roman" w:hAnsi="Times New Roman" w:eastAsia="宋体" w:cs="Times New Roman"/>
                      <w:b/>
                      <w:bCs/>
                      <w:i w:val="0"/>
                      <w:iCs w:val="0"/>
                      <w:color w:val="auto"/>
                      <w:sz w:val="21"/>
                      <w:szCs w:val="21"/>
                      <w:u w:val="none"/>
                    </w:rPr>
                  </w:pPr>
                </w:p>
              </w:tc>
              <w:tc>
                <w:tcPr>
                  <w:tcW w:w="1687" w:type="dxa"/>
                  <w:vMerge w:val="continue"/>
                  <w:tcBorders>
                    <w:tl2br w:val="nil"/>
                    <w:tr2bl w:val="nil"/>
                  </w:tcBorders>
                  <w:noWrap w:val="0"/>
                  <w:vAlign w:val="center"/>
                </w:tcPr>
                <w:p w14:paraId="2044E31A">
                  <w:pPr>
                    <w:jc w:val="center"/>
                    <w:rPr>
                      <w:rFonts w:hint="default" w:ascii="Times New Roman" w:hAnsi="Times New Roman" w:eastAsia="宋体" w:cs="Times New Roman"/>
                      <w:b/>
                      <w:bCs/>
                      <w:i w:val="0"/>
                      <w:iCs w:val="0"/>
                      <w:color w:val="auto"/>
                      <w:sz w:val="21"/>
                      <w:szCs w:val="21"/>
                      <w:u w:val="none"/>
                    </w:rPr>
                  </w:pPr>
                </w:p>
              </w:tc>
              <w:tc>
                <w:tcPr>
                  <w:tcW w:w="2187" w:type="dxa"/>
                  <w:vMerge w:val="continue"/>
                  <w:tcBorders>
                    <w:tl2br w:val="nil"/>
                    <w:tr2bl w:val="nil"/>
                  </w:tcBorders>
                  <w:noWrap w:val="0"/>
                  <w:vAlign w:val="center"/>
                </w:tcPr>
                <w:p w14:paraId="57A110A0">
                  <w:pPr>
                    <w:jc w:val="center"/>
                    <w:rPr>
                      <w:rFonts w:hint="default" w:ascii="Times New Roman" w:hAnsi="Times New Roman" w:eastAsia="宋体" w:cs="Times New Roman"/>
                      <w:b/>
                      <w:bCs/>
                      <w:i w:val="0"/>
                      <w:iCs w:val="0"/>
                      <w:color w:val="auto"/>
                      <w:sz w:val="21"/>
                      <w:szCs w:val="21"/>
                      <w:u w:val="none"/>
                    </w:rPr>
                  </w:pPr>
                </w:p>
              </w:tc>
              <w:tc>
                <w:tcPr>
                  <w:tcW w:w="2016" w:type="dxa"/>
                  <w:vMerge w:val="continue"/>
                  <w:tcBorders>
                    <w:tl2br w:val="nil"/>
                    <w:tr2bl w:val="nil"/>
                  </w:tcBorders>
                  <w:noWrap w:val="0"/>
                  <w:vAlign w:val="center"/>
                </w:tcPr>
                <w:p w14:paraId="32AEE6E7">
                  <w:pPr>
                    <w:jc w:val="center"/>
                    <w:rPr>
                      <w:rFonts w:hint="default" w:ascii="Times New Roman" w:hAnsi="Times New Roman" w:eastAsia="宋体" w:cs="Times New Roman"/>
                      <w:b/>
                      <w:bCs/>
                      <w:i w:val="0"/>
                      <w:iCs w:val="0"/>
                      <w:color w:val="auto"/>
                      <w:sz w:val="21"/>
                      <w:szCs w:val="21"/>
                      <w:u w:val="none"/>
                    </w:rPr>
                  </w:pPr>
                </w:p>
              </w:tc>
              <w:tc>
                <w:tcPr>
                  <w:tcW w:w="1116" w:type="dxa"/>
                  <w:vMerge w:val="continue"/>
                  <w:tcBorders>
                    <w:tl2br w:val="nil"/>
                    <w:tr2bl w:val="nil"/>
                  </w:tcBorders>
                  <w:noWrap w:val="0"/>
                  <w:vAlign w:val="center"/>
                </w:tcPr>
                <w:p w14:paraId="2B6FED8B">
                  <w:pPr>
                    <w:jc w:val="center"/>
                    <w:rPr>
                      <w:rFonts w:hint="default" w:ascii="Times New Roman" w:hAnsi="Times New Roman" w:eastAsia="宋体" w:cs="Times New Roman"/>
                      <w:b/>
                      <w:bCs/>
                      <w:i w:val="0"/>
                      <w:iCs w:val="0"/>
                      <w:color w:val="auto"/>
                      <w:sz w:val="21"/>
                      <w:szCs w:val="21"/>
                      <w:u w:val="none"/>
                    </w:rPr>
                  </w:pPr>
                </w:p>
              </w:tc>
              <w:tc>
                <w:tcPr>
                  <w:tcW w:w="904" w:type="dxa"/>
                  <w:vMerge w:val="continue"/>
                  <w:tcBorders>
                    <w:tl2br w:val="nil"/>
                    <w:tr2bl w:val="nil"/>
                  </w:tcBorders>
                  <w:noWrap w:val="0"/>
                  <w:vAlign w:val="center"/>
                </w:tcPr>
                <w:p w14:paraId="40873401">
                  <w:pPr>
                    <w:jc w:val="center"/>
                    <w:rPr>
                      <w:rFonts w:hint="default" w:ascii="Times New Roman" w:hAnsi="Times New Roman" w:eastAsia="宋体" w:cs="Times New Roman"/>
                      <w:b/>
                      <w:bCs/>
                      <w:i w:val="0"/>
                      <w:iCs w:val="0"/>
                      <w:color w:val="auto"/>
                      <w:sz w:val="21"/>
                      <w:szCs w:val="21"/>
                      <w:u w:val="none"/>
                    </w:rPr>
                  </w:pPr>
                </w:p>
              </w:tc>
              <w:tc>
                <w:tcPr>
                  <w:tcW w:w="993" w:type="dxa"/>
                  <w:vMerge w:val="continue"/>
                  <w:tcBorders>
                    <w:tl2br w:val="nil"/>
                    <w:tr2bl w:val="nil"/>
                  </w:tcBorders>
                  <w:noWrap w:val="0"/>
                  <w:vAlign w:val="center"/>
                </w:tcPr>
                <w:p w14:paraId="264027B6">
                  <w:pPr>
                    <w:jc w:val="center"/>
                    <w:rPr>
                      <w:rFonts w:hint="default" w:ascii="Times New Roman" w:hAnsi="Times New Roman" w:eastAsia="宋体" w:cs="Times New Roman"/>
                      <w:b/>
                      <w:bCs/>
                      <w:i w:val="0"/>
                      <w:iCs w:val="0"/>
                      <w:color w:val="auto"/>
                      <w:sz w:val="21"/>
                      <w:szCs w:val="21"/>
                      <w:u w:val="none"/>
                    </w:rPr>
                  </w:pPr>
                </w:p>
              </w:tc>
              <w:tc>
                <w:tcPr>
                  <w:tcW w:w="1067" w:type="dxa"/>
                  <w:tcBorders>
                    <w:tl2br w:val="nil"/>
                    <w:tr2bl w:val="nil"/>
                  </w:tcBorders>
                  <w:noWrap w:val="0"/>
                  <w:vAlign w:val="center"/>
                </w:tcPr>
                <w:p w14:paraId="5B295B7E">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委托利用量</w:t>
                  </w:r>
                  <w:r>
                    <w:rPr>
                      <w:rFonts w:hint="eastAsia" w:cs="Times New Roman"/>
                      <w:b/>
                      <w:bCs/>
                      <w:i w:val="0"/>
                      <w:iCs w:val="0"/>
                      <w:color w:val="auto"/>
                      <w:kern w:val="0"/>
                      <w:sz w:val="21"/>
                      <w:szCs w:val="21"/>
                      <w:u w:val="none"/>
                      <w:lang w:val="en-US" w:eastAsia="zh-CN" w:bidi="ar"/>
                    </w:rPr>
                    <w:t>（</w:t>
                  </w:r>
                  <w:r>
                    <w:rPr>
                      <w:rFonts w:hint="default" w:ascii="Times New Roman" w:hAnsi="Times New Roman" w:eastAsia="宋体" w:cs="Times New Roman"/>
                      <w:b/>
                      <w:bCs/>
                      <w:i w:val="0"/>
                      <w:iCs w:val="0"/>
                      <w:color w:val="auto"/>
                      <w:kern w:val="0"/>
                      <w:sz w:val="21"/>
                      <w:szCs w:val="21"/>
                      <w:u w:val="none"/>
                      <w:lang w:val="en-US" w:eastAsia="zh-CN" w:bidi="ar"/>
                    </w:rPr>
                    <w:t>t/a）</w:t>
                  </w:r>
                </w:p>
              </w:tc>
              <w:tc>
                <w:tcPr>
                  <w:tcW w:w="1236" w:type="dxa"/>
                  <w:tcBorders>
                    <w:tl2br w:val="nil"/>
                    <w:tr2bl w:val="nil"/>
                  </w:tcBorders>
                  <w:noWrap w:val="0"/>
                  <w:vAlign w:val="center"/>
                </w:tcPr>
                <w:p w14:paraId="59BA7B4E">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委托处置量</w:t>
                  </w:r>
                  <w:r>
                    <w:rPr>
                      <w:rFonts w:hint="default" w:cs="Times New Roman"/>
                      <w:b/>
                      <w:bCs/>
                      <w:i w:val="0"/>
                      <w:iCs w:val="0"/>
                      <w:color w:val="auto"/>
                      <w:kern w:val="0"/>
                      <w:sz w:val="21"/>
                      <w:szCs w:val="21"/>
                      <w:u w:val="none"/>
                      <w:lang w:val="en-US" w:eastAsia="zh-CN" w:bidi="ar"/>
                    </w:rPr>
                    <w:t>（</w:t>
                  </w:r>
                  <w:r>
                    <w:rPr>
                      <w:rFonts w:hint="default" w:ascii="Times New Roman" w:hAnsi="Times New Roman" w:eastAsia="宋体" w:cs="Times New Roman"/>
                      <w:b/>
                      <w:bCs/>
                      <w:i w:val="0"/>
                      <w:iCs w:val="0"/>
                      <w:color w:val="auto"/>
                      <w:kern w:val="0"/>
                      <w:sz w:val="21"/>
                      <w:szCs w:val="21"/>
                      <w:u w:val="none"/>
                      <w:lang w:val="en-US" w:eastAsia="zh-CN" w:bidi="ar"/>
                    </w:rPr>
                    <w:t>t/a）</w:t>
                  </w:r>
                </w:p>
              </w:tc>
              <w:tc>
                <w:tcPr>
                  <w:tcW w:w="952" w:type="dxa"/>
                  <w:vMerge w:val="continue"/>
                  <w:tcBorders>
                    <w:tl2br w:val="nil"/>
                    <w:tr2bl w:val="nil"/>
                  </w:tcBorders>
                  <w:noWrap w:val="0"/>
                  <w:vAlign w:val="center"/>
                </w:tcPr>
                <w:p w14:paraId="601977B5">
                  <w:pPr>
                    <w:jc w:val="center"/>
                    <w:rPr>
                      <w:rFonts w:hint="default" w:ascii="Times New Roman" w:hAnsi="Times New Roman" w:eastAsia="宋体" w:cs="Times New Roman"/>
                      <w:b/>
                      <w:bCs/>
                      <w:i w:val="0"/>
                      <w:iCs w:val="0"/>
                      <w:color w:val="auto"/>
                      <w:sz w:val="21"/>
                      <w:szCs w:val="21"/>
                      <w:u w:val="none"/>
                    </w:rPr>
                  </w:pPr>
                </w:p>
              </w:tc>
            </w:tr>
            <w:tr w14:paraId="731B1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jc w:val="center"/>
              </w:trPr>
              <w:tc>
                <w:tcPr>
                  <w:tcW w:w="719" w:type="dxa"/>
                  <w:tcBorders>
                    <w:tl2br w:val="nil"/>
                    <w:tr2bl w:val="nil"/>
                  </w:tcBorders>
                  <w:shd w:val="clear" w:color="auto" w:fill="auto"/>
                  <w:noWrap/>
                  <w:vAlign w:val="center"/>
                </w:tcPr>
                <w:p w14:paraId="764A0C4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w:t>
                  </w:r>
                </w:p>
              </w:tc>
              <w:tc>
                <w:tcPr>
                  <w:tcW w:w="1687" w:type="dxa"/>
                  <w:tcBorders>
                    <w:tl2br w:val="nil"/>
                    <w:tr2bl w:val="nil"/>
                  </w:tcBorders>
                  <w:noWrap w:val="0"/>
                  <w:vAlign w:val="center"/>
                </w:tcPr>
                <w:p w14:paraId="712196DA">
                  <w:pPr>
                    <w:keepNext w:val="0"/>
                    <w:keepLines w:val="0"/>
                    <w:widowControl/>
                    <w:suppressLineNumbers w:val="0"/>
                    <w:jc w:val="center"/>
                    <w:textAlignment w:val="center"/>
                    <w:rPr>
                      <w:rFonts w:hint="default" w:ascii="Times New Roman" w:hAnsi="Times New Roman"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污水处理</w:t>
                  </w:r>
                </w:p>
              </w:tc>
              <w:tc>
                <w:tcPr>
                  <w:tcW w:w="2187" w:type="dxa"/>
                  <w:tcBorders>
                    <w:tl2br w:val="nil"/>
                    <w:tr2bl w:val="nil"/>
                  </w:tcBorders>
                  <w:shd w:val="clear" w:color="auto" w:fill="auto"/>
                  <w:noWrap w:val="0"/>
                  <w:vAlign w:val="center"/>
                </w:tcPr>
                <w:p w14:paraId="2567238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沉淀池泥渣</w:t>
                  </w:r>
                </w:p>
              </w:tc>
              <w:tc>
                <w:tcPr>
                  <w:tcW w:w="2016" w:type="dxa"/>
                  <w:tcBorders>
                    <w:tl2br w:val="nil"/>
                    <w:tr2bl w:val="nil"/>
                  </w:tcBorders>
                  <w:noWrap w:val="0"/>
                  <w:vAlign w:val="center"/>
                </w:tcPr>
                <w:p w14:paraId="4CDF019C">
                  <w:pPr>
                    <w:keepNext w:val="0"/>
                    <w:keepLines w:val="0"/>
                    <w:widowControl/>
                    <w:suppressLineNumbers w:val="0"/>
                    <w:jc w:val="center"/>
                    <w:textAlignment w:val="center"/>
                    <w:rPr>
                      <w:rFonts w:hint="default" w:ascii="Times New Roman" w:hAnsi="Times New Roman"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暂存污泥池，外售综合利用。</w:t>
                  </w:r>
                </w:p>
              </w:tc>
              <w:tc>
                <w:tcPr>
                  <w:tcW w:w="1116" w:type="dxa"/>
                  <w:tcBorders>
                    <w:tl2br w:val="nil"/>
                    <w:tr2bl w:val="nil"/>
                  </w:tcBorders>
                  <w:noWrap w:val="0"/>
                  <w:vAlign w:val="center"/>
                </w:tcPr>
                <w:p w14:paraId="1C9B167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904" w:type="dxa"/>
                  <w:tcBorders>
                    <w:tl2br w:val="nil"/>
                    <w:tr2bl w:val="nil"/>
                  </w:tcBorders>
                  <w:noWrap w:val="0"/>
                  <w:vAlign w:val="center"/>
                </w:tcPr>
                <w:p w14:paraId="495FA16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993" w:type="dxa"/>
                  <w:tcBorders>
                    <w:tl2br w:val="nil"/>
                    <w:tr2bl w:val="nil"/>
                  </w:tcBorders>
                  <w:noWrap w:val="0"/>
                  <w:vAlign w:val="center"/>
                </w:tcPr>
                <w:p w14:paraId="219EFA5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1067" w:type="dxa"/>
                  <w:tcBorders>
                    <w:tl2br w:val="nil"/>
                    <w:tr2bl w:val="nil"/>
                  </w:tcBorders>
                  <w:noWrap w:val="0"/>
                  <w:vAlign w:val="center"/>
                </w:tcPr>
                <w:p w14:paraId="78390B5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1236" w:type="dxa"/>
                  <w:tcBorders>
                    <w:tl2br w:val="nil"/>
                    <w:tr2bl w:val="nil"/>
                  </w:tcBorders>
                  <w:shd w:val="clear" w:color="auto" w:fill="auto"/>
                  <w:noWrap w:val="0"/>
                  <w:vAlign w:val="center"/>
                </w:tcPr>
                <w:p w14:paraId="1759820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cs="Times New Roman"/>
                      <w:i w:val="0"/>
                      <w:iCs w:val="0"/>
                      <w:color w:val="auto"/>
                      <w:sz w:val="21"/>
                      <w:szCs w:val="21"/>
                      <w:u w:val="none"/>
                      <w:vertAlign w:val="baseline"/>
                      <w:lang w:val="en-US" w:eastAsia="zh-CN"/>
                    </w:rPr>
                    <w:t>47.868</w:t>
                  </w:r>
                </w:p>
              </w:tc>
              <w:tc>
                <w:tcPr>
                  <w:tcW w:w="952" w:type="dxa"/>
                  <w:tcBorders>
                    <w:tl2br w:val="nil"/>
                    <w:tr2bl w:val="nil"/>
                  </w:tcBorders>
                  <w:noWrap w:val="0"/>
                  <w:vAlign w:val="center"/>
                </w:tcPr>
                <w:p w14:paraId="7EACA54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0</w:t>
                  </w:r>
                </w:p>
              </w:tc>
            </w:tr>
            <w:tr w14:paraId="5E46D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jc w:val="center"/>
              </w:trPr>
              <w:tc>
                <w:tcPr>
                  <w:tcW w:w="719" w:type="dxa"/>
                  <w:tcBorders>
                    <w:tl2br w:val="nil"/>
                    <w:tr2bl w:val="nil"/>
                  </w:tcBorders>
                  <w:shd w:val="clear" w:color="auto" w:fill="auto"/>
                  <w:noWrap/>
                  <w:vAlign w:val="center"/>
                </w:tcPr>
                <w:p w14:paraId="4C97D7F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w:t>
                  </w:r>
                </w:p>
              </w:tc>
              <w:tc>
                <w:tcPr>
                  <w:tcW w:w="1687" w:type="dxa"/>
                  <w:vMerge w:val="restart"/>
                  <w:tcBorders>
                    <w:tl2br w:val="nil"/>
                    <w:tr2bl w:val="nil"/>
                  </w:tcBorders>
                  <w:noWrap w:val="0"/>
                  <w:vAlign w:val="center"/>
                </w:tcPr>
                <w:p w14:paraId="2D6CC6E4">
                  <w:pPr>
                    <w:keepNext w:val="0"/>
                    <w:keepLines w:val="0"/>
                    <w:widowControl/>
                    <w:suppressLineNumbers w:val="0"/>
                    <w:jc w:val="center"/>
                    <w:textAlignment w:val="center"/>
                    <w:rPr>
                      <w:rFonts w:hint="default" w:ascii="Times New Roman" w:hAnsi="Times New Roman"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废气治理</w:t>
                  </w:r>
                </w:p>
              </w:tc>
              <w:tc>
                <w:tcPr>
                  <w:tcW w:w="2187" w:type="dxa"/>
                  <w:tcBorders>
                    <w:tl2br w:val="nil"/>
                    <w:tr2bl w:val="nil"/>
                  </w:tcBorders>
                  <w:shd w:val="clear" w:color="auto" w:fill="auto"/>
                  <w:noWrap w:val="0"/>
                  <w:vAlign w:val="center"/>
                </w:tcPr>
                <w:p w14:paraId="0E4A353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除尘器收尘</w:t>
                  </w:r>
                </w:p>
              </w:tc>
              <w:tc>
                <w:tcPr>
                  <w:tcW w:w="2016" w:type="dxa"/>
                  <w:vMerge w:val="restart"/>
                  <w:tcBorders>
                    <w:tl2br w:val="nil"/>
                    <w:tr2bl w:val="nil"/>
                  </w:tcBorders>
                  <w:noWrap w:val="0"/>
                  <w:vAlign w:val="center"/>
                </w:tcPr>
                <w:p w14:paraId="58D06764">
                  <w:pPr>
                    <w:keepNext w:val="0"/>
                    <w:keepLines w:val="0"/>
                    <w:widowControl/>
                    <w:suppressLineNumbers w:val="0"/>
                    <w:jc w:val="center"/>
                    <w:textAlignment w:val="center"/>
                    <w:rPr>
                      <w:rFonts w:hint="default" w:ascii="Times New Roman" w:hAnsi="Times New Roman"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收集后暂存固废库，外售综合利用。</w:t>
                  </w:r>
                </w:p>
              </w:tc>
              <w:tc>
                <w:tcPr>
                  <w:tcW w:w="1116" w:type="dxa"/>
                  <w:tcBorders>
                    <w:tl2br w:val="nil"/>
                    <w:tr2bl w:val="nil"/>
                  </w:tcBorders>
                  <w:noWrap w:val="0"/>
                  <w:vAlign w:val="center"/>
                </w:tcPr>
                <w:p w14:paraId="13E1831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904" w:type="dxa"/>
                  <w:tcBorders>
                    <w:tl2br w:val="nil"/>
                    <w:tr2bl w:val="nil"/>
                  </w:tcBorders>
                  <w:noWrap w:val="0"/>
                  <w:vAlign w:val="center"/>
                </w:tcPr>
                <w:p w14:paraId="79CF773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993" w:type="dxa"/>
                  <w:tcBorders>
                    <w:tl2br w:val="nil"/>
                    <w:tr2bl w:val="nil"/>
                  </w:tcBorders>
                  <w:noWrap w:val="0"/>
                  <w:vAlign w:val="center"/>
                </w:tcPr>
                <w:p w14:paraId="49E80EA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1067" w:type="dxa"/>
                  <w:tcBorders>
                    <w:tl2br w:val="nil"/>
                    <w:tr2bl w:val="nil"/>
                  </w:tcBorders>
                  <w:noWrap w:val="0"/>
                  <w:vAlign w:val="center"/>
                </w:tcPr>
                <w:p w14:paraId="5823810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1236" w:type="dxa"/>
                  <w:tcBorders>
                    <w:tl2br w:val="nil"/>
                    <w:tr2bl w:val="nil"/>
                  </w:tcBorders>
                  <w:shd w:val="clear" w:color="auto" w:fill="auto"/>
                  <w:noWrap w:val="0"/>
                  <w:vAlign w:val="center"/>
                </w:tcPr>
                <w:p w14:paraId="3AACB42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
                    </w:rPr>
                  </w:pPr>
                  <w:r>
                    <w:rPr>
                      <w:rStyle w:val="67"/>
                      <w:rFonts w:hint="default" w:ascii="Times New Roman" w:hAnsi="Times New Roman" w:cs="Times New Roman"/>
                      <w:i w:val="0"/>
                      <w:iCs w:val="0"/>
                      <w:color w:val="auto"/>
                      <w:sz w:val="21"/>
                      <w:szCs w:val="21"/>
                      <w:vertAlign w:val="baseline"/>
                      <w:lang w:val="en-US" w:eastAsia="zh-CN" w:bidi="ar"/>
                    </w:rPr>
                    <w:t>20.475</w:t>
                  </w:r>
                </w:p>
              </w:tc>
              <w:tc>
                <w:tcPr>
                  <w:tcW w:w="952" w:type="dxa"/>
                  <w:tcBorders>
                    <w:tl2br w:val="nil"/>
                    <w:tr2bl w:val="nil"/>
                  </w:tcBorders>
                  <w:noWrap w:val="0"/>
                  <w:vAlign w:val="center"/>
                </w:tcPr>
                <w:p w14:paraId="27E3579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0</w:t>
                  </w:r>
                </w:p>
              </w:tc>
            </w:tr>
            <w:tr w14:paraId="52954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jc w:val="center"/>
              </w:trPr>
              <w:tc>
                <w:tcPr>
                  <w:tcW w:w="719" w:type="dxa"/>
                  <w:tcBorders>
                    <w:tl2br w:val="nil"/>
                    <w:tr2bl w:val="nil"/>
                  </w:tcBorders>
                  <w:shd w:val="clear" w:color="auto" w:fill="auto"/>
                  <w:noWrap/>
                  <w:vAlign w:val="center"/>
                </w:tcPr>
                <w:p w14:paraId="77673A9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3</w:t>
                  </w:r>
                </w:p>
              </w:tc>
              <w:tc>
                <w:tcPr>
                  <w:tcW w:w="1687" w:type="dxa"/>
                  <w:vMerge w:val="continue"/>
                  <w:tcBorders>
                    <w:tl2br w:val="nil"/>
                    <w:tr2bl w:val="nil"/>
                  </w:tcBorders>
                  <w:noWrap w:val="0"/>
                  <w:vAlign w:val="center"/>
                </w:tcPr>
                <w:p w14:paraId="421E5B9E">
                  <w:pPr>
                    <w:keepNext w:val="0"/>
                    <w:keepLines w:val="0"/>
                    <w:widowControl/>
                    <w:suppressLineNumbers w:val="0"/>
                    <w:jc w:val="center"/>
                    <w:textAlignment w:val="center"/>
                    <w:rPr>
                      <w:rFonts w:hint="eastAsia" w:cs="Times New Roman"/>
                      <w:i w:val="0"/>
                      <w:iCs w:val="0"/>
                      <w:color w:val="auto"/>
                      <w:sz w:val="21"/>
                      <w:szCs w:val="21"/>
                      <w:u w:val="none"/>
                      <w:lang w:val="en-US" w:eastAsia="zh-CN"/>
                    </w:rPr>
                  </w:pPr>
                </w:p>
              </w:tc>
              <w:tc>
                <w:tcPr>
                  <w:tcW w:w="2187" w:type="dxa"/>
                  <w:tcBorders>
                    <w:tl2br w:val="nil"/>
                    <w:tr2bl w:val="nil"/>
                  </w:tcBorders>
                  <w:shd w:val="clear" w:color="auto" w:fill="auto"/>
                  <w:noWrap w:val="0"/>
                  <w:vAlign w:val="center"/>
                </w:tcPr>
                <w:p w14:paraId="57AF1619">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废布袋</w:t>
                  </w:r>
                </w:p>
              </w:tc>
              <w:tc>
                <w:tcPr>
                  <w:tcW w:w="2016" w:type="dxa"/>
                  <w:vMerge w:val="continue"/>
                  <w:tcBorders>
                    <w:tl2br w:val="nil"/>
                    <w:tr2bl w:val="nil"/>
                  </w:tcBorders>
                  <w:noWrap w:val="0"/>
                  <w:vAlign w:val="center"/>
                </w:tcPr>
                <w:p w14:paraId="3A05F96B">
                  <w:pPr>
                    <w:keepNext w:val="0"/>
                    <w:keepLines w:val="0"/>
                    <w:widowControl/>
                    <w:suppressLineNumbers w:val="0"/>
                    <w:jc w:val="center"/>
                    <w:textAlignment w:val="center"/>
                    <w:rPr>
                      <w:rFonts w:hint="eastAsia" w:cs="Times New Roman"/>
                      <w:i w:val="0"/>
                      <w:iCs w:val="0"/>
                      <w:color w:val="auto"/>
                      <w:sz w:val="21"/>
                      <w:szCs w:val="21"/>
                      <w:u w:val="none"/>
                      <w:lang w:val="en-US" w:eastAsia="zh-CN"/>
                    </w:rPr>
                  </w:pPr>
                </w:p>
              </w:tc>
              <w:tc>
                <w:tcPr>
                  <w:tcW w:w="1116" w:type="dxa"/>
                  <w:tcBorders>
                    <w:tl2br w:val="nil"/>
                    <w:tr2bl w:val="nil"/>
                  </w:tcBorders>
                  <w:shd w:val="clear" w:color="auto" w:fill="auto"/>
                  <w:noWrap w:val="0"/>
                  <w:vAlign w:val="center"/>
                </w:tcPr>
                <w:p w14:paraId="2B3A7A0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904" w:type="dxa"/>
                  <w:tcBorders>
                    <w:tl2br w:val="nil"/>
                    <w:tr2bl w:val="nil"/>
                  </w:tcBorders>
                  <w:shd w:val="clear" w:color="auto" w:fill="auto"/>
                  <w:noWrap w:val="0"/>
                  <w:vAlign w:val="center"/>
                </w:tcPr>
                <w:p w14:paraId="35E05E9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993" w:type="dxa"/>
                  <w:tcBorders>
                    <w:tl2br w:val="nil"/>
                    <w:tr2bl w:val="nil"/>
                  </w:tcBorders>
                  <w:shd w:val="clear" w:color="auto" w:fill="auto"/>
                  <w:noWrap w:val="0"/>
                  <w:vAlign w:val="center"/>
                </w:tcPr>
                <w:p w14:paraId="682EBCF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1067" w:type="dxa"/>
                  <w:tcBorders>
                    <w:tl2br w:val="nil"/>
                    <w:tr2bl w:val="nil"/>
                  </w:tcBorders>
                  <w:shd w:val="clear" w:color="auto" w:fill="auto"/>
                  <w:noWrap w:val="0"/>
                  <w:vAlign w:val="center"/>
                </w:tcPr>
                <w:p w14:paraId="51F7069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1236" w:type="dxa"/>
                  <w:tcBorders>
                    <w:tl2br w:val="nil"/>
                    <w:tr2bl w:val="nil"/>
                  </w:tcBorders>
                  <w:shd w:val="clear" w:color="auto" w:fill="auto"/>
                  <w:noWrap w:val="0"/>
                  <w:vAlign w:val="center"/>
                </w:tcPr>
                <w:p w14:paraId="7937955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cs="Times New Roman"/>
                      <w:i w:val="0"/>
                      <w:iCs w:val="0"/>
                      <w:color w:val="auto"/>
                      <w:sz w:val="21"/>
                      <w:szCs w:val="21"/>
                      <w:u w:val="none"/>
                      <w:vertAlign w:val="baseline"/>
                      <w:lang w:val="en-US" w:eastAsia="zh-CN"/>
                    </w:rPr>
                    <w:t>6</w:t>
                  </w:r>
                  <w:r>
                    <w:rPr>
                      <w:rStyle w:val="67"/>
                      <w:rFonts w:hint="default" w:ascii="Times New Roman" w:hAnsi="Times New Roman" w:cs="Times New Roman"/>
                      <w:i w:val="0"/>
                      <w:iCs w:val="0"/>
                      <w:color w:val="auto"/>
                      <w:sz w:val="21"/>
                      <w:szCs w:val="21"/>
                      <w:vertAlign w:val="baseline"/>
                      <w:lang w:val="en-US" w:eastAsia="zh-CN" w:bidi="ar"/>
                    </w:rPr>
                    <w:t>个/年</w:t>
                  </w:r>
                </w:p>
              </w:tc>
              <w:tc>
                <w:tcPr>
                  <w:tcW w:w="952" w:type="dxa"/>
                  <w:tcBorders>
                    <w:tl2br w:val="nil"/>
                    <w:tr2bl w:val="nil"/>
                  </w:tcBorders>
                  <w:noWrap w:val="0"/>
                  <w:vAlign w:val="center"/>
                </w:tcPr>
                <w:p w14:paraId="748C4648">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p>
              </w:tc>
            </w:tr>
            <w:tr w14:paraId="3D737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 w:hRule="atLeast"/>
                <w:jc w:val="center"/>
              </w:trPr>
              <w:tc>
                <w:tcPr>
                  <w:tcW w:w="719" w:type="dxa"/>
                  <w:tcBorders>
                    <w:tl2br w:val="nil"/>
                    <w:tr2bl w:val="nil"/>
                  </w:tcBorders>
                  <w:shd w:val="clear" w:color="auto" w:fill="auto"/>
                  <w:noWrap/>
                  <w:vAlign w:val="center"/>
                </w:tcPr>
                <w:p w14:paraId="10BD1013">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4</w:t>
                  </w:r>
                </w:p>
              </w:tc>
              <w:tc>
                <w:tcPr>
                  <w:tcW w:w="1687" w:type="dxa"/>
                  <w:tcBorders>
                    <w:tl2br w:val="nil"/>
                    <w:tr2bl w:val="nil"/>
                  </w:tcBorders>
                  <w:shd w:val="clear" w:color="auto" w:fill="auto"/>
                  <w:noWrap/>
                  <w:vAlign w:val="center"/>
                </w:tcPr>
                <w:p w14:paraId="05B3788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auto"/>
                      <w:sz w:val="21"/>
                      <w:szCs w:val="21"/>
                      <w:u w:val="none"/>
                      <w:lang w:val="en-US" w:eastAsia="zh-CN"/>
                    </w:rPr>
                    <w:t>废化学原料包装</w:t>
                  </w:r>
                </w:p>
              </w:tc>
              <w:tc>
                <w:tcPr>
                  <w:tcW w:w="2187" w:type="dxa"/>
                  <w:tcBorders>
                    <w:tl2br w:val="nil"/>
                    <w:tr2bl w:val="nil"/>
                  </w:tcBorders>
                  <w:shd w:val="clear" w:color="auto" w:fill="auto"/>
                  <w:noWrap/>
                  <w:vAlign w:val="center"/>
                </w:tcPr>
                <w:p w14:paraId="367C982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sz w:val="21"/>
                      <w:szCs w:val="21"/>
                      <w:u w:val="none"/>
                      <w:lang w:val="en-US" w:eastAsia="zh-CN"/>
                    </w:rPr>
                    <w:t>废化学原料包装材料</w:t>
                  </w:r>
                </w:p>
              </w:tc>
              <w:tc>
                <w:tcPr>
                  <w:tcW w:w="2016" w:type="dxa"/>
                  <w:vMerge w:val="restart"/>
                  <w:tcBorders>
                    <w:tl2br w:val="nil"/>
                    <w:tr2bl w:val="nil"/>
                  </w:tcBorders>
                  <w:noWrap w:val="0"/>
                  <w:vAlign w:val="center"/>
                </w:tcPr>
                <w:p w14:paraId="70040CA7">
                  <w:pPr>
                    <w:jc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危废库贮存，</w:t>
                  </w:r>
                  <w:r>
                    <w:rPr>
                      <w:rFonts w:hint="default" w:ascii="Times New Roman" w:hAnsi="Times New Roman" w:eastAsia="宋体" w:cs="Times New Roman"/>
                      <w:bCs/>
                      <w:color w:val="auto"/>
                      <w:spacing w:val="0"/>
                      <w:position w:val="0"/>
                      <w:sz w:val="21"/>
                      <w:szCs w:val="21"/>
                      <w:lang w:val="en-US" w:eastAsia="zh-CN"/>
                    </w:rPr>
                    <w:t>委托有资质的单位回收处理</w:t>
                  </w:r>
                  <w:r>
                    <w:rPr>
                      <w:rFonts w:hint="eastAsia" w:cs="Times New Roman"/>
                      <w:bCs/>
                      <w:color w:val="auto"/>
                      <w:spacing w:val="0"/>
                      <w:position w:val="0"/>
                      <w:sz w:val="21"/>
                      <w:szCs w:val="21"/>
                      <w:lang w:val="en-US" w:eastAsia="zh-CN"/>
                    </w:rPr>
                    <w:t>。</w:t>
                  </w:r>
                </w:p>
              </w:tc>
              <w:tc>
                <w:tcPr>
                  <w:tcW w:w="1116" w:type="dxa"/>
                  <w:tcBorders>
                    <w:tl2br w:val="nil"/>
                    <w:tr2bl w:val="nil"/>
                  </w:tcBorders>
                  <w:noWrap w:val="0"/>
                  <w:vAlign w:val="center"/>
                </w:tcPr>
                <w:p w14:paraId="1E17D53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904" w:type="dxa"/>
                  <w:tcBorders>
                    <w:tl2br w:val="nil"/>
                    <w:tr2bl w:val="nil"/>
                  </w:tcBorders>
                  <w:noWrap w:val="0"/>
                  <w:vAlign w:val="center"/>
                </w:tcPr>
                <w:p w14:paraId="75B9582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993" w:type="dxa"/>
                  <w:tcBorders>
                    <w:tl2br w:val="nil"/>
                    <w:tr2bl w:val="nil"/>
                  </w:tcBorders>
                  <w:noWrap w:val="0"/>
                  <w:vAlign w:val="center"/>
                </w:tcPr>
                <w:p w14:paraId="1C0B2EE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1067" w:type="dxa"/>
                  <w:tcBorders>
                    <w:tl2br w:val="nil"/>
                    <w:tr2bl w:val="nil"/>
                  </w:tcBorders>
                  <w:noWrap w:val="0"/>
                  <w:vAlign w:val="center"/>
                </w:tcPr>
                <w:p w14:paraId="7856F4D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1236" w:type="dxa"/>
                  <w:tcBorders>
                    <w:tl2br w:val="nil"/>
                    <w:tr2bl w:val="nil"/>
                  </w:tcBorders>
                  <w:shd w:val="clear" w:color="auto" w:fill="auto"/>
                  <w:noWrap w:val="0"/>
                  <w:vAlign w:val="center"/>
                </w:tcPr>
                <w:p w14:paraId="7DCB2899">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vertAlign w:val="baseline"/>
                      <w:lang w:val="en-US" w:eastAsia="zh-CN" w:bidi="ar"/>
                    </w:rPr>
                  </w:pPr>
                  <w:r>
                    <w:rPr>
                      <w:rStyle w:val="67"/>
                      <w:rFonts w:hint="default" w:ascii="Times New Roman" w:hAnsi="Times New Roman" w:cs="Times New Roman"/>
                      <w:i w:val="0"/>
                      <w:iCs w:val="0"/>
                      <w:color w:val="auto"/>
                      <w:sz w:val="21"/>
                      <w:szCs w:val="21"/>
                      <w:vertAlign w:val="baseline"/>
                      <w:lang w:val="en-US" w:eastAsia="zh-CN" w:bidi="ar"/>
                    </w:rPr>
                    <w:t>0.14</w:t>
                  </w:r>
                </w:p>
              </w:tc>
              <w:tc>
                <w:tcPr>
                  <w:tcW w:w="952" w:type="dxa"/>
                  <w:tcBorders>
                    <w:tl2br w:val="nil"/>
                    <w:tr2bl w:val="nil"/>
                  </w:tcBorders>
                  <w:noWrap w:val="0"/>
                  <w:vAlign w:val="center"/>
                </w:tcPr>
                <w:p w14:paraId="4D71853F">
                  <w:pPr>
                    <w:keepNext w:val="0"/>
                    <w:keepLines w:val="0"/>
                    <w:widowControl/>
                    <w:suppressLineNumbers w:val="0"/>
                    <w:jc w:val="center"/>
                    <w:textAlignment w:val="center"/>
                    <w:rPr>
                      <w:rFonts w:hint="eastAsia" w:cs="Times New Roman"/>
                      <w:i w:val="0"/>
                      <w:iCs w:val="0"/>
                      <w:color w:val="auto"/>
                      <w:kern w:val="0"/>
                      <w:sz w:val="21"/>
                      <w:szCs w:val="21"/>
                      <w:u w:val="none"/>
                      <w:lang w:val="en-US" w:eastAsia="zh-CN" w:bidi="ar"/>
                    </w:rPr>
                  </w:pPr>
                </w:p>
              </w:tc>
            </w:tr>
            <w:tr w14:paraId="62C5C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 w:hRule="atLeast"/>
                <w:jc w:val="center"/>
              </w:trPr>
              <w:tc>
                <w:tcPr>
                  <w:tcW w:w="719" w:type="dxa"/>
                  <w:tcBorders>
                    <w:tl2br w:val="nil"/>
                    <w:tr2bl w:val="nil"/>
                  </w:tcBorders>
                  <w:shd w:val="clear" w:color="auto" w:fill="auto"/>
                  <w:noWrap/>
                  <w:vAlign w:val="center"/>
                </w:tcPr>
                <w:p w14:paraId="37B236E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5</w:t>
                  </w:r>
                </w:p>
              </w:tc>
              <w:tc>
                <w:tcPr>
                  <w:tcW w:w="1687" w:type="dxa"/>
                  <w:tcBorders>
                    <w:tl2br w:val="nil"/>
                    <w:tr2bl w:val="nil"/>
                  </w:tcBorders>
                  <w:shd w:val="clear" w:color="auto" w:fill="auto"/>
                  <w:noWrap/>
                  <w:vAlign w:val="center"/>
                </w:tcPr>
                <w:p w14:paraId="58BF792A">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废气治理</w:t>
                  </w:r>
                </w:p>
              </w:tc>
              <w:tc>
                <w:tcPr>
                  <w:tcW w:w="2187" w:type="dxa"/>
                  <w:tcBorders>
                    <w:tl2br w:val="nil"/>
                    <w:tr2bl w:val="nil"/>
                  </w:tcBorders>
                  <w:shd w:val="clear" w:color="auto" w:fill="auto"/>
                  <w:noWrap/>
                  <w:vAlign w:val="center"/>
                </w:tcPr>
                <w:p w14:paraId="482ACBE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废活性炭</w:t>
                  </w:r>
                </w:p>
              </w:tc>
              <w:tc>
                <w:tcPr>
                  <w:tcW w:w="2016" w:type="dxa"/>
                  <w:vMerge w:val="continue"/>
                  <w:tcBorders>
                    <w:tl2br w:val="nil"/>
                    <w:tr2bl w:val="nil"/>
                  </w:tcBorders>
                  <w:noWrap w:val="0"/>
                  <w:vAlign w:val="center"/>
                </w:tcPr>
                <w:p w14:paraId="3D0AC9EE">
                  <w:pPr>
                    <w:jc w:val="center"/>
                    <w:rPr>
                      <w:rFonts w:hint="default" w:ascii="Times New Roman" w:hAnsi="Times New Roman" w:cs="Times New Roman"/>
                      <w:i w:val="0"/>
                      <w:iCs w:val="0"/>
                      <w:color w:val="auto"/>
                      <w:kern w:val="0"/>
                      <w:sz w:val="21"/>
                      <w:szCs w:val="21"/>
                      <w:u w:val="none"/>
                      <w:lang w:val="en-US" w:eastAsia="zh-CN" w:bidi="ar"/>
                    </w:rPr>
                  </w:pPr>
                </w:p>
              </w:tc>
              <w:tc>
                <w:tcPr>
                  <w:tcW w:w="1116" w:type="dxa"/>
                  <w:tcBorders>
                    <w:tl2br w:val="nil"/>
                    <w:tr2bl w:val="nil"/>
                  </w:tcBorders>
                  <w:noWrap w:val="0"/>
                  <w:vAlign w:val="center"/>
                </w:tcPr>
                <w:p w14:paraId="189096F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904" w:type="dxa"/>
                  <w:tcBorders>
                    <w:tl2br w:val="nil"/>
                    <w:tr2bl w:val="nil"/>
                  </w:tcBorders>
                  <w:noWrap w:val="0"/>
                  <w:vAlign w:val="center"/>
                </w:tcPr>
                <w:p w14:paraId="25DCBA2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993" w:type="dxa"/>
                  <w:tcBorders>
                    <w:tl2br w:val="nil"/>
                    <w:tr2bl w:val="nil"/>
                  </w:tcBorders>
                  <w:noWrap w:val="0"/>
                  <w:vAlign w:val="center"/>
                </w:tcPr>
                <w:p w14:paraId="4631811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1067" w:type="dxa"/>
                  <w:tcBorders>
                    <w:tl2br w:val="nil"/>
                    <w:tr2bl w:val="nil"/>
                  </w:tcBorders>
                  <w:noWrap w:val="0"/>
                  <w:vAlign w:val="center"/>
                </w:tcPr>
                <w:p w14:paraId="7D8B237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1236" w:type="dxa"/>
                  <w:tcBorders>
                    <w:tl2br w:val="nil"/>
                    <w:tr2bl w:val="nil"/>
                  </w:tcBorders>
                  <w:shd w:val="clear" w:color="auto" w:fill="auto"/>
                  <w:noWrap w:val="0"/>
                  <w:vAlign w:val="center"/>
                </w:tcPr>
                <w:p w14:paraId="6DF1228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vertAlign w:val="baseline"/>
                      <w:lang w:val="en-US" w:eastAsia="zh-CN" w:bidi="ar"/>
                    </w:rPr>
                  </w:pPr>
                  <w:r>
                    <w:rPr>
                      <w:rFonts w:hint="eastAsia" w:ascii="Times New Roman" w:hAnsi="Times New Roman" w:cs="Times New Roman"/>
                      <w:i w:val="0"/>
                      <w:iCs w:val="0"/>
                      <w:color w:val="auto"/>
                      <w:kern w:val="0"/>
                      <w:sz w:val="21"/>
                      <w:szCs w:val="21"/>
                      <w:u w:val="none"/>
                      <w:vertAlign w:val="baseline"/>
                      <w:lang w:val="en-US" w:eastAsia="zh-CN" w:bidi="ar"/>
                    </w:rPr>
                    <w:t>63.112</w:t>
                  </w:r>
                </w:p>
              </w:tc>
              <w:tc>
                <w:tcPr>
                  <w:tcW w:w="952" w:type="dxa"/>
                  <w:tcBorders>
                    <w:tl2br w:val="nil"/>
                    <w:tr2bl w:val="nil"/>
                  </w:tcBorders>
                  <w:noWrap w:val="0"/>
                  <w:vAlign w:val="center"/>
                </w:tcPr>
                <w:p w14:paraId="5B2910A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w:t>
                  </w:r>
                </w:p>
              </w:tc>
            </w:tr>
            <w:tr w14:paraId="45176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 w:hRule="atLeast"/>
                <w:jc w:val="center"/>
              </w:trPr>
              <w:tc>
                <w:tcPr>
                  <w:tcW w:w="719" w:type="dxa"/>
                  <w:tcBorders>
                    <w:tl2br w:val="nil"/>
                    <w:tr2bl w:val="nil"/>
                  </w:tcBorders>
                  <w:shd w:val="clear" w:color="auto" w:fill="auto"/>
                  <w:noWrap/>
                  <w:vAlign w:val="center"/>
                </w:tcPr>
                <w:p w14:paraId="770D8AE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6</w:t>
                  </w:r>
                </w:p>
              </w:tc>
              <w:tc>
                <w:tcPr>
                  <w:tcW w:w="1687" w:type="dxa"/>
                  <w:vMerge w:val="restart"/>
                  <w:tcBorders>
                    <w:tl2br w:val="nil"/>
                    <w:tr2bl w:val="nil"/>
                  </w:tcBorders>
                  <w:shd w:val="clear" w:color="auto" w:fill="auto"/>
                  <w:noWrap/>
                  <w:vAlign w:val="center"/>
                </w:tcPr>
                <w:p w14:paraId="1A253B0C">
                  <w:pPr>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设备维护</w:t>
                  </w:r>
                </w:p>
              </w:tc>
              <w:tc>
                <w:tcPr>
                  <w:tcW w:w="2187" w:type="dxa"/>
                  <w:tcBorders>
                    <w:tl2br w:val="nil"/>
                    <w:tr2bl w:val="nil"/>
                  </w:tcBorders>
                  <w:shd w:val="clear" w:color="auto" w:fill="auto"/>
                  <w:noWrap/>
                  <w:vAlign w:val="center"/>
                </w:tcPr>
                <w:p w14:paraId="4B59EFE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废润滑油</w:t>
                  </w:r>
                </w:p>
              </w:tc>
              <w:tc>
                <w:tcPr>
                  <w:tcW w:w="2016" w:type="dxa"/>
                  <w:vMerge w:val="continue"/>
                  <w:tcBorders>
                    <w:tl2br w:val="nil"/>
                    <w:tr2bl w:val="nil"/>
                  </w:tcBorders>
                  <w:noWrap w:val="0"/>
                  <w:vAlign w:val="center"/>
                </w:tcPr>
                <w:p w14:paraId="5CF27FF3">
                  <w:pPr>
                    <w:jc w:val="center"/>
                    <w:rPr>
                      <w:rFonts w:hint="default" w:ascii="Times New Roman" w:hAnsi="Times New Roman" w:eastAsia="宋体" w:cs="Times New Roman"/>
                      <w:i w:val="0"/>
                      <w:iCs w:val="0"/>
                      <w:color w:val="auto"/>
                      <w:sz w:val="21"/>
                      <w:szCs w:val="21"/>
                      <w:u w:val="none"/>
                    </w:rPr>
                  </w:pPr>
                </w:p>
              </w:tc>
              <w:tc>
                <w:tcPr>
                  <w:tcW w:w="1116" w:type="dxa"/>
                  <w:tcBorders>
                    <w:tl2br w:val="nil"/>
                    <w:tr2bl w:val="nil"/>
                  </w:tcBorders>
                  <w:noWrap w:val="0"/>
                  <w:vAlign w:val="center"/>
                </w:tcPr>
                <w:p w14:paraId="22D9F23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904" w:type="dxa"/>
                  <w:tcBorders>
                    <w:tl2br w:val="nil"/>
                    <w:tr2bl w:val="nil"/>
                  </w:tcBorders>
                  <w:noWrap w:val="0"/>
                  <w:vAlign w:val="center"/>
                </w:tcPr>
                <w:p w14:paraId="3A90834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993" w:type="dxa"/>
                  <w:tcBorders>
                    <w:tl2br w:val="nil"/>
                    <w:tr2bl w:val="nil"/>
                  </w:tcBorders>
                  <w:noWrap w:val="0"/>
                  <w:vAlign w:val="center"/>
                </w:tcPr>
                <w:p w14:paraId="337BAFA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1067" w:type="dxa"/>
                  <w:tcBorders>
                    <w:tl2br w:val="nil"/>
                    <w:tr2bl w:val="nil"/>
                  </w:tcBorders>
                  <w:noWrap w:val="0"/>
                  <w:vAlign w:val="center"/>
                </w:tcPr>
                <w:p w14:paraId="5C700B9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1236" w:type="dxa"/>
                  <w:tcBorders>
                    <w:tl2br w:val="nil"/>
                    <w:tr2bl w:val="nil"/>
                  </w:tcBorders>
                  <w:shd w:val="clear" w:color="auto" w:fill="auto"/>
                  <w:noWrap w:val="0"/>
                  <w:vAlign w:val="center"/>
                </w:tcPr>
                <w:p w14:paraId="133C0CB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ascii="Times New Roman" w:hAnsi="Times New Roman" w:eastAsia="宋体" w:cs="Times New Roman"/>
                      <w:i w:val="0"/>
                      <w:iCs w:val="0"/>
                      <w:color w:val="auto"/>
                      <w:kern w:val="0"/>
                      <w:sz w:val="21"/>
                      <w:szCs w:val="21"/>
                      <w:u w:val="none"/>
                      <w:vertAlign w:val="baseline"/>
                      <w:lang w:val="en-US" w:eastAsia="zh-CN" w:bidi="ar"/>
                    </w:rPr>
                    <w:t>0.</w:t>
                  </w:r>
                  <w:r>
                    <w:rPr>
                      <w:rFonts w:hint="default" w:ascii="Times New Roman" w:hAnsi="Times New Roman" w:cs="Times New Roman"/>
                      <w:i w:val="0"/>
                      <w:iCs w:val="0"/>
                      <w:color w:val="auto"/>
                      <w:kern w:val="0"/>
                      <w:sz w:val="21"/>
                      <w:szCs w:val="21"/>
                      <w:u w:val="none"/>
                      <w:vertAlign w:val="baseline"/>
                      <w:lang w:val="en-US" w:eastAsia="zh-CN" w:bidi="ar"/>
                    </w:rPr>
                    <w:t>16</w:t>
                  </w:r>
                </w:p>
              </w:tc>
              <w:tc>
                <w:tcPr>
                  <w:tcW w:w="952" w:type="dxa"/>
                  <w:tcBorders>
                    <w:tl2br w:val="nil"/>
                    <w:tr2bl w:val="nil"/>
                  </w:tcBorders>
                  <w:noWrap w:val="0"/>
                  <w:vAlign w:val="center"/>
                </w:tcPr>
                <w:p w14:paraId="628EEE7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r>
            <w:tr w14:paraId="0770D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 w:hRule="atLeast"/>
                <w:jc w:val="center"/>
              </w:trPr>
              <w:tc>
                <w:tcPr>
                  <w:tcW w:w="719" w:type="dxa"/>
                  <w:tcBorders>
                    <w:tl2br w:val="nil"/>
                    <w:tr2bl w:val="nil"/>
                  </w:tcBorders>
                  <w:shd w:val="clear" w:color="auto" w:fill="auto"/>
                  <w:noWrap/>
                  <w:vAlign w:val="center"/>
                </w:tcPr>
                <w:p w14:paraId="09F285A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7</w:t>
                  </w:r>
                </w:p>
              </w:tc>
              <w:tc>
                <w:tcPr>
                  <w:tcW w:w="1687" w:type="dxa"/>
                  <w:vMerge w:val="continue"/>
                  <w:tcBorders>
                    <w:tl2br w:val="nil"/>
                    <w:tr2bl w:val="nil"/>
                  </w:tcBorders>
                  <w:noWrap/>
                  <w:vAlign w:val="center"/>
                </w:tcPr>
                <w:p w14:paraId="23328695">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2187" w:type="dxa"/>
                  <w:tcBorders>
                    <w:tl2br w:val="nil"/>
                    <w:tr2bl w:val="nil"/>
                  </w:tcBorders>
                  <w:shd w:val="clear" w:color="auto" w:fill="auto"/>
                  <w:noWrap/>
                  <w:vAlign w:val="center"/>
                </w:tcPr>
                <w:p w14:paraId="1B7B6E4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废液压油</w:t>
                  </w:r>
                </w:p>
              </w:tc>
              <w:tc>
                <w:tcPr>
                  <w:tcW w:w="2016" w:type="dxa"/>
                  <w:vMerge w:val="continue"/>
                  <w:tcBorders>
                    <w:tl2br w:val="nil"/>
                    <w:tr2bl w:val="nil"/>
                  </w:tcBorders>
                  <w:noWrap w:val="0"/>
                  <w:vAlign w:val="center"/>
                </w:tcPr>
                <w:p w14:paraId="3E65197A">
                  <w:pPr>
                    <w:jc w:val="center"/>
                    <w:rPr>
                      <w:rFonts w:hint="default" w:ascii="Times New Roman" w:hAnsi="Times New Roman" w:cs="Times New Roman"/>
                      <w:i w:val="0"/>
                      <w:iCs w:val="0"/>
                      <w:color w:val="auto"/>
                      <w:kern w:val="0"/>
                      <w:sz w:val="21"/>
                      <w:szCs w:val="21"/>
                      <w:u w:val="none"/>
                      <w:lang w:val="en-US" w:eastAsia="zh-CN" w:bidi="ar"/>
                    </w:rPr>
                  </w:pPr>
                </w:p>
              </w:tc>
              <w:tc>
                <w:tcPr>
                  <w:tcW w:w="1116" w:type="dxa"/>
                  <w:tcBorders>
                    <w:tl2br w:val="nil"/>
                    <w:tr2bl w:val="nil"/>
                  </w:tcBorders>
                  <w:noWrap w:val="0"/>
                  <w:vAlign w:val="center"/>
                </w:tcPr>
                <w:p w14:paraId="77EB2F0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904" w:type="dxa"/>
                  <w:tcBorders>
                    <w:tl2br w:val="nil"/>
                    <w:tr2bl w:val="nil"/>
                  </w:tcBorders>
                  <w:noWrap w:val="0"/>
                  <w:vAlign w:val="center"/>
                </w:tcPr>
                <w:p w14:paraId="5625762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993" w:type="dxa"/>
                  <w:tcBorders>
                    <w:tl2br w:val="nil"/>
                    <w:tr2bl w:val="nil"/>
                  </w:tcBorders>
                  <w:noWrap w:val="0"/>
                  <w:vAlign w:val="center"/>
                </w:tcPr>
                <w:p w14:paraId="063C93E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1067" w:type="dxa"/>
                  <w:tcBorders>
                    <w:tl2br w:val="nil"/>
                    <w:tr2bl w:val="nil"/>
                  </w:tcBorders>
                  <w:noWrap w:val="0"/>
                  <w:vAlign w:val="center"/>
                </w:tcPr>
                <w:p w14:paraId="08F0272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c>
                <w:tcPr>
                  <w:tcW w:w="1236" w:type="dxa"/>
                  <w:tcBorders>
                    <w:tl2br w:val="nil"/>
                    <w:tr2bl w:val="nil"/>
                  </w:tcBorders>
                  <w:shd w:val="clear" w:color="auto" w:fill="auto"/>
                  <w:noWrap w:val="0"/>
                  <w:vAlign w:val="center"/>
                </w:tcPr>
                <w:p w14:paraId="459C5F3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vertAlign w:val="baseline"/>
                      <w:lang w:val="en-US" w:eastAsia="zh-CN" w:bidi="ar"/>
                    </w:rPr>
                  </w:pPr>
                  <w:r>
                    <w:rPr>
                      <w:rFonts w:hint="default" w:ascii="Times New Roman" w:hAnsi="Times New Roman" w:cs="Times New Roman"/>
                      <w:i w:val="0"/>
                      <w:iCs w:val="0"/>
                      <w:color w:val="auto"/>
                      <w:kern w:val="0"/>
                      <w:sz w:val="21"/>
                      <w:szCs w:val="21"/>
                      <w:u w:val="none"/>
                      <w:vertAlign w:val="baseline"/>
                      <w:lang w:val="en-US" w:eastAsia="zh-CN" w:bidi="ar"/>
                    </w:rPr>
                    <w:t>0.8</w:t>
                  </w:r>
                </w:p>
              </w:tc>
              <w:tc>
                <w:tcPr>
                  <w:tcW w:w="952" w:type="dxa"/>
                  <w:tcBorders>
                    <w:tl2br w:val="nil"/>
                    <w:tr2bl w:val="nil"/>
                  </w:tcBorders>
                  <w:noWrap w:val="0"/>
                  <w:vAlign w:val="center"/>
                </w:tcPr>
                <w:p w14:paraId="7843F90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p>
              </w:tc>
            </w:tr>
            <w:tr w14:paraId="7FC24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 w:hRule="atLeast"/>
                <w:jc w:val="center"/>
              </w:trPr>
              <w:tc>
                <w:tcPr>
                  <w:tcW w:w="719" w:type="dxa"/>
                  <w:tcBorders>
                    <w:tl2br w:val="nil"/>
                    <w:tr2bl w:val="nil"/>
                  </w:tcBorders>
                  <w:shd w:val="clear" w:color="auto" w:fill="auto"/>
                  <w:noWrap/>
                  <w:vAlign w:val="center"/>
                </w:tcPr>
                <w:p w14:paraId="130B718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8</w:t>
                  </w:r>
                </w:p>
              </w:tc>
              <w:tc>
                <w:tcPr>
                  <w:tcW w:w="1687" w:type="dxa"/>
                  <w:vMerge w:val="continue"/>
                  <w:tcBorders>
                    <w:tl2br w:val="nil"/>
                    <w:tr2bl w:val="nil"/>
                  </w:tcBorders>
                  <w:noWrap/>
                  <w:vAlign w:val="center"/>
                </w:tcPr>
                <w:p w14:paraId="395EEFBD">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2187" w:type="dxa"/>
                  <w:tcBorders>
                    <w:tl2br w:val="nil"/>
                    <w:tr2bl w:val="nil"/>
                  </w:tcBorders>
                  <w:shd w:val="clear" w:color="auto" w:fill="auto"/>
                  <w:noWrap/>
                  <w:vAlign w:val="center"/>
                </w:tcPr>
                <w:p w14:paraId="0A0743C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废油桶</w:t>
                  </w:r>
                </w:p>
              </w:tc>
              <w:tc>
                <w:tcPr>
                  <w:tcW w:w="2016" w:type="dxa"/>
                  <w:vMerge w:val="continue"/>
                  <w:tcBorders>
                    <w:tl2br w:val="nil"/>
                    <w:tr2bl w:val="nil"/>
                  </w:tcBorders>
                  <w:noWrap w:val="0"/>
                  <w:vAlign w:val="center"/>
                </w:tcPr>
                <w:p w14:paraId="3A0387DD">
                  <w:pPr>
                    <w:jc w:val="center"/>
                    <w:rPr>
                      <w:rFonts w:hint="default" w:ascii="Times New Roman" w:hAnsi="Times New Roman" w:eastAsia="宋体" w:cs="Times New Roman"/>
                      <w:i w:val="0"/>
                      <w:iCs w:val="0"/>
                      <w:color w:val="auto"/>
                      <w:sz w:val="21"/>
                      <w:szCs w:val="21"/>
                      <w:u w:val="none"/>
                    </w:rPr>
                  </w:pPr>
                </w:p>
              </w:tc>
              <w:tc>
                <w:tcPr>
                  <w:tcW w:w="1116" w:type="dxa"/>
                  <w:tcBorders>
                    <w:tl2br w:val="nil"/>
                    <w:tr2bl w:val="nil"/>
                  </w:tcBorders>
                  <w:noWrap w:val="0"/>
                  <w:vAlign w:val="center"/>
                </w:tcPr>
                <w:p w14:paraId="471BC25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904" w:type="dxa"/>
                  <w:tcBorders>
                    <w:tl2br w:val="nil"/>
                    <w:tr2bl w:val="nil"/>
                  </w:tcBorders>
                  <w:noWrap w:val="0"/>
                  <w:vAlign w:val="center"/>
                </w:tcPr>
                <w:p w14:paraId="1886645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993" w:type="dxa"/>
                  <w:tcBorders>
                    <w:tl2br w:val="nil"/>
                    <w:tr2bl w:val="nil"/>
                  </w:tcBorders>
                  <w:noWrap w:val="0"/>
                  <w:vAlign w:val="center"/>
                </w:tcPr>
                <w:p w14:paraId="43DC158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1067" w:type="dxa"/>
                  <w:tcBorders>
                    <w:tl2br w:val="nil"/>
                    <w:tr2bl w:val="nil"/>
                  </w:tcBorders>
                  <w:noWrap w:val="0"/>
                  <w:vAlign w:val="center"/>
                </w:tcPr>
                <w:p w14:paraId="5640A96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1236" w:type="dxa"/>
                  <w:tcBorders>
                    <w:tl2br w:val="nil"/>
                    <w:tr2bl w:val="nil"/>
                  </w:tcBorders>
                  <w:shd w:val="clear" w:color="auto" w:fill="auto"/>
                  <w:noWrap w:val="0"/>
                  <w:vAlign w:val="center"/>
                </w:tcPr>
                <w:p w14:paraId="592FDDE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ascii="Times New Roman" w:hAnsi="Times New Roman" w:cs="Times New Roman"/>
                      <w:i w:val="0"/>
                      <w:iCs w:val="0"/>
                      <w:color w:val="auto"/>
                      <w:kern w:val="0"/>
                      <w:sz w:val="21"/>
                      <w:szCs w:val="21"/>
                      <w:u w:val="none"/>
                      <w:vertAlign w:val="baseline"/>
                      <w:lang w:val="en-US" w:eastAsia="zh-CN" w:bidi="ar"/>
                    </w:rPr>
                    <w:t>0.072</w:t>
                  </w:r>
                </w:p>
              </w:tc>
              <w:tc>
                <w:tcPr>
                  <w:tcW w:w="952" w:type="dxa"/>
                  <w:tcBorders>
                    <w:tl2br w:val="nil"/>
                    <w:tr2bl w:val="nil"/>
                  </w:tcBorders>
                  <w:noWrap w:val="0"/>
                  <w:vAlign w:val="center"/>
                </w:tcPr>
                <w:p w14:paraId="493BB5E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r>
            <w:tr w14:paraId="56C59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 w:hRule="atLeast"/>
                <w:jc w:val="center"/>
              </w:trPr>
              <w:tc>
                <w:tcPr>
                  <w:tcW w:w="719" w:type="dxa"/>
                  <w:tcBorders>
                    <w:tl2br w:val="nil"/>
                    <w:tr2bl w:val="nil"/>
                  </w:tcBorders>
                  <w:shd w:val="clear" w:color="auto" w:fill="auto"/>
                  <w:noWrap/>
                  <w:vAlign w:val="center"/>
                </w:tcPr>
                <w:p w14:paraId="7A7E110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9</w:t>
                  </w:r>
                </w:p>
              </w:tc>
              <w:tc>
                <w:tcPr>
                  <w:tcW w:w="1687" w:type="dxa"/>
                  <w:vMerge w:val="continue"/>
                  <w:tcBorders>
                    <w:tl2br w:val="nil"/>
                    <w:tr2bl w:val="nil"/>
                  </w:tcBorders>
                  <w:noWrap/>
                  <w:vAlign w:val="center"/>
                </w:tcPr>
                <w:p w14:paraId="2B053A0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2187" w:type="dxa"/>
                  <w:tcBorders>
                    <w:tl2br w:val="nil"/>
                    <w:tr2bl w:val="nil"/>
                  </w:tcBorders>
                  <w:shd w:val="clear" w:color="auto" w:fill="auto"/>
                  <w:noWrap/>
                  <w:vAlign w:val="center"/>
                </w:tcPr>
                <w:p w14:paraId="0EDA7ED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含油废手套</w:t>
                  </w:r>
                </w:p>
              </w:tc>
              <w:tc>
                <w:tcPr>
                  <w:tcW w:w="2016" w:type="dxa"/>
                  <w:vMerge w:val="continue"/>
                  <w:tcBorders>
                    <w:tl2br w:val="nil"/>
                    <w:tr2bl w:val="nil"/>
                  </w:tcBorders>
                  <w:noWrap w:val="0"/>
                  <w:vAlign w:val="center"/>
                </w:tcPr>
                <w:p w14:paraId="4D7EA20E">
                  <w:pPr>
                    <w:jc w:val="center"/>
                    <w:rPr>
                      <w:rFonts w:hint="default" w:ascii="Times New Roman" w:hAnsi="Times New Roman" w:eastAsia="宋体" w:cs="Times New Roman"/>
                      <w:i w:val="0"/>
                      <w:iCs w:val="0"/>
                      <w:color w:val="auto"/>
                      <w:sz w:val="21"/>
                      <w:szCs w:val="21"/>
                      <w:u w:val="none"/>
                    </w:rPr>
                  </w:pPr>
                </w:p>
              </w:tc>
              <w:tc>
                <w:tcPr>
                  <w:tcW w:w="1116" w:type="dxa"/>
                  <w:tcBorders>
                    <w:tl2br w:val="nil"/>
                    <w:tr2bl w:val="nil"/>
                  </w:tcBorders>
                  <w:noWrap w:val="0"/>
                  <w:vAlign w:val="center"/>
                </w:tcPr>
                <w:p w14:paraId="3FC36DE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904" w:type="dxa"/>
                  <w:tcBorders>
                    <w:tl2br w:val="nil"/>
                    <w:tr2bl w:val="nil"/>
                  </w:tcBorders>
                  <w:noWrap w:val="0"/>
                  <w:vAlign w:val="center"/>
                </w:tcPr>
                <w:p w14:paraId="7623567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993" w:type="dxa"/>
                  <w:tcBorders>
                    <w:tl2br w:val="nil"/>
                    <w:tr2bl w:val="nil"/>
                  </w:tcBorders>
                  <w:noWrap w:val="0"/>
                  <w:vAlign w:val="center"/>
                </w:tcPr>
                <w:p w14:paraId="4395DDC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1067" w:type="dxa"/>
                  <w:tcBorders>
                    <w:tl2br w:val="nil"/>
                    <w:tr2bl w:val="nil"/>
                  </w:tcBorders>
                  <w:noWrap w:val="0"/>
                  <w:vAlign w:val="center"/>
                </w:tcPr>
                <w:p w14:paraId="4EC71D2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1236" w:type="dxa"/>
                  <w:tcBorders>
                    <w:tl2br w:val="nil"/>
                    <w:tr2bl w:val="nil"/>
                  </w:tcBorders>
                  <w:shd w:val="clear" w:color="auto" w:fill="auto"/>
                  <w:noWrap w:val="0"/>
                  <w:vAlign w:val="center"/>
                </w:tcPr>
                <w:p w14:paraId="049C3E8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default" w:ascii="Times New Roman" w:hAnsi="Times New Roman" w:eastAsia="宋体" w:cs="Times New Roman"/>
                      <w:i w:val="0"/>
                      <w:iCs w:val="0"/>
                      <w:color w:val="auto"/>
                      <w:kern w:val="0"/>
                      <w:sz w:val="21"/>
                      <w:szCs w:val="21"/>
                      <w:u w:val="none"/>
                      <w:vertAlign w:val="baseline"/>
                      <w:lang w:val="en-US" w:eastAsia="zh-CN" w:bidi="ar"/>
                    </w:rPr>
                    <w:t>0.0</w:t>
                  </w:r>
                  <w:r>
                    <w:rPr>
                      <w:rFonts w:hint="default" w:ascii="Times New Roman" w:hAnsi="Times New Roman" w:cs="Times New Roman"/>
                      <w:i w:val="0"/>
                      <w:iCs w:val="0"/>
                      <w:color w:val="auto"/>
                      <w:kern w:val="0"/>
                      <w:sz w:val="21"/>
                      <w:szCs w:val="21"/>
                      <w:u w:val="none"/>
                      <w:vertAlign w:val="baseline"/>
                      <w:lang w:val="en-US" w:eastAsia="zh-CN" w:bidi="ar"/>
                    </w:rPr>
                    <w:t>1</w:t>
                  </w:r>
                </w:p>
              </w:tc>
              <w:tc>
                <w:tcPr>
                  <w:tcW w:w="952" w:type="dxa"/>
                  <w:tcBorders>
                    <w:tl2br w:val="nil"/>
                    <w:tr2bl w:val="nil"/>
                  </w:tcBorders>
                  <w:noWrap w:val="0"/>
                  <w:vAlign w:val="center"/>
                </w:tcPr>
                <w:p w14:paraId="11DCC5B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r>
            <w:tr w14:paraId="21A1E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jc w:val="center"/>
              </w:trPr>
              <w:tc>
                <w:tcPr>
                  <w:tcW w:w="719" w:type="dxa"/>
                  <w:tcBorders>
                    <w:tl2br w:val="nil"/>
                    <w:tr2bl w:val="nil"/>
                  </w:tcBorders>
                  <w:shd w:val="clear" w:color="auto" w:fill="auto"/>
                  <w:noWrap/>
                  <w:vAlign w:val="center"/>
                </w:tcPr>
                <w:p w14:paraId="1E0DD43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10</w:t>
                  </w:r>
                </w:p>
              </w:tc>
              <w:tc>
                <w:tcPr>
                  <w:tcW w:w="1687" w:type="dxa"/>
                  <w:tcBorders>
                    <w:tl2br w:val="nil"/>
                    <w:tr2bl w:val="nil"/>
                  </w:tcBorders>
                  <w:noWrap/>
                  <w:vAlign w:val="center"/>
                </w:tcPr>
                <w:p w14:paraId="5D372E3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职工生活</w:t>
                  </w:r>
                </w:p>
              </w:tc>
              <w:tc>
                <w:tcPr>
                  <w:tcW w:w="2187" w:type="dxa"/>
                  <w:tcBorders>
                    <w:tl2br w:val="nil"/>
                    <w:tr2bl w:val="nil"/>
                  </w:tcBorders>
                  <w:shd w:val="clear" w:color="auto" w:fill="auto"/>
                  <w:noWrap/>
                  <w:vAlign w:val="center"/>
                </w:tcPr>
                <w:p w14:paraId="74249C3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生活垃圾</w:t>
                  </w:r>
                </w:p>
              </w:tc>
              <w:tc>
                <w:tcPr>
                  <w:tcW w:w="2016" w:type="dxa"/>
                  <w:tcBorders>
                    <w:tl2br w:val="nil"/>
                    <w:tr2bl w:val="nil"/>
                  </w:tcBorders>
                  <w:noWrap w:val="0"/>
                  <w:vAlign w:val="center"/>
                </w:tcPr>
                <w:p w14:paraId="2E3D63F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环卫部门定期清运</w:t>
                  </w:r>
                </w:p>
              </w:tc>
              <w:tc>
                <w:tcPr>
                  <w:tcW w:w="1116" w:type="dxa"/>
                  <w:tcBorders>
                    <w:tl2br w:val="nil"/>
                    <w:tr2bl w:val="nil"/>
                  </w:tcBorders>
                  <w:noWrap w:val="0"/>
                  <w:vAlign w:val="center"/>
                </w:tcPr>
                <w:p w14:paraId="5D50117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904" w:type="dxa"/>
                  <w:tcBorders>
                    <w:tl2br w:val="nil"/>
                    <w:tr2bl w:val="nil"/>
                  </w:tcBorders>
                  <w:noWrap w:val="0"/>
                  <w:vAlign w:val="center"/>
                </w:tcPr>
                <w:p w14:paraId="09EA45F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993" w:type="dxa"/>
                  <w:tcBorders>
                    <w:tl2br w:val="nil"/>
                    <w:tr2bl w:val="nil"/>
                  </w:tcBorders>
                  <w:noWrap w:val="0"/>
                  <w:vAlign w:val="center"/>
                </w:tcPr>
                <w:p w14:paraId="46014AC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1067" w:type="dxa"/>
                  <w:tcBorders>
                    <w:tl2br w:val="nil"/>
                    <w:tr2bl w:val="nil"/>
                  </w:tcBorders>
                  <w:noWrap w:val="0"/>
                  <w:vAlign w:val="center"/>
                </w:tcPr>
                <w:p w14:paraId="787B165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c>
                <w:tcPr>
                  <w:tcW w:w="1236" w:type="dxa"/>
                  <w:tcBorders>
                    <w:tl2br w:val="nil"/>
                    <w:tr2bl w:val="nil"/>
                  </w:tcBorders>
                  <w:shd w:val="clear" w:color="auto" w:fill="auto"/>
                  <w:noWrap w:val="0"/>
                  <w:vAlign w:val="center"/>
                </w:tcPr>
                <w:p w14:paraId="419F3BC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vertAlign w:val="baseline"/>
                      <w:lang w:val="en-US" w:eastAsia="zh-CN" w:bidi="ar-SA"/>
                    </w:rPr>
                  </w:pPr>
                  <w:r>
                    <w:rPr>
                      <w:rFonts w:hint="eastAsia" w:ascii="Times New Roman" w:hAnsi="Times New Roman" w:cs="Times New Roman"/>
                      <w:i w:val="0"/>
                      <w:iCs w:val="0"/>
                      <w:color w:val="auto"/>
                      <w:kern w:val="0"/>
                      <w:sz w:val="21"/>
                      <w:szCs w:val="21"/>
                      <w:u w:val="none"/>
                      <w:vertAlign w:val="baseline"/>
                      <w:lang w:val="en-US" w:eastAsia="zh-CN" w:bidi="ar"/>
                    </w:rPr>
                    <w:t>4.5</w:t>
                  </w:r>
                </w:p>
              </w:tc>
              <w:tc>
                <w:tcPr>
                  <w:tcW w:w="952" w:type="dxa"/>
                  <w:tcBorders>
                    <w:tl2br w:val="nil"/>
                    <w:tr2bl w:val="nil"/>
                  </w:tcBorders>
                  <w:noWrap w:val="0"/>
                  <w:vAlign w:val="center"/>
                </w:tcPr>
                <w:p w14:paraId="6606906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w:t>
                  </w:r>
                </w:p>
              </w:tc>
            </w:tr>
          </w:tbl>
          <w:p w14:paraId="645E4996">
            <w:pPr>
              <w:pStyle w:val="64"/>
              <w:adjustRightInd w:val="0"/>
              <w:spacing w:before="0"/>
              <w:ind w:left="0" w:leftChars="0" w:firstLine="0" w:firstLineChars="0"/>
              <w:rPr>
                <w:rFonts w:hint="default" w:ascii="Times New Roman" w:hAnsi="Times New Roman" w:eastAsia="宋体" w:cs="Times New Roman"/>
                <w:color w:val="auto"/>
                <w:spacing w:val="0"/>
                <w:position w:val="0"/>
                <w:lang w:eastAsia="zh-CN"/>
              </w:rPr>
            </w:pPr>
          </w:p>
        </w:tc>
      </w:tr>
    </w:tbl>
    <w:p w14:paraId="22CA2FF3">
      <w:pPr>
        <w:pStyle w:val="48"/>
        <w:rPr>
          <w:rFonts w:hint="default" w:ascii="Times New Roman" w:hAnsi="Times New Roman" w:cs="Times New Roman"/>
          <w:color w:val="auto"/>
          <w:spacing w:val="0"/>
          <w:position w:val="0"/>
        </w:rPr>
        <w:sectPr>
          <w:pgSz w:w="16838" w:h="11905" w:orient="landscape"/>
          <w:pgMar w:top="1440" w:right="1080" w:bottom="1440" w:left="1080" w:header="851" w:footer="1077" w:gutter="0"/>
          <w:pgBorders>
            <w:top w:val="none" w:sz="0" w:space="0"/>
            <w:left w:val="none" w:sz="0" w:space="0"/>
            <w:bottom w:val="none" w:sz="0" w:space="0"/>
            <w:right w:val="none" w:sz="0" w:space="0"/>
          </w:pgBorders>
          <w:pgNumType w:fmt="decimal"/>
          <w:cols w:space="0" w:num="1"/>
          <w:docGrid w:linePitch="312" w:charSpace="0"/>
        </w:sectPr>
      </w:pP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5"/>
        <w:gridCol w:w="9506"/>
      </w:tblGrid>
      <w:tr w14:paraId="0ACAD3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3326" w:hRule="atLeast"/>
          <w:jc w:val="center"/>
        </w:trPr>
        <w:tc>
          <w:tcPr>
            <w:tcW w:w="703" w:type="dxa"/>
            <w:vAlign w:val="center"/>
          </w:tcPr>
          <w:p w14:paraId="4E3EA613">
            <w:pPr>
              <w:adjustRightInd w:val="0"/>
              <w:snapToGrid w:val="0"/>
              <w:spacing w:line="440" w:lineRule="exact"/>
              <w:jc w:val="center"/>
              <w:rPr>
                <w:rFonts w:hint="default" w:ascii="Times New Roman" w:hAnsi="Times New Roman" w:cs="Times New Roman"/>
                <w:b/>
                <w:color w:val="auto"/>
                <w:spacing w:val="0"/>
                <w:position w:val="0"/>
                <w:sz w:val="24"/>
              </w:rPr>
            </w:pPr>
            <w:r>
              <w:rPr>
                <w:rFonts w:hint="default" w:ascii="Times New Roman" w:hAnsi="Times New Roman" w:cs="Times New Roman"/>
                <w:b/>
                <w:color w:val="auto"/>
                <w:spacing w:val="0"/>
                <w:position w:val="0"/>
                <w:sz w:val="24"/>
              </w:rPr>
              <w:t>运营</w:t>
            </w:r>
          </w:p>
          <w:p w14:paraId="547611FA">
            <w:pPr>
              <w:adjustRightInd w:val="0"/>
              <w:snapToGrid w:val="0"/>
              <w:spacing w:line="440" w:lineRule="exact"/>
              <w:jc w:val="center"/>
              <w:rPr>
                <w:rFonts w:hint="default" w:ascii="Times New Roman" w:hAnsi="Times New Roman" w:cs="Times New Roman"/>
                <w:b/>
                <w:color w:val="auto"/>
                <w:spacing w:val="0"/>
                <w:position w:val="0"/>
                <w:sz w:val="24"/>
              </w:rPr>
            </w:pPr>
            <w:r>
              <w:rPr>
                <w:rFonts w:hint="default" w:ascii="Times New Roman" w:hAnsi="Times New Roman" w:cs="Times New Roman"/>
                <w:b/>
                <w:color w:val="auto"/>
                <w:spacing w:val="0"/>
                <w:position w:val="0"/>
                <w:sz w:val="24"/>
              </w:rPr>
              <w:t>期环</w:t>
            </w:r>
          </w:p>
          <w:p w14:paraId="509C786A">
            <w:pPr>
              <w:adjustRightInd w:val="0"/>
              <w:snapToGrid w:val="0"/>
              <w:spacing w:line="440" w:lineRule="exact"/>
              <w:jc w:val="center"/>
              <w:rPr>
                <w:rFonts w:hint="default" w:ascii="Times New Roman" w:hAnsi="Times New Roman" w:cs="Times New Roman"/>
                <w:b/>
                <w:color w:val="auto"/>
                <w:spacing w:val="0"/>
                <w:position w:val="0"/>
                <w:sz w:val="24"/>
              </w:rPr>
            </w:pPr>
            <w:r>
              <w:rPr>
                <w:rFonts w:hint="default" w:ascii="Times New Roman" w:hAnsi="Times New Roman" w:cs="Times New Roman"/>
                <w:b/>
                <w:color w:val="auto"/>
                <w:spacing w:val="0"/>
                <w:position w:val="0"/>
                <w:sz w:val="24"/>
              </w:rPr>
              <w:t>境影</w:t>
            </w:r>
          </w:p>
          <w:p w14:paraId="1DC4571F">
            <w:pPr>
              <w:adjustRightInd w:val="0"/>
              <w:snapToGrid w:val="0"/>
              <w:spacing w:line="440" w:lineRule="exact"/>
              <w:jc w:val="center"/>
              <w:rPr>
                <w:rFonts w:hint="default" w:ascii="Times New Roman" w:hAnsi="Times New Roman" w:cs="Times New Roman"/>
                <w:b/>
                <w:color w:val="auto"/>
                <w:spacing w:val="0"/>
                <w:position w:val="0"/>
                <w:sz w:val="24"/>
              </w:rPr>
            </w:pPr>
            <w:r>
              <w:rPr>
                <w:rFonts w:hint="default" w:ascii="Times New Roman" w:hAnsi="Times New Roman" w:cs="Times New Roman"/>
                <w:b/>
                <w:color w:val="auto"/>
                <w:spacing w:val="0"/>
                <w:position w:val="0"/>
                <w:sz w:val="24"/>
              </w:rPr>
              <w:t>响和</w:t>
            </w:r>
          </w:p>
          <w:p w14:paraId="104F0739">
            <w:pPr>
              <w:adjustRightInd w:val="0"/>
              <w:snapToGrid w:val="0"/>
              <w:spacing w:line="440" w:lineRule="exact"/>
              <w:jc w:val="center"/>
              <w:rPr>
                <w:rFonts w:hint="default" w:ascii="Times New Roman" w:hAnsi="Times New Roman" w:cs="Times New Roman"/>
                <w:b/>
                <w:color w:val="auto"/>
                <w:spacing w:val="0"/>
                <w:position w:val="0"/>
                <w:sz w:val="24"/>
              </w:rPr>
            </w:pPr>
            <w:r>
              <w:rPr>
                <w:rFonts w:hint="default" w:ascii="Times New Roman" w:hAnsi="Times New Roman" w:cs="Times New Roman"/>
                <w:b/>
                <w:color w:val="auto"/>
                <w:spacing w:val="0"/>
                <w:position w:val="0"/>
                <w:sz w:val="24"/>
              </w:rPr>
              <w:t>保护</w:t>
            </w:r>
          </w:p>
          <w:p w14:paraId="42D4C9B5">
            <w:pPr>
              <w:adjustRightInd w:val="0"/>
              <w:snapToGrid w:val="0"/>
              <w:spacing w:line="440" w:lineRule="exact"/>
              <w:jc w:val="center"/>
              <w:rPr>
                <w:rFonts w:hint="default" w:ascii="Times New Roman" w:hAnsi="Times New Roman" w:cs="Times New Roman"/>
                <w:color w:val="auto"/>
                <w:spacing w:val="0"/>
                <w:position w:val="0"/>
              </w:rPr>
            </w:pPr>
            <w:r>
              <w:rPr>
                <w:rFonts w:hint="default" w:ascii="Times New Roman" w:hAnsi="Times New Roman" w:cs="Times New Roman"/>
                <w:b/>
                <w:color w:val="auto"/>
                <w:spacing w:val="0"/>
                <w:position w:val="0"/>
                <w:sz w:val="24"/>
              </w:rPr>
              <w:t>措施</w:t>
            </w:r>
          </w:p>
        </w:tc>
        <w:tc>
          <w:tcPr>
            <w:tcW w:w="9258" w:type="dxa"/>
          </w:tcPr>
          <w:p w14:paraId="784B00D6">
            <w:pPr>
              <w:pStyle w:val="64"/>
              <w:adjustRightInd w:val="0"/>
              <w:spacing w:before="0" w:line="480" w:lineRule="atLeast"/>
              <w:ind w:firstLine="482"/>
              <w:rPr>
                <w:rFonts w:hint="default" w:ascii="Times New Roman" w:hAnsi="Times New Roman" w:eastAsia="宋体" w:cs="Times New Roman"/>
                <w:b/>
                <w:bCs/>
                <w:color w:val="auto"/>
                <w:spacing w:val="0"/>
                <w:position w:val="0"/>
                <w:lang w:val="en-US" w:eastAsia="zh-CN"/>
              </w:rPr>
            </w:pPr>
            <w:r>
              <w:rPr>
                <w:rFonts w:hint="eastAsia" w:cs="Times New Roman"/>
                <w:b/>
                <w:bCs/>
                <w:color w:val="auto"/>
                <w:spacing w:val="0"/>
                <w:position w:val="0"/>
                <w:lang w:eastAsia="zh-CN"/>
              </w:rPr>
              <w:t>（</w:t>
            </w:r>
            <w:r>
              <w:rPr>
                <w:rFonts w:hint="eastAsia" w:cs="Times New Roman"/>
                <w:b/>
                <w:bCs/>
                <w:color w:val="auto"/>
                <w:spacing w:val="0"/>
                <w:position w:val="0"/>
                <w:lang w:val="en-US" w:eastAsia="zh-CN"/>
              </w:rPr>
              <w:t>五</w:t>
            </w:r>
            <w:r>
              <w:rPr>
                <w:rFonts w:hint="eastAsia" w:cs="Times New Roman"/>
                <w:b/>
                <w:bCs/>
                <w:color w:val="auto"/>
                <w:spacing w:val="0"/>
                <w:position w:val="0"/>
                <w:lang w:eastAsia="zh-CN"/>
              </w:rPr>
              <w:t>）</w:t>
            </w:r>
            <w:r>
              <w:rPr>
                <w:rFonts w:hint="eastAsia" w:cs="Times New Roman"/>
                <w:b/>
                <w:bCs/>
                <w:color w:val="auto"/>
                <w:spacing w:val="0"/>
                <w:position w:val="0"/>
                <w:lang w:val="en-US" w:eastAsia="zh-CN"/>
              </w:rPr>
              <w:t>环境影响分析</w:t>
            </w:r>
          </w:p>
          <w:p w14:paraId="2AB653F5">
            <w:pPr>
              <w:adjustRightInd w:val="0"/>
              <w:snapToGrid w:val="0"/>
              <w:spacing w:line="480" w:lineRule="atLeast"/>
              <w:ind w:firstLine="482" w:firstLineChars="200"/>
              <w:rPr>
                <w:rFonts w:hint="default" w:ascii="Times New Roman" w:hAnsi="Times New Roman" w:eastAsia="宋体" w:cs="宋体"/>
                <w:b/>
                <w:bCs/>
                <w:caps w:val="0"/>
                <w:smallCaps w:val="0"/>
                <w:color w:val="auto"/>
                <w:spacing w:val="0"/>
                <w:kern w:val="0"/>
                <w:position w:val="0"/>
                <w:sz w:val="24"/>
                <w:lang w:val="en-US" w:eastAsia="zh-CN"/>
              </w:rPr>
            </w:pPr>
            <w:r>
              <w:rPr>
                <w:rFonts w:hint="eastAsia" w:ascii="Times New Roman" w:hAnsi="Times New Roman" w:eastAsia="宋体" w:cs="宋体"/>
                <w:b/>
                <w:bCs/>
                <w:caps w:val="0"/>
                <w:smallCaps w:val="0"/>
                <w:color w:val="auto"/>
                <w:spacing w:val="0"/>
                <w:kern w:val="0"/>
                <w:position w:val="0"/>
                <w:sz w:val="24"/>
                <w:lang w:val="en-US" w:eastAsia="zh-CN"/>
              </w:rPr>
              <w:t>1、固废处置环境影响分析</w:t>
            </w:r>
          </w:p>
          <w:p w14:paraId="6EE96F20">
            <w:pPr>
              <w:adjustRightInd w:val="0"/>
              <w:snapToGrid w:val="0"/>
              <w:spacing w:line="480" w:lineRule="atLeast"/>
              <w:ind w:firstLine="480" w:firstLineChars="200"/>
              <w:rPr>
                <w:rFonts w:hint="default" w:cs="宋体"/>
                <w:caps w:val="0"/>
                <w:smallCaps w:val="0"/>
                <w:color w:val="auto"/>
                <w:spacing w:val="0"/>
                <w:kern w:val="0"/>
                <w:position w:val="0"/>
                <w:sz w:val="24"/>
                <w:szCs w:val="24"/>
                <w:lang w:val="en-US" w:eastAsia="zh-CN"/>
              </w:rPr>
            </w:pPr>
            <w:r>
              <w:rPr>
                <w:rFonts w:hint="eastAsia" w:cs="宋体"/>
                <w:caps w:val="0"/>
                <w:smallCaps w:val="0"/>
                <w:color w:val="auto"/>
                <w:spacing w:val="0"/>
                <w:kern w:val="0"/>
                <w:position w:val="0"/>
                <w:sz w:val="24"/>
                <w:szCs w:val="24"/>
                <w:lang w:val="en-US" w:eastAsia="zh-CN"/>
              </w:rPr>
              <w:t>项目沉淀池泥渣暂存污泥池外售综合利用；废布袋、除尘器收尘收集后</w:t>
            </w:r>
            <w:r>
              <w:rPr>
                <w:rFonts w:hint="eastAsia" w:cs="Times New Roman"/>
                <w:i w:val="0"/>
                <w:iCs w:val="0"/>
                <w:color w:val="auto"/>
                <w:sz w:val="24"/>
                <w:szCs w:val="24"/>
                <w:u w:val="none"/>
                <w:lang w:val="en-US" w:eastAsia="zh-CN"/>
              </w:rPr>
              <w:t>暂存固废库，外售综合利用</w:t>
            </w:r>
            <w:r>
              <w:rPr>
                <w:rFonts w:hint="eastAsia" w:cs="Times New Roman"/>
                <w:i w:val="0"/>
                <w:iCs w:val="0"/>
                <w:color w:val="auto"/>
                <w:kern w:val="0"/>
                <w:sz w:val="24"/>
                <w:szCs w:val="24"/>
                <w:u w:val="none"/>
                <w:lang w:val="en-US" w:eastAsia="zh-CN" w:bidi="ar"/>
              </w:rPr>
              <w:t>；</w:t>
            </w:r>
            <w:r>
              <w:rPr>
                <w:rFonts w:hint="eastAsia" w:cs="宋体"/>
                <w:caps w:val="0"/>
                <w:smallCaps w:val="0"/>
                <w:color w:val="auto"/>
                <w:spacing w:val="0"/>
                <w:kern w:val="0"/>
                <w:position w:val="0"/>
                <w:sz w:val="24"/>
                <w:szCs w:val="24"/>
                <w:lang w:val="en-US" w:eastAsia="zh-CN"/>
              </w:rPr>
              <w:t>废化学原料包装材料、废活性炭、废润滑油、废液压油、废油桶、含油废手套等分类收集暂存危废库，委托有资质单位回收处理；生活垃圾委托环卫部门定期清运。</w:t>
            </w:r>
          </w:p>
          <w:p w14:paraId="49D27AF8">
            <w:pPr>
              <w:adjustRightInd w:val="0"/>
              <w:snapToGrid w:val="0"/>
              <w:spacing w:line="480" w:lineRule="atLeast"/>
              <w:ind w:firstLine="480" w:firstLineChars="200"/>
              <w:rPr>
                <w:rFonts w:hint="eastAsia" w:cs="宋体"/>
                <w:caps w:val="0"/>
                <w:smallCaps w:val="0"/>
                <w:color w:val="auto"/>
                <w:spacing w:val="0"/>
                <w:kern w:val="0"/>
                <w:position w:val="0"/>
                <w:sz w:val="24"/>
                <w:lang w:val="en-US" w:eastAsia="zh-CN"/>
              </w:rPr>
            </w:pPr>
            <w:r>
              <w:rPr>
                <w:rFonts w:hint="eastAsia" w:cs="宋体"/>
                <w:caps w:val="0"/>
                <w:smallCaps w:val="0"/>
                <w:color w:val="auto"/>
                <w:spacing w:val="0"/>
                <w:kern w:val="0"/>
                <w:position w:val="0"/>
                <w:sz w:val="24"/>
                <w:lang w:val="en-US" w:eastAsia="zh-CN"/>
              </w:rPr>
              <w:t>项目运营期间产生的固体废物均不外排，基本不会对周边环境产生影响。</w:t>
            </w:r>
          </w:p>
          <w:p w14:paraId="6977C224">
            <w:pPr>
              <w:adjustRightInd w:val="0"/>
              <w:snapToGrid w:val="0"/>
              <w:spacing w:line="480" w:lineRule="atLeast"/>
              <w:ind w:firstLine="482" w:firstLineChars="200"/>
              <w:rPr>
                <w:rFonts w:hint="default" w:cs="宋体"/>
                <w:caps w:val="0"/>
                <w:smallCaps w:val="0"/>
                <w:color w:val="auto"/>
                <w:spacing w:val="0"/>
                <w:kern w:val="0"/>
                <w:position w:val="0"/>
                <w:sz w:val="24"/>
                <w:lang w:val="en-US" w:eastAsia="zh-CN"/>
              </w:rPr>
            </w:pPr>
            <w:r>
              <w:rPr>
                <w:rFonts w:hint="eastAsia" w:cs="宋体"/>
                <w:b/>
                <w:bCs/>
                <w:caps w:val="0"/>
                <w:smallCaps w:val="0"/>
                <w:color w:val="auto"/>
                <w:spacing w:val="0"/>
                <w:kern w:val="0"/>
                <w:position w:val="0"/>
                <w:sz w:val="24"/>
                <w:lang w:val="en-US" w:eastAsia="zh-CN"/>
              </w:rPr>
              <w:t>2、一般固废污染防治</w:t>
            </w:r>
          </w:p>
          <w:p w14:paraId="4E06BC74">
            <w:pPr>
              <w:adjustRightInd w:val="0"/>
              <w:snapToGrid w:val="0"/>
              <w:spacing w:line="480" w:lineRule="atLeast"/>
              <w:ind w:firstLine="480" w:firstLineChars="200"/>
              <w:rPr>
                <w:rFonts w:hint="eastAsia" w:cs="宋体"/>
                <w:caps w:val="0"/>
                <w:smallCaps w:val="0"/>
                <w:color w:val="auto"/>
                <w:spacing w:val="0"/>
                <w:kern w:val="0"/>
                <w:position w:val="0"/>
                <w:sz w:val="24"/>
                <w:lang w:val="en-US" w:eastAsia="zh-CN"/>
              </w:rPr>
            </w:pPr>
            <w:r>
              <w:rPr>
                <w:rFonts w:hint="eastAsia" w:cs="宋体"/>
                <w:caps w:val="0"/>
                <w:smallCaps w:val="0"/>
                <w:color w:val="auto"/>
                <w:spacing w:val="0"/>
                <w:kern w:val="0"/>
                <w:position w:val="0"/>
                <w:sz w:val="24"/>
                <w:lang w:val="en-US" w:eastAsia="zh-CN"/>
              </w:rPr>
              <w:t>本项目新建一般固废库一座，占地面积10m</w:t>
            </w:r>
            <w:r>
              <w:rPr>
                <w:rFonts w:hint="eastAsia" w:cs="宋体"/>
                <w:caps w:val="0"/>
                <w:smallCaps w:val="0"/>
                <w:color w:val="auto"/>
                <w:spacing w:val="0"/>
                <w:kern w:val="0"/>
                <w:position w:val="0"/>
                <w:sz w:val="24"/>
                <w:vertAlign w:val="superscript"/>
                <w:lang w:val="en-US" w:eastAsia="zh-CN"/>
              </w:rPr>
              <w:t>2</w:t>
            </w:r>
            <w:r>
              <w:rPr>
                <w:rFonts w:hint="eastAsia" w:cs="宋体"/>
                <w:caps w:val="0"/>
                <w:smallCaps w:val="0"/>
                <w:color w:val="auto"/>
                <w:spacing w:val="0"/>
                <w:kern w:val="0"/>
                <w:position w:val="0"/>
                <w:sz w:val="24"/>
                <w:lang w:val="en-US" w:eastAsia="zh-CN"/>
              </w:rPr>
              <w:t>。贮存过程参照执行国家《排污许可证申请与核发技术规范工业固体废物》（试行）（HJ1200-2021）等规定，满足相应防渗漏、防雨淋、防扬尘等环境保护要求。</w:t>
            </w:r>
          </w:p>
          <w:p w14:paraId="38436783">
            <w:pPr>
              <w:pStyle w:val="64"/>
              <w:keepNext w:val="0"/>
              <w:keepLines w:val="0"/>
              <w:pageBreakBefore w:val="0"/>
              <w:widowControl w:val="0"/>
              <w:kinsoku/>
              <w:wordWrap/>
              <w:overflowPunct/>
              <w:topLinePunct w:val="0"/>
              <w:autoSpaceDE/>
              <w:autoSpaceDN/>
              <w:bidi w:val="0"/>
              <w:adjustRightInd w:val="0"/>
              <w:snapToGrid/>
              <w:spacing w:before="0" w:line="480" w:lineRule="atLeast"/>
              <w:ind w:left="0" w:leftChars="0" w:firstLine="480" w:firstLineChars="200"/>
              <w:textAlignment w:val="auto"/>
              <w:rPr>
                <w:rFonts w:hint="default" w:ascii="Times New Roman" w:hAnsi="Times New Roman" w:eastAsia="宋体" w:cs="Times New Roman"/>
                <w:color w:val="auto"/>
                <w:spacing w:val="0"/>
                <w:position w:val="0"/>
                <w:lang w:val="en-US" w:eastAsia="zh-CN"/>
              </w:rPr>
            </w:pPr>
            <w:r>
              <w:rPr>
                <w:rFonts w:hint="default" w:ascii="Times New Roman" w:hAnsi="Times New Roman" w:eastAsia="宋体" w:cs="Times New Roman"/>
                <w:color w:val="auto"/>
                <w:spacing w:val="0"/>
                <w:position w:val="0"/>
                <w:lang w:val="en-US" w:eastAsia="zh-CN"/>
              </w:rPr>
              <w:t xml:space="preserve">项目生产过程中产生的一般工业固体申报管理应认真落实《中华人民共和国固体废物污染环境防治法》第三十二条：国家实行工业固体废物申报登记制度。产生工业固体废物的单位必须按照国务院环境保护行政主管部门的规定，向所在地县级以上人民政府环境保护行政主管部门提供工业固体废物的种类、产生量、流向、贮存、处置等有关资料。 </w:t>
            </w:r>
          </w:p>
          <w:p w14:paraId="2C3F892F">
            <w:pPr>
              <w:pStyle w:val="64"/>
              <w:keepNext w:val="0"/>
              <w:keepLines w:val="0"/>
              <w:pageBreakBefore w:val="0"/>
              <w:widowControl w:val="0"/>
              <w:kinsoku/>
              <w:wordWrap/>
              <w:overflowPunct/>
              <w:topLinePunct w:val="0"/>
              <w:autoSpaceDE/>
              <w:autoSpaceDN/>
              <w:bidi w:val="0"/>
              <w:adjustRightInd w:val="0"/>
              <w:snapToGrid/>
              <w:spacing w:before="0" w:line="480" w:lineRule="atLeast"/>
              <w:ind w:left="0" w:leftChars="0" w:firstLine="480" w:firstLineChars="200"/>
              <w:textAlignment w:val="auto"/>
              <w:rPr>
                <w:rFonts w:hint="default" w:ascii="Times New Roman" w:hAnsi="Times New Roman" w:eastAsia="宋体" w:cs="Times New Roman"/>
                <w:color w:val="auto"/>
                <w:spacing w:val="0"/>
                <w:position w:val="0"/>
                <w:lang w:val="en-US" w:eastAsia="zh-CN"/>
              </w:rPr>
            </w:pPr>
            <w:r>
              <w:rPr>
                <w:rFonts w:hint="default" w:ascii="Times New Roman" w:hAnsi="Times New Roman" w:eastAsia="宋体" w:cs="Times New Roman"/>
                <w:color w:val="auto"/>
                <w:spacing w:val="0"/>
                <w:position w:val="0"/>
                <w:lang w:val="en-US" w:eastAsia="zh-CN"/>
              </w:rPr>
              <w:t>一般工业固体废物产生单位必须如实申报正常作业条件下一般工业固体废物的种类、产生量、流向、贮存、利用、处置状况等有关资料，以及执行有关法律、法规的真实情况，不得隐瞒不报或者</w:t>
            </w:r>
            <w:r>
              <w:rPr>
                <w:rFonts w:hint="eastAsia" w:cs="Times New Roman"/>
                <w:color w:val="auto"/>
                <w:spacing w:val="0"/>
                <w:position w:val="0"/>
                <w:lang w:val="en-US" w:eastAsia="zh-CN"/>
              </w:rPr>
              <w:t>虚</w:t>
            </w:r>
            <w:r>
              <w:rPr>
                <w:rFonts w:hint="default" w:ascii="Times New Roman" w:hAnsi="Times New Roman" w:eastAsia="宋体" w:cs="Times New Roman"/>
                <w:color w:val="auto"/>
                <w:spacing w:val="0"/>
                <w:position w:val="0"/>
                <w:lang w:val="en-US" w:eastAsia="zh-CN"/>
              </w:rPr>
              <w:t>报、谎报。一般工业固体废物产生单位应按要求在网上申报登记上一年度的信息，通过省固体废物管理信息平台依法申报固体废物的种类、产生量、流向、交接、贮存、利用、处置情况。申报企业要签署承诺书，依法向县级环保部门申报登记信息，确保申报数据的真实性、准确性和完整性。</w:t>
            </w:r>
          </w:p>
          <w:p w14:paraId="5E0C2D3D">
            <w:pPr>
              <w:pStyle w:val="64"/>
              <w:keepNext w:val="0"/>
              <w:keepLines w:val="0"/>
              <w:pageBreakBefore w:val="0"/>
              <w:widowControl w:val="0"/>
              <w:kinsoku/>
              <w:wordWrap/>
              <w:overflowPunct/>
              <w:topLinePunct w:val="0"/>
              <w:autoSpaceDE/>
              <w:autoSpaceDN/>
              <w:bidi w:val="0"/>
              <w:adjustRightInd w:val="0"/>
              <w:snapToGrid/>
              <w:spacing w:before="0" w:line="480" w:lineRule="atLeast"/>
              <w:ind w:left="0" w:leftChars="0" w:firstLine="482" w:firstLineChars="200"/>
              <w:textAlignment w:val="auto"/>
              <w:rPr>
                <w:rFonts w:hint="default" w:ascii="Times New Roman" w:hAnsi="Times New Roman" w:eastAsia="宋体" w:cs="Times New Roman"/>
                <w:color w:val="auto"/>
                <w:spacing w:val="0"/>
                <w:position w:val="0"/>
                <w:lang w:val="en-US" w:eastAsia="zh-CN"/>
              </w:rPr>
            </w:pPr>
            <w:r>
              <w:rPr>
                <w:rFonts w:hint="default" w:ascii="Times New Roman" w:hAnsi="Times New Roman" w:eastAsia="宋体" w:cs="Times New Roman"/>
                <w:b/>
                <w:bCs/>
                <w:color w:val="auto"/>
                <w:spacing w:val="0"/>
                <w:position w:val="0"/>
                <w:lang w:val="en-US" w:eastAsia="zh-CN"/>
              </w:rPr>
              <w:t>根据《中华人民共和国固体废物污染环境防治法》</w:t>
            </w:r>
            <w:r>
              <w:rPr>
                <w:rFonts w:hint="eastAsia" w:cs="Times New Roman"/>
                <w:b/>
                <w:bCs/>
                <w:color w:val="auto"/>
                <w:spacing w:val="0"/>
                <w:position w:val="0"/>
                <w:lang w:val="en-US" w:eastAsia="zh-CN"/>
              </w:rPr>
              <w:t>（</w:t>
            </w:r>
            <w:r>
              <w:rPr>
                <w:rFonts w:hint="default" w:ascii="Times New Roman" w:hAnsi="Times New Roman" w:eastAsia="宋体" w:cs="Times New Roman"/>
                <w:b/>
                <w:bCs/>
                <w:color w:val="auto"/>
                <w:spacing w:val="0"/>
                <w:position w:val="0"/>
                <w:lang w:val="en-US" w:eastAsia="zh-CN"/>
              </w:rPr>
              <w:t>2020年修订）规定如下：</w:t>
            </w:r>
          </w:p>
          <w:p w14:paraId="761586E0">
            <w:pPr>
              <w:pStyle w:val="64"/>
              <w:keepNext w:val="0"/>
              <w:keepLines w:val="0"/>
              <w:pageBreakBefore w:val="0"/>
              <w:widowControl w:val="0"/>
              <w:kinsoku/>
              <w:wordWrap/>
              <w:overflowPunct/>
              <w:topLinePunct w:val="0"/>
              <w:autoSpaceDE/>
              <w:autoSpaceDN/>
              <w:bidi w:val="0"/>
              <w:adjustRightInd w:val="0"/>
              <w:snapToGrid/>
              <w:spacing w:before="0" w:line="480" w:lineRule="atLeast"/>
              <w:ind w:left="0" w:leftChars="0" w:firstLine="480" w:firstLineChars="200"/>
              <w:textAlignment w:val="auto"/>
              <w:rPr>
                <w:rFonts w:hint="default" w:ascii="Times New Roman" w:hAnsi="Times New Roman" w:eastAsia="宋体" w:cs="Times New Roman"/>
                <w:color w:val="auto"/>
                <w:spacing w:val="0"/>
                <w:position w:val="0"/>
                <w:lang w:val="en-US" w:eastAsia="zh-CN"/>
              </w:rPr>
            </w:pPr>
            <w:r>
              <w:rPr>
                <w:rFonts w:hint="eastAsia" w:cs="Times New Roman"/>
                <w:color w:val="auto"/>
                <w:spacing w:val="0"/>
                <w:position w:val="0"/>
                <w:lang w:val="en-US" w:eastAsia="zh-CN"/>
              </w:rPr>
              <w:t>（</w:t>
            </w:r>
            <w:r>
              <w:rPr>
                <w:rFonts w:hint="default" w:ascii="Times New Roman" w:hAnsi="Times New Roman" w:eastAsia="宋体" w:cs="Times New Roman"/>
                <w:color w:val="auto"/>
                <w:spacing w:val="0"/>
                <w:position w:val="0"/>
                <w:lang w:val="en-US" w:eastAsia="zh-CN"/>
              </w:rPr>
              <w:t>1）转移固体废物出省、自治区、直辖市行政区域贮存、处置的，应当向固体废物转移出地的省、自治区、直辖市人民政府生态环境主管部门提出申请。移出地的省、直辖市人民政府生态环境主管部门同意后，在规定期限内批准转移该固体废物出省、自治区、直辖市行政区域。未经批准的，不得转移。转移固体废物出省、自治区、直辖市行政区域利用的，应当报固体废物移出地的省、自治区、直辖市人民政府生态环境主管部门备案。移出地的省、直辖市人民政府生态环境主管部门应当将备案信息通报</w:t>
            </w:r>
            <w:r>
              <w:rPr>
                <w:rFonts w:hint="eastAsia" w:cs="Times New Roman"/>
                <w:color w:val="auto"/>
                <w:spacing w:val="0"/>
                <w:position w:val="0"/>
                <w:lang w:val="en-US" w:eastAsia="zh-CN"/>
              </w:rPr>
              <w:t>接收</w:t>
            </w:r>
            <w:r>
              <w:rPr>
                <w:rFonts w:hint="default" w:ascii="Times New Roman" w:hAnsi="Times New Roman" w:eastAsia="宋体" w:cs="Times New Roman"/>
                <w:color w:val="auto"/>
                <w:spacing w:val="0"/>
                <w:position w:val="0"/>
                <w:lang w:val="en-US" w:eastAsia="zh-CN"/>
              </w:rPr>
              <w:t xml:space="preserve">地的省、自治区、直辖市人民政府环境主管部门。 </w:t>
            </w:r>
          </w:p>
          <w:p w14:paraId="7FA6D42F">
            <w:pPr>
              <w:pStyle w:val="64"/>
              <w:keepNext w:val="0"/>
              <w:keepLines w:val="0"/>
              <w:pageBreakBefore w:val="0"/>
              <w:widowControl w:val="0"/>
              <w:kinsoku/>
              <w:wordWrap/>
              <w:overflowPunct/>
              <w:topLinePunct w:val="0"/>
              <w:autoSpaceDE/>
              <w:autoSpaceDN/>
              <w:bidi w:val="0"/>
              <w:adjustRightInd w:val="0"/>
              <w:snapToGrid/>
              <w:spacing w:before="0" w:line="480" w:lineRule="atLeast"/>
              <w:ind w:left="0" w:leftChars="0" w:firstLine="480" w:firstLineChars="200"/>
              <w:textAlignment w:val="auto"/>
              <w:rPr>
                <w:rFonts w:hint="default" w:ascii="Times New Roman" w:hAnsi="Times New Roman" w:eastAsia="宋体" w:cs="Times New Roman"/>
                <w:color w:val="auto"/>
                <w:spacing w:val="0"/>
                <w:position w:val="0"/>
                <w:lang w:val="en-US" w:eastAsia="zh-CN"/>
              </w:rPr>
            </w:pPr>
            <w:r>
              <w:rPr>
                <w:rFonts w:hint="eastAsia" w:cs="Times New Roman"/>
                <w:color w:val="auto"/>
                <w:spacing w:val="0"/>
                <w:position w:val="0"/>
                <w:lang w:val="en-US" w:eastAsia="zh-CN"/>
              </w:rPr>
              <w:t>（</w:t>
            </w:r>
            <w:r>
              <w:rPr>
                <w:rFonts w:hint="default" w:ascii="Times New Roman" w:hAnsi="Times New Roman" w:eastAsia="宋体" w:cs="Times New Roman"/>
                <w:color w:val="auto"/>
                <w:spacing w:val="0"/>
                <w:position w:val="0"/>
                <w:lang w:val="en-US" w:eastAsia="zh-CN"/>
              </w:rPr>
              <w:t>2）产生工业固体废物的单位应当建立健全工业固体废物产生、收集、贮存、运输、利用、处置全过程的污染环境防治责任制度，建立工业固体废物管理台账，如实记录产生工业固体废物的种类、数量、流向、贮存、利用、处置等信息、实现工业</w:t>
            </w:r>
            <w:r>
              <w:rPr>
                <w:rFonts w:hint="eastAsia" w:cs="Times New Roman"/>
                <w:color w:val="auto"/>
                <w:spacing w:val="0"/>
                <w:position w:val="0"/>
                <w:lang w:val="en-US" w:eastAsia="zh-CN"/>
              </w:rPr>
              <w:t>固体废物</w:t>
            </w:r>
            <w:r>
              <w:rPr>
                <w:rFonts w:hint="default" w:ascii="Times New Roman" w:hAnsi="Times New Roman" w:eastAsia="宋体" w:cs="Times New Roman"/>
                <w:color w:val="auto"/>
                <w:spacing w:val="0"/>
                <w:position w:val="0"/>
                <w:lang w:val="en-US" w:eastAsia="zh-CN"/>
              </w:rPr>
              <w:t xml:space="preserve">可追溯、可查询，并采取防治工业固体废物污染环境的措施。 </w:t>
            </w:r>
          </w:p>
          <w:p w14:paraId="134CEA1B">
            <w:pPr>
              <w:pStyle w:val="64"/>
              <w:keepNext w:val="0"/>
              <w:keepLines w:val="0"/>
              <w:pageBreakBefore w:val="0"/>
              <w:widowControl w:val="0"/>
              <w:kinsoku/>
              <w:wordWrap/>
              <w:overflowPunct/>
              <w:topLinePunct w:val="0"/>
              <w:autoSpaceDE/>
              <w:autoSpaceDN/>
              <w:bidi w:val="0"/>
              <w:adjustRightInd w:val="0"/>
              <w:snapToGrid/>
              <w:spacing w:before="0" w:line="480" w:lineRule="atLeast"/>
              <w:ind w:left="0" w:leftChars="0" w:firstLine="480" w:firstLineChars="200"/>
              <w:textAlignment w:val="auto"/>
              <w:rPr>
                <w:rFonts w:hint="default" w:ascii="Times New Roman" w:hAnsi="Times New Roman" w:eastAsia="宋体" w:cs="Times New Roman"/>
                <w:color w:val="auto"/>
                <w:spacing w:val="0"/>
                <w:position w:val="0"/>
                <w:lang w:val="en-US" w:eastAsia="zh-CN"/>
              </w:rPr>
            </w:pPr>
            <w:r>
              <w:rPr>
                <w:rFonts w:hint="eastAsia" w:cs="Times New Roman"/>
                <w:color w:val="auto"/>
                <w:spacing w:val="0"/>
                <w:position w:val="0"/>
                <w:lang w:val="en-US" w:eastAsia="zh-CN"/>
              </w:rPr>
              <w:t>（</w:t>
            </w:r>
            <w:r>
              <w:rPr>
                <w:rFonts w:hint="default" w:ascii="Times New Roman" w:hAnsi="Times New Roman" w:eastAsia="宋体" w:cs="Times New Roman"/>
                <w:color w:val="auto"/>
                <w:spacing w:val="0"/>
                <w:position w:val="0"/>
                <w:lang w:val="en-US" w:eastAsia="zh-CN"/>
              </w:rPr>
              <w:t>3）产生工业</w:t>
            </w:r>
            <w:r>
              <w:rPr>
                <w:rFonts w:hint="eastAsia" w:cs="Times New Roman"/>
                <w:color w:val="auto"/>
                <w:spacing w:val="0"/>
                <w:position w:val="0"/>
                <w:lang w:val="en-US" w:eastAsia="zh-CN"/>
              </w:rPr>
              <w:t>固体废物</w:t>
            </w:r>
            <w:r>
              <w:rPr>
                <w:rFonts w:hint="default" w:ascii="Times New Roman" w:hAnsi="Times New Roman" w:eastAsia="宋体" w:cs="Times New Roman"/>
                <w:color w:val="auto"/>
                <w:spacing w:val="0"/>
                <w:position w:val="0"/>
                <w:lang w:val="en-US" w:eastAsia="zh-CN"/>
              </w:rPr>
              <w:t>的单位委托他人运输、利用、处置工业固体废物的，应当对受托方的主体资格和技术能力进行核实，依法签订书面合同，在合同中约定污染防治要求。</w:t>
            </w:r>
          </w:p>
          <w:p w14:paraId="3FAD2AAE">
            <w:pPr>
              <w:adjustRightInd w:val="0"/>
              <w:snapToGrid w:val="0"/>
              <w:spacing w:line="480" w:lineRule="atLeast"/>
              <w:ind w:firstLine="482" w:firstLineChars="200"/>
              <w:rPr>
                <w:rFonts w:hint="default" w:ascii="Times New Roman" w:hAnsi="Times New Roman" w:eastAsia="宋体" w:cs="宋体"/>
                <w:b/>
                <w:bCs/>
                <w:caps w:val="0"/>
                <w:smallCaps w:val="0"/>
                <w:color w:val="auto"/>
                <w:spacing w:val="0"/>
                <w:kern w:val="0"/>
                <w:position w:val="0"/>
                <w:sz w:val="24"/>
                <w:lang w:val="en-US" w:eastAsia="zh-CN"/>
              </w:rPr>
            </w:pPr>
            <w:r>
              <w:rPr>
                <w:rFonts w:hint="eastAsia" w:ascii="Times New Roman" w:hAnsi="Times New Roman" w:eastAsia="宋体" w:cs="宋体"/>
                <w:b/>
                <w:bCs/>
                <w:caps w:val="0"/>
                <w:smallCaps w:val="0"/>
                <w:color w:val="auto"/>
                <w:spacing w:val="0"/>
                <w:kern w:val="0"/>
                <w:position w:val="0"/>
                <w:sz w:val="24"/>
                <w:lang w:val="en-US" w:eastAsia="zh-CN"/>
              </w:rPr>
              <w:t>2、危险废物</w:t>
            </w:r>
            <w:r>
              <w:rPr>
                <w:rFonts w:hint="eastAsia" w:cs="宋体"/>
                <w:b/>
                <w:bCs/>
                <w:caps w:val="0"/>
                <w:smallCaps w:val="0"/>
                <w:color w:val="auto"/>
                <w:spacing w:val="0"/>
                <w:kern w:val="0"/>
                <w:position w:val="0"/>
                <w:sz w:val="24"/>
                <w:lang w:val="en-US" w:eastAsia="zh-CN"/>
              </w:rPr>
              <w:t>污染防治</w:t>
            </w:r>
          </w:p>
          <w:p w14:paraId="38A68C78">
            <w:pPr>
              <w:adjustRightInd w:val="0"/>
              <w:snapToGrid w:val="0"/>
              <w:spacing w:line="480" w:lineRule="atLeast"/>
              <w:ind w:firstLine="482" w:firstLineChars="200"/>
              <w:rPr>
                <w:rFonts w:hint="default" w:ascii="Times New Roman" w:hAnsi="Times New Roman" w:eastAsia="宋体" w:cs="宋体"/>
                <w:b/>
                <w:bCs/>
                <w:caps w:val="0"/>
                <w:smallCaps w:val="0"/>
                <w:color w:val="auto"/>
                <w:spacing w:val="0"/>
                <w:kern w:val="0"/>
                <w:position w:val="0"/>
                <w:sz w:val="24"/>
                <w:lang w:val="en-US" w:eastAsia="zh-CN"/>
              </w:rPr>
            </w:pPr>
            <w:r>
              <w:rPr>
                <w:rFonts w:hint="eastAsia" w:cs="宋体"/>
                <w:b/>
                <w:bCs/>
                <w:caps w:val="0"/>
                <w:smallCaps w:val="0"/>
                <w:color w:val="auto"/>
                <w:spacing w:val="0"/>
                <w:kern w:val="0"/>
                <w:position w:val="0"/>
                <w:sz w:val="24"/>
                <w:lang w:val="en-US" w:eastAsia="zh-CN"/>
              </w:rPr>
              <w:t>（</w:t>
            </w:r>
            <w:r>
              <w:rPr>
                <w:rFonts w:hint="eastAsia" w:ascii="Times New Roman" w:hAnsi="Times New Roman" w:eastAsia="宋体" w:cs="宋体"/>
                <w:b/>
                <w:bCs/>
                <w:caps w:val="0"/>
                <w:smallCaps w:val="0"/>
                <w:color w:val="auto"/>
                <w:spacing w:val="0"/>
                <w:kern w:val="0"/>
                <w:position w:val="0"/>
                <w:sz w:val="24"/>
                <w:lang w:val="en-US" w:eastAsia="zh-CN"/>
              </w:rPr>
              <w:t>1）危险废物收集贮存环境影响分析</w:t>
            </w:r>
          </w:p>
          <w:p w14:paraId="2AC123FF">
            <w:pPr>
              <w:adjustRightInd w:val="0"/>
              <w:snapToGrid w:val="0"/>
              <w:spacing w:line="480" w:lineRule="atLeast"/>
              <w:ind w:firstLine="480" w:firstLineChars="200"/>
              <w:rPr>
                <w:rFonts w:hint="default" w:ascii="Times New Roman" w:hAnsi="Times New Roman" w:eastAsia="宋体" w:cs="宋体"/>
                <w:caps w:val="0"/>
                <w:smallCaps w:val="0"/>
                <w:color w:val="auto"/>
                <w:spacing w:val="0"/>
                <w:kern w:val="0"/>
                <w:position w:val="0"/>
                <w:sz w:val="24"/>
                <w:lang w:val="en-US" w:eastAsia="zh-CN"/>
              </w:rPr>
            </w:pPr>
            <w:r>
              <w:rPr>
                <w:rFonts w:hint="eastAsia" w:cs="宋体"/>
                <w:caps w:val="0"/>
                <w:smallCaps w:val="0"/>
                <w:color w:val="auto"/>
                <w:spacing w:val="0"/>
                <w:kern w:val="0"/>
                <w:position w:val="0"/>
                <w:sz w:val="24"/>
                <w:lang w:val="en-US" w:eastAsia="zh-CN"/>
              </w:rPr>
              <w:t>本项目新建危废库一座，</w:t>
            </w:r>
            <w:r>
              <w:rPr>
                <w:rFonts w:hint="eastAsia" w:ascii="Times New Roman" w:hAnsi="Times New Roman" w:eastAsia="宋体" w:cs="宋体"/>
                <w:caps w:val="0"/>
                <w:smallCaps w:val="0"/>
                <w:color w:val="auto"/>
                <w:spacing w:val="0"/>
                <w:kern w:val="0"/>
                <w:position w:val="0"/>
                <w:sz w:val="24"/>
                <w:lang w:val="en-US" w:eastAsia="zh-CN"/>
              </w:rPr>
              <w:t>占地面积</w:t>
            </w:r>
            <w:r>
              <w:rPr>
                <w:rFonts w:hint="eastAsia" w:cs="宋体"/>
                <w:caps w:val="0"/>
                <w:smallCaps w:val="0"/>
                <w:color w:val="auto"/>
                <w:spacing w:val="0"/>
                <w:kern w:val="0"/>
                <w:position w:val="0"/>
                <w:sz w:val="24"/>
                <w:lang w:val="en-US" w:eastAsia="zh-CN"/>
              </w:rPr>
              <w:t>10</w:t>
            </w:r>
            <w:r>
              <w:rPr>
                <w:rFonts w:hint="eastAsia" w:ascii="Times New Roman" w:hAnsi="Times New Roman" w:eastAsia="宋体" w:cs="宋体"/>
                <w:caps w:val="0"/>
                <w:smallCaps w:val="0"/>
                <w:color w:val="auto"/>
                <w:spacing w:val="0"/>
                <w:kern w:val="0"/>
                <w:position w:val="0"/>
                <w:sz w:val="24"/>
                <w:lang w:val="en-US" w:eastAsia="zh-CN"/>
              </w:rPr>
              <w:t>m</w:t>
            </w:r>
            <w:r>
              <w:rPr>
                <w:rFonts w:hint="eastAsia" w:ascii="Times New Roman" w:hAnsi="Times New Roman" w:eastAsia="宋体" w:cs="宋体"/>
                <w:caps w:val="0"/>
                <w:smallCaps w:val="0"/>
                <w:color w:val="auto"/>
                <w:spacing w:val="0"/>
                <w:kern w:val="0"/>
                <w:position w:val="0"/>
                <w:sz w:val="24"/>
                <w:vertAlign w:val="superscript"/>
                <w:lang w:val="en-US" w:eastAsia="zh-CN"/>
              </w:rPr>
              <w:t>2</w:t>
            </w:r>
            <w:r>
              <w:rPr>
                <w:rFonts w:hint="eastAsia" w:ascii="Times New Roman" w:hAnsi="Times New Roman" w:eastAsia="宋体" w:cs="宋体"/>
                <w:caps w:val="0"/>
                <w:smallCaps w:val="0"/>
                <w:color w:val="auto"/>
                <w:spacing w:val="0"/>
                <w:kern w:val="0"/>
                <w:position w:val="0"/>
                <w:sz w:val="24"/>
                <w:lang w:val="en-US" w:eastAsia="zh-CN"/>
              </w:rPr>
              <w:t>，</w:t>
            </w:r>
            <w:r>
              <w:rPr>
                <w:rFonts w:hint="eastAsia" w:cs="宋体"/>
                <w:caps w:val="0"/>
                <w:smallCaps w:val="0"/>
                <w:color w:val="auto"/>
                <w:spacing w:val="0"/>
                <w:kern w:val="0"/>
                <w:position w:val="0"/>
                <w:sz w:val="24"/>
                <w:lang w:val="en-US" w:eastAsia="zh-CN"/>
              </w:rPr>
              <w:t>严格</w:t>
            </w:r>
            <w:r>
              <w:rPr>
                <w:rFonts w:hint="eastAsia" w:ascii="Times New Roman" w:hAnsi="Times New Roman" w:eastAsia="宋体" w:cs="宋体"/>
                <w:caps w:val="0"/>
                <w:smallCaps w:val="0"/>
                <w:color w:val="auto"/>
                <w:spacing w:val="0"/>
                <w:kern w:val="0"/>
                <w:position w:val="0"/>
                <w:sz w:val="24"/>
                <w:lang w:val="en-US" w:eastAsia="zh-CN"/>
              </w:rPr>
              <w:t>按照《危险废物贮存污染控制标准》</w:t>
            </w:r>
            <w:r>
              <w:rPr>
                <w:rFonts w:hint="eastAsia" w:cs="宋体"/>
                <w:caps w:val="0"/>
                <w:smallCaps w:val="0"/>
                <w:color w:val="auto"/>
                <w:spacing w:val="0"/>
                <w:kern w:val="0"/>
                <w:position w:val="0"/>
                <w:sz w:val="24"/>
                <w:lang w:val="en-US" w:eastAsia="zh-CN"/>
              </w:rPr>
              <w:t>（</w:t>
            </w:r>
            <w:r>
              <w:rPr>
                <w:rFonts w:hint="eastAsia" w:ascii="Times New Roman" w:hAnsi="Times New Roman" w:eastAsia="宋体" w:cs="宋体"/>
                <w:caps w:val="0"/>
                <w:smallCaps w:val="0"/>
                <w:color w:val="auto"/>
                <w:spacing w:val="0"/>
                <w:kern w:val="0"/>
                <w:position w:val="0"/>
                <w:sz w:val="24"/>
                <w:lang w:val="en-US" w:eastAsia="zh-CN"/>
              </w:rPr>
              <w:t>GB 18597-2023）规定设置，落实“</w:t>
            </w:r>
            <w:r>
              <w:rPr>
                <w:rFonts w:hint="eastAsia" w:cs="宋体"/>
                <w:caps w:val="0"/>
                <w:smallCaps w:val="0"/>
                <w:color w:val="auto"/>
                <w:spacing w:val="0"/>
                <w:kern w:val="0"/>
                <w:position w:val="0"/>
                <w:sz w:val="24"/>
                <w:lang w:val="en-US" w:eastAsia="zh-CN"/>
              </w:rPr>
              <w:t>六</w:t>
            </w:r>
            <w:r>
              <w:rPr>
                <w:rFonts w:hint="eastAsia" w:ascii="Times New Roman" w:hAnsi="Times New Roman" w:eastAsia="宋体" w:cs="宋体"/>
                <w:caps w:val="0"/>
                <w:smallCaps w:val="0"/>
                <w:color w:val="auto"/>
                <w:spacing w:val="0"/>
                <w:kern w:val="0"/>
                <w:position w:val="0"/>
                <w:sz w:val="24"/>
                <w:lang w:val="en-US" w:eastAsia="zh-CN"/>
              </w:rPr>
              <w:t>防”</w:t>
            </w:r>
            <w:r>
              <w:rPr>
                <w:rFonts w:hint="eastAsia" w:cs="宋体"/>
                <w:caps w:val="0"/>
                <w:smallCaps w:val="0"/>
                <w:color w:val="auto"/>
                <w:spacing w:val="0"/>
                <w:kern w:val="0"/>
                <w:position w:val="0"/>
                <w:sz w:val="24"/>
                <w:lang w:val="en-US" w:eastAsia="zh-CN"/>
              </w:rPr>
              <w:t>（</w:t>
            </w:r>
            <w:r>
              <w:rPr>
                <w:rFonts w:hint="eastAsia" w:ascii="Times New Roman" w:hAnsi="Times New Roman" w:eastAsia="宋体" w:cs="宋体"/>
                <w:caps w:val="0"/>
                <w:smallCaps w:val="0"/>
                <w:color w:val="auto"/>
                <w:spacing w:val="0"/>
                <w:kern w:val="0"/>
                <w:position w:val="0"/>
                <w:sz w:val="24"/>
                <w:lang w:val="en-US" w:eastAsia="zh-CN"/>
              </w:rPr>
              <w:t>防风、防雨、防晒、防漏</w:t>
            </w:r>
            <w:r>
              <w:rPr>
                <w:rFonts w:hint="eastAsia" w:cs="宋体"/>
                <w:caps w:val="0"/>
                <w:smallCaps w:val="0"/>
                <w:color w:val="auto"/>
                <w:spacing w:val="0"/>
                <w:kern w:val="0"/>
                <w:position w:val="0"/>
                <w:sz w:val="24"/>
                <w:lang w:val="en-US" w:eastAsia="zh-CN"/>
              </w:rPr>
              <w:t>、防渗、防腐</w:t>
            </w:r>
            <w:r>
              <w:rPr>
                <w:rFonts w:hint="eastAsia" w:ascii="Times New Roman" w:hAnsi="Times New Roman" w:eastAsia="宋体" w:cs="宋体"/>
                <w:caps w:val="0"/>
                <w:smallCaps w:val="0"/>
                <w:color w:val="auto"/>
                <w:spacing w:val="0"/>
                <w:kern w:val="0"/>
                <w:position w:val="0"/>
                <w:sz w:val="24"/>
                <w:lang w:val="en-US" w:eastAsia="zh-CN"/>
              </w:rPr>
              <w:t>）控制措施，并按重点防渗的要求，地下铺设HDPE防渗膜，地面防腐并建设导流沟及渗滤液收集池，配套危险废物堆放方式、警示标识等方面内容。</w:t>
            </w:r>
          </w:p>
          <w:p w14:paraId="0A53A09A">
            <w:pPr>
              <w:numPr>
                <w:ilvl w:val="0"/>
                <w:numId w:val="0"/>
              </w:numPr>
              <w:bidi w:val="0"/>
              <w:adjustRightInd w:val="0"/>
              <w:snapToGrid w:val="0"/>
              <w:spacing w:line="480" w:lineRule="atLeast"/>
              <w:ind w:firstLine="482" w:firstLineChars="200"/>
              <w:rPr>
                <w:rFonts w:hint="default" w:ascii="Times New Roman" w:hAnsi="Times New Roman" w:eastAsia="宋体" w:cs="Times New Roman"/>
                <w:b/>
                <w:bCs/>
                <w:caps w:val="0"/>
                <w:color w:val="auto"/>
                <w:spacing w:val="0"/>
                <w:kern w:val="0"/>
                <w:sz w:val="24"/>
                <w:lang w:val="en-US" w:eastAsia="zh-CN"/>
              </w:rPr>
            </w:pPr>
            <w:r>
              <w:rPr>
                <w:rFonts w:hint="eastAsia" w:cs="Times New Roman"/>
                <w:b/>
                <w:bCs/>
                <w:caps w:val="0"/>
                <w:color w:val="auto"/>
                <w:spacing w:val="0"/>
                <w:kern w:val="0"/>
                <w:sz w:val="24"/>
                <w:lang w:val="en-US" w:eastAsia="zh-CN"/>
              </w:rPr>
              <w:t>（</w:t>
            </w:r>
            <w:r>
              <w:rPr>
                <w:rFonts w:hint="default" w:ascii="Times New Roman" w:hAnsi="Times New Roman" w:eastAsia="宋体" w:cs="Times New Roman"/>
                <w:b/>
                <w:bCs/>
                <w:caps w:val="0"/>
                <w:color w:val="auto"/>
                <w:spacing w:val="0"/>
                <w:kern w:val="0"/>
                <w:sz w:val="24"/>
                <w:lang w:val="en-US" w:eastAsia="zh-CN"/>
              </w:rPr>
              <w:t>2）危险废物</w:t>
            </w:r>
            <w:r>
              <w:rPr>
                <w:rFonts w:hint="eastAsia" w:ascii="Times New Roman" w:hAnsi="Times New Roman" w:eastAsia="宋体" w:cs="Times New Roman"/>
                <w:b/>
                <w:bCs/>
                <w:caps w:val="0"/>
                <w:color w:val="auto"/>
                <w:spacing w:val="0"/>
                <w:kern w:val="0"/>
                <w:sz w:val="24"/>
                <w:lang w:val="en-US" w:eastAsia="zh-CN"/>
              </w:rPr>
              <w:t>运输</w:t>
            </w:r>
            <w:r>
              <w:rPr>
                <w:rFonts w:hint="default" w:ascii="Times New Roman" w:hAnsi="Times New Roman" w:eastAsia="宋体" w:cs="Times New Roman"/>
                <w:b/>
                <w:bCs/>
                <w:caps w:val="0"/>
                <w:color w:val="auto"/>
                <w:spacing w:val="0"/>
                <w:kern w:val="0"/>
                <w:sz w:val="24"/>
                <w:lang w:val="en-US" w:eastAsia="zh-CN"/>
              </w:rPr>
              <w:t>污染防治措施分析</w:t>
            </w:r>
          </w:p>
          <w:p w14:paraId="36A6022C">
            <w:pPr>
              <w:keepNext w:val="0"/>
              <w:keepLines w:val="0"/>
              <w:pageBreakBefore w:val="0"/>
              <w:widowControl w:val="0"/>
              <w:numPr>
                <w:ilvl w:val="0"/>
                <w:numId w:val="8"/>
              </w:numPr>
              <w:kinsoku/>
              <w:wordWrap/>
              <w:overflowPunct/>
              <w:topLinePunct w:val="0"/>
              <w:autoSpaceDE/>
              <w:autoSpaceDN/>
              <w:bidi w:val="0"/>
              <w:adjustRightInd w:val="0"/>
              <w:snapToGrid w:val="0"/>
              <w:spacing w:line="480" w:lineRule="atLeast"/>
              <w:ind w:left="0" w:leftChars="0" w:firstLine="480" w:firstLineChars="200"/>
              <w:textAlignment w:val="auto"/>
              <w:rPr>
                <w:rFonts w:hint="default" w:ascii="Times New Roman" w:hAnsi="Times New Roman" w:eastAsia="宋体" w:cs="Times New Roman"/>
                <w:caps w:val="0"/>
                <w:color w:val="auto"/>
                <w:spacing w:val="0"/>
                <w:kern w:val="0"/>
                <w:sz w:val="24"/>
                <w:lang w:val="en-US" w:eastAsia="zh-CN"/>
              </w:rPr>
            </w:pPr>
            <w:r>
              <w:rPr>
                <w:rFonts w:hint="default" w:ascii="Times New Roman" w:hAnsi="Times New Roman" w:eastAsia="宋体" w:cs="Times New Roman"/>
                <w:caps w:val="0"/>
                <w:color w:val="auto"/>
                <w:spacing w:val="0"/>
                <w:kern w:val="0"/>
                <w:sz w:val="24"/>
                <w:lang w:val="en-US" w:eastAsia="zh-CN"/>
              </w:rPr>
              <w:t>危险废物内部转运应综合考虑厂区的实际情况确定转运路线，尽量避开办公区和生活区</w:t>
            </w:r>
            <w:r>
              <w:rPr>
                <w:rFonts w:hint="eastAsia" w:cs="Times New Roman"/>
                <w:caps w:val="0"/>
                <w:color w:val="auto"/>
                <w:spacing w:val="0"/>
                <w:kern w:val="0"/>
                <w:sz w:val="24"/>
                <w:lang w:val="en-US" w:eastAsia="zh-CN"/>
              </w:rPr>
              <w:t>；</w:t>
            </w:r>
          </w:p>
          <w:p w14:paraId="73470AAD">
            <w:pPr>
              <w:keepNext w:val="0"/>
              <w:keepLines w:val="0"/>
              <w:pageBreakBefore w:val="0"/>
              <w:widowControl w:val="0"/>
              <w:numPr>
                <w:ilvl w:val="0"/>
                <w:numId w:val="8"/>
              </w:numPr>
              <w:kinsoku/>
              <w:wordWrap/>
              <w:overflowPunct/>
              <w:topLinePunct w:val="0"/>
              <w:autoSpaceDE/>
              <w:autoSpaceDN/>
              <w:bidi w:val="0"/>
              <w:adjustRightInd w:val="0"/>
              <w:snapToGrid w:val="0"/>
              <w:spacing w:line="480" w:lineRule="atLeast"/>
              <w:ind w:left="0" w:leftChars="0" w:firstLine="480" w:firstLineChars="200"/>
              <w:textAlignment w:val="auto"/>
              <w:rPr>
                <w:rFonts w:hint="default" w:ascii="Times New Roman" w:hAnsi="Times New Roman" w:eastAsia="宋体" w:cs="Times New Roman"/>
                <w:caps w:val="0"/>
                <w:color w:val="auto"/>
                <w:spacing w:val="0"/>
                <w:kern w:val="0"/>
                <w:sz w:val="24"/>
                <w:lang w:val="en-US" w:eastAsia="zh-CN"/>
              </w:rPr>
            </w:pPr>
            <w:r>
              <w:rPr>
                <w:rFonts w:hint="default" w:ascii="Times New Roman" w:hAnsi="Times New Roman" w:eastAsia="宋体" w:cs="Times New Roman"/>
                <w:caps w:val="0"/>
                <w:color w:val="auto"/>
                <w:spacing w:val="0"/>
                <w:kern w:val="0"/>
                <w:sz w:val="24"/>
                <w:lang w:val="en-US" w:eastAsia="zh-CN"/>
              </w:rPr>
              <w:t>危险废物内部转运作业应采用专用的工具，危险废物内部转运应参照按照</w:t>
            </w:r>
            <w:r>
              <w:rPr>
                <w:rFonts w:hint="eastAsia" w:ascii="Times New Roman" w:hAnsi="Times New Roman" w:eastAsia="宋体" w:cs="Times New Roman"/>
                <w:caps w:val="0"/>
                <w:color w:val="auto"/>
                <w:spacing w:val="0"/>
                <w:kern w:val="0"/>
                <w:sz w:val="24"/>
                <w:lang w:val="en-US" w:eastAsia="zh-CN"/>
              </w:rPr>
              <w:t>《危险废物收集贮存运输技术规范》</w:t>
            </w:r>
            <w:r>
              <w:rPr>
                <w:rFonts w:hint="eastAsia" w:cs="Times New Roman"/>
                <w:caps w:val="0"/>
                <w:color w:val="auto"/>
                <w:spacing w:val="0"/>
                <w:kern w:val="0"/>
                <w:sz w:val="24"/>
                <w:lang w:val="en-US" w:eastAsia="zh-CN"/>
              </w:rPr>
              <w:t>（</w:t>
            </w:r>
            <w:r>
              <w:rPr>
                <w:rFonts w:hint="default" w:ascii="Times New Roman" w:hAnsi="Times New Roman" w:eastAsia="宋体" w:cs="Times New Roman"/>
                <w:caps w:val="0"/>
                <w:color w:val="auto"/>
                <w:spacing w:val="0"/>
                <w:kern w:val="0"/>
                <w:sz w:val="24"/>
                <w:lang w:val="en-US" w:eastAsia="zh-CN"/>
              </w:rPr>
              <w:t>HJ2025-2012</w:t>
            </w:r>
            <w:r>
              <w:rPr>
                <w:rFonts w:hint="eastAsia" w:ascii="Times New Roman" w:hAnsi="Times New Roman" w:eastAsia="宋体" w:cs="Times New Roman"/>
                <w:caps w:val="0"/>
                <w:color w:val="auto"/>
                <w:spacing w:val="0"/>
                <w:kern w:val="0"/>
                <w:sz w:val="24"/>
                <w:lang w:val="en-US" w:eastAsia="zh-CN"/>
              </w:rPr>
              <w:t>）</w:t>
            </w:r>
            <w:r>
              <w:rPr>
                <w:rFonts w:hint="default" w:ascii="Times New Roman" w:hAnsi="Times New Roman" w:eastAsia="宋体" w:cs="Times New Roman"/>
                <w:caps w:val="0"/>
                <w:color w:val="auto"/>
                <w:spacing w:val="0"/>
                <w:kern w:val="0"/>
                <w:sz w:val="24"/>
                <w:lang w:val="en-US" w:eastAsia="zh-CN"/>
              </w:rPr>
              <w:t>填写《危险废物厂内转运记录表》</w:t>
            </w:r>
            <w:r>
              <w:rPr>
                <w:rFonts w:hint="eastAsia" w:cs="Times New Roman"/>
                <w:caps w:val="0"/>
                <w:color w:val="auto"/>
                <w:spacing w:val="0"/>
                <w:kern w:val="0"/>
                <w:sz w:val="24"/>
                <w:lang w:val="en-US" w:eastAsia="zh-CN"/>
              </w:rPr>
              <w:t>；</w:t>
            </w:r>
          </w:p>
          <w:p w14:paraId="777317E9">
            <w:pPr>
              <w:keepNext w:val="0"/>
              <w:keepLines w:val="0"/>
              <w:pageBreakBefore w:val="0"/>
              <w:widowControl w:val="0"/>
              <w:numPr>
                <w:ilvl w:val="0"/>
                <w:numId w:val="8"/>
              </w:numPr>
              <w:kinsoku/>
              <w:wordWrap/>
              <w:overflowPunct/>
              <w:topLinePunct w:val="0"/>
              <w:autoSpaceDE/>
              <w:autoSpaceDN/>
              <w:bidi w:val="0"/>
              <w:adjustRightInd w:val="0"/>
              <w:snapToGrid w:val="0"/>
              <w:spacing w:line="480" w:lineRule="atLeast"/>
              <w:ind w:left="0" w:leftChars="0" w:firstLine="480" w:firstLineChars="200"/>
              <w:textAlignment w:val="auto"/>
              <w:rPr>
                <w:rFonts w:hint="default" w:ascii="Times New Roman" w:hAnsi="Times New Roman" w:eastAsia="宋体" w:cs="Times New Roman"/>
                <w:caps w:val="0"/>
                <w:color w:val="auto"/>
                <w:spacing w:val="0"/>
                <w:kern w:val="0"/>
                <w:sz w:val="24"/>
                <w:lang w:val="en-US" w:eastAsia="zh-CN"/>
              </w:rPr>
            </w:pPr>
            <w:r>
              <w:rPr>
                <w:rFonts w:hint="default" w:ascii="Times New Roman" w:hAnsi="Times New Roman" w:eastAsia="宋体" w:cs="Times New Roman"/>
                <w:caps w:val="0"/>
                <w:color w:val="auto"/>
                <w:spacing w:val="0"/>
                <w:kern w:val="0"/>
                <w:sz w:val="24"/>
                <w:lang w:val="en-US" w:eastAsia="zh-CN"/>
              </w:rPr>
              <w:t>危险废物内部转运结束后，应对转运路线进行检查和清理，确保无危险废物遗失在转运路线上，并对转运工具进行清洗。</w:t>
            </w:r>
          </w:p>
          <w:p w14:paraId="0D6E778F">
            <w:pPr>
              <w:bidi w:val="0"/>
              <w:adjustRightInd w:val="0"/>
              <w:snapToGrid w:val="0"/>
              <w:spacing w:line="480" w:lineRule="atLeast"/>
              <w:ind w:firstLine="482" w:firstLineChars="200"/>
              <w:rPr>
                <w:rFonts w:hint="default" w:ascii="Times New Roman" w:hAnsi="Times New Roman" w:eastAsia="宋体" w:cs="宋体"/>
                <w:b/>
                <w:bCs/>
                <w:color w:val="auto"/>
                <w:spacing w:val="0"/>
                <w:kern w:val="0"/>
                <w:sz w:val="24"/>
                <w:lang w:val="en-US" w:eastAsia="zh-CN"/>
              </w:rPr>
            </w:pPr>
            <w:r>
              <w:rPr>
                <w:rFonts w:hint="eastAsia" w:ascii="Times New Roman" w:hAnsi="Times New Roman" w:eastAsia="宋体" w:cs="宋体"/>
                <w:b/>
                <w:bCs/>
                <w:color w:val="auto"/>
                <w:spacing w:val="0"/>
                <w:kern w:val="0"/>
                <w:sz w:val="24"/>
                <w:lang w:val="en-US" w:eastAsia="zh-CN"/>
              </w:rPr>
              <w:t>3、生活垃圾</w:t>
            </w:r>
          </w:p>
          <w:p w14:paraId="31726582">
            <w:pPr>
              <w:bidi w:val="0"/>
              <w:adjustRightInd w:val="0"/>
              <w:snapToGrid w:val="0"/>
              <w:spacing w:line="480" w:lineRule="atLeast"/>
              <w:ind w:firstLine="480" w:firstLineChars="200"/>
              <w:rPr>
                <w:rFonts w:hint="default" w:ascii="Times New Roman" w:hAnsi="Times New Roman" w:eastAsia="宋体" w:cs="宋体"/>
                <w:color w:val="auto"/>
                <w:spacing w:val="0"/>
                <w:kern w:val="0"/>
                <w:sz w:val="24"/>
                <w:lang w:val="en-US" w:eastAsia="zh-CN"/>
              </w:rPr>
            </w:pPr>
            <w:r>
              <w:rPr>
                <w:rFonts w:hint="eastAsia" w:ascii="Times New Roman" w:hAnsi="Times New Roman" w:eastAsia="宋体" w:cs="宋体"/>
                <w:color w:val="auto"/>
                <w:spacing w:val="0"/>
                <w:kern w:val="0"/>
                <w:sz w:val="24"/>
                <w:lang w:val="en-US" w:eastAsia="zh-CN"/>
              </w:rPr>
              <w:t>项目生活垃圾收集后委托环卫部门定期清运</w:t>
            </w:r>
            <w:r>
              <w:rPr>
                <w:rFonts w:ascii="Times New Roman" w:hAnsi="Times New Roman" w:eastAsia="宋体" w:cs="宋体"/>
                <w:color w:val="auto"/>
                <w:spacing w:val="0"/>
                <w:kern w:val="0"/>
                <w:sz w:val="24"/>
                <w:lang w:val="en-US" w:eastAsia="zh-CN"/>
              </w:rPr>
              <w:t>。</w:t>
            </w:r>
          </w:p>
          <w:p w14:paraId="673D56C9">
            <w:pPr>
              <w:bidi w:val="0"/>
              <w:adjustRightInd w:val="0"/>
              <w:snapToGrid w:val="0"/>
              <w:spacing w:line="480" w:lineRule="atLeast"/>
              <w:ind w:firstLine="480" w:firstLineChars="200"/>
              <w:rPr>
                <w:rFonts w:ascii="Times New Roman" w:hAnsi="Times New Roman" w:eastAsia="宋体" w:cs="宋体"/>
                <w:color w:val="auto"/>
                <w:spacing w:val="0"/>
                <w:kern w:val="0"/>
                <w:sz w:val="24"/>
              </w:rPr>
            </w:pPr>
            <w:r>
              <w:rPr>
                <w:rFonts w:ascii="Times New Roman" w:hAnsi="Times New Roman" w:eastAsia="宋体" w:cs="宋体"/>
                <w:color w:val="auto"/>
                <w:spacing w:val="0"/>
                <w:kern w:val="0"/>
                <w:sz w:val="24"/>
              </w:rPr>
              <w:t>综上所述，拟建项目建成运行后，全厂固废均得到妥善处理处置或综合利用，不外排，对周边环境的不利影响较小。</w:t>
            </w:r>
          </w:p>
          <w:p w14:paraId="58C7F9E6">
            <w:pPr>
              <w:adjustRightInd w:val="0"/>
              <w:snapToGrid w:val="0"/>
              <w:spacing w:line="480" w:lineRule="atLeast"/>
              <w:jc w:val="left"/>
              <w:rPr>
                <w:rFonts w:hint="eastAsia" w:ascii="Times New Roman" w:hAnsi="Times New Roman" w:eastAsia="宋体" w:cs="Times New Roman"/>
                <w:color w:val="auto"/>
                <w:spacing w:val="0"/>
                <w:position w:val="0"/>
                <w:lang w:eastAsia="zh-CN"/>
              </w:rPr>
            </w:pPr>
          </w:p>
        </w:tc>
      </w:tr>
      <w:tr w14:paraId="4E86B1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326" w:hRule="atLeast"/>
          <w:jc w:val="center"/>
        </w:trPr>
        <w:tc>
          <w:tcPr>
            <w:tcW w:w="703" w:type="dxa"/>
            <w:vAlign w:val="center"/>
          </w:tcPr>
          <w:p w14:paraId="2220EBBC">
            <w:pPr>
              <w:adjustRightInd w:val="0"/>
              <w:snapToGrid w:val="0"/>
              <w:spacing w:line="440" w:lineRule="exact"/>
              <w:jc w:val="center"/>
              <w:rPr>
                <w:rFonts w:hint="default" w:ascii="Times New Roman" w:hAnsi="Times New Roman" w:cs="Times New Roman"/>
                <w:b/>
                <w:color w:val="auto"/>
                <w:spacing w:val="0"/>
                <w:position w:val="0"/>
                <w:sz w:val="24"/>
              </w:rPr>
            </w:pPr>
          </w:p>
        </w:tc>
        <w:tc>
          <w:tcPr>
            <w:tcW w:w="9258" w:type="dxa"/>
          </w:tcPr>
          <w:p w14:paraId="6400460A">
            <w:pPr>
              <w:pStyle w:val="48"/>
              <w:spacing w:line="480" w:lineRule="atLeast"/>
              <w:ind w:left="0" w:leftChars="0" w:firstLine="0" w:firstLineChars="0"/>
              <w:jc w:val="left"/>
              <w:rPr>
                <w:rFonts w:hint="default" w:ascii="Times New Roman" w:hAnsi="Times New Roman" w:cs="Times New Roman"/>
                <w:b/>
                <w:bCs/>
                <w:color w:val="auto"/>
                <w:spacing w:val="0"/>
                <w:position w:val="0"/>
              </w:rPr>
            </w:pPr>
            <w:r>
              <w:rPr>
                <w:rFonts w:hint="eastAsia" w:ascii="Times New Roman" w:hAnsi="Times New Roman" w:cs="Times New Roman"/>
                <w:b/>
                <w:bCs/>
                <w:color w:val="auto"/>
                <w:spacing w:val="0"/>
                <w:position w:val="0"/>
                <w:lang w:val="en-US" w:eastAsia="zh-CN"/>
              </w:rPr>
              <w:t>4.5</w:t>
            </w:r>
            <w:r>
              <w:rPr>
                <w:rFonts w:hint="default" w:ascii="Times New Roman" w:hAnsi="Times New Roman" w:cs="Times New Roman"/>
                <w:b/>
                <w:bCs/>
                <w:color w:val="auto"/>
                <w:spacing w:val="0"/>
                <w:position w:val="0"/>
              </w:rPr>
              <w:t>地下水及土壤</w:t>
            </w:r>
          </w:p>
          <w:p w14:paraId="798BD70E">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针对可能发生的地下水及土壤污染，本项目污染防治措施将按照</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源头控制、分区防治、污染监控、应急响应</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相结合的原则，从污染物产生、入渗、扩散、应急响应全方位进行防控。</w:t>
            </w:r>
          </w:p>
          <w:p w14:paraId="04C623BC">
            <w:pPr>
              <w:pStyle w:val="48"/>
              <w:spacing w:line="480" w:lineRule="atLeast"/>
              <w:ind w:firstLineChars="200"/>
              <w:jc w:val="left"/>
              <w:rPr>
                <w:rFonts w:hint="default" w:ascii="Times New Roman" w:hAnsi="Times New Roman" w:cs="Times New Roman"/>
                <w:color w:val="auto"/>
                <w:spacing w:val="0"/>
                <w:position w:val="0"/>
              </w:rPr>
            </w:pPr>
            <w:r>
              <w:rPr>
                <w:rFonts w:hint="eastAsia" w:ascii="Times New Roman" w:hAnsi="Times New Roman" w:cs="Times New Roman"/>
                <w:b/>
                <w:bCs/>
                <w:color w:val="auto"/>
                <w:spacing w:val="0"/>
                <w:position w:val="0"/>
                <w:lang w:eastAsia="zh-CN"/>
              </w:rPr>
              <w:t>（</w:t>
            </w:r>
            <w:r>
              <w:rPr>
                <w:rFonts w:hint="default" w:ascii="Times New Roman" w:hAnsi="Times New Roman" w:cs="Times New Roman"/>
                <w:b/>
                <w:bCs/>
                <w:color w:val="auto"/>
                <w:spacing w:val="0"/>
                <w:position w:val="0"/>
              </w:rPr>
              <w:t>一）源头控制措施</w:t>
            </w:r>
          </w:p>
          <w:p w14:paraId="40558949">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本项目将对可能产生地下水和土壤污染的源头进行合理的回用和治理，以尽可能从源头上减少污染物排放</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严格按照国家相关规范要求，对工艺、管道、设备等储存构筑物采用相应的措施，以防止和降低污染物跑、冒、滴、漏，将污染物泄漏的环境风险事故降低到最低程度</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管线敷设尽量采用</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可视化</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原则，即管道尽可能地上敷设，做到污染物</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早发现、早处理</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，以减少由于埋地管道泄漏而可能造成的地下水污染，废水管道均沿地上的管廊敷设，只有生活污水、雨水等走地下管道。</w:t>
            </w:r>
          </w:p>
          <w:p w14:paraId="2C8092E2">
            <w:pPr>
              <w:pStyle w:val="48"/>
              <w:spacing w:line="480" w:lineRule="atLeast"/>
              <w:ind w:firstLineChars="200"/>
              <w:jc w:val="left"/>
              <w:rPr>
                <w:rFonts w:hint="default" w:ascii="Times New Roman" w:hAnsi="Times New Roman" w:cs="Times New Roman"/>
                <w:b/>
                <w:bCs/>
                <w:color w:val="auto"/>
                <w:spacing w:val="0"/>
                <w:position w:val="0"/>
              </w:rPr>
            </w:pPr>
            <w:r>
              <w:rPr>
                <w:rFonts w:hint="eastAsia" w:ascii="Times New Roman" w:hAnsi="Times New Roman" w:cs="Times New Roman"/>
                <w:b/>
                <w:bCs/>
                <w:color w:val="auto"/>
                <w:spacing w:val="0"/>
                <w:position w:val="0"/>
                <w:lang w:eastAsia="zh-CN"/>
              </w:rPr>
              <w:t>（</w:t>
            </w:r>
            <w:r>
              <w:rPr>
                <w:rFonts w:hint="default" w:ascii="Times New Roman" w:hAnsi="Times New Roman" w:cs="Times New Roman"/>
                <w:b/>
                <w:bCs/>
                <w:color w:val="auto"/>
                <w:spacing w:val="0"/>
                <w:position w:val="0"/>
              </w:rPr>
              <w:t>二）分区控制措施</w:t>
            </w:r>
          </w:p>
          <w:p w14:paraId="5B8FA804">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根据《环境影响评价技术导则</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地下水环境） HJ610-2016》的防渗区要求如下：</w:t>
            </w:r>
          </w:p>
          <w:p w14:paraId="312D78F8">
            <w:pPr>
              <w:pStyle w:val="48"/>
              <w:spacing w:line="480" w:lineRule="atLeast"/>
              <w:ind w:firstLine="0"/>
              <w:jc w:val="center"/>
              <w:rPr>
                <w:rFonts w:hint="default" w:ascii="Times New Roman" w:hAnsi="Times New Roman" w:cs="Times New Roman"/>
                <w:color w:val="auto"/>
                <w:spacing w:val="0"/>
                <w:position w:val="0"/>
              </w:rPr>
            </w:pPr>
            <w:r>
              <w:rPr>
                <w:rFonts w:hint="default" w:ascii="Times New Roman" w:hAnsi="Times New Roman" w:cs="Times New Roman"/>
                <w:b/>
                <w:bCs/>
                <w:color w:val="auto"/>
                <w:spacing w:val="0"/>
                <w:position w:val="0"/>
                <w:sz w:val="21"/>
                <w:szCs w:val="21"/>
              </w:rPr>
              <w:t>表4-</w:t>
            </w:r>
            <w:r>
              <w:rPr>
                <w:rFonts w:hint="eastAsia" w:ascii="Times New Roman" w:hAnsi="Times New Roman" w:cs="Times New Roman"/>
                <w:b/>
                <w:bCs/>
                <w:color w:val="auto"/>
                <w:spacing w:val="0"/>
                <w:position w:val="0"/>
                <w:sz w:val="21"/>
                <w:szCs w:val="21"/>
                <w:lang w:val="en-US" w:eastAsia="zh-CN"/>
              </w:rPr>
              <w:t>35</w:t>
            </w:r>
            <w:r>
              <w:rPr>
                <w:rFonts w:hint="default" w:ascii="Times New Roman" w:hAnsi="Times New Roman" w:cs="Times New Roman"/>
                <w:b/>
                <w:bCs/>
                <w:color w:val="auto"/>
                <w:spacing w:val="0"/>
                <w:position w:val="0"/>
                <w:sz w:val="21"/>
                <w:szCs w:val="21"/>
              </w:rPr>
              <w:t xml:space="preserve">  地下水污染防渗分区参照表</w:t>
            </w:r>
          </w:p>
          <w:tbl>
            <w:tblPr>
              <w:tblStyle w:val="69"/>
              <w:tblW w:w="9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65"/>
              <w:gridCol w:w="1236"/>
              <w:gridCol w:w="1092"/>
              <w:gridCol w:w="1538"/>
              <w:gridCol w:w="3967"/>
            </w:tblGrid>
            <w:tr w14:paraId="57E4B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695" w:type="pct"/>
                  <w:tcBorders>
                    <w:tl2br w:val="nil"/>
                    <w:tr2bl w:val="nil"/>
                  </w:tcBorders>
                  <w:vAlign w:val="center"/>
                </w:tcPr>
                <w:p w14:paraId="3886A1EE">
                  <w:pPr>
                    <w:jc w:val="center"/>
                    <w:textAlignment w:val="baseline"/>
                    <w:rPr>
                      <w:rFonts w:hint="default" w:ascii="Times New Roman" w:hAnsi="Times New Roman" w:cs="Times New Roman"/>
                      <w:b/>
                      <w:bCs/>
                      <w:color w:val="auto"/>
                      <w:spacing w:val="0"/>
                      <w:kern w:val="0"/>
                      <w:position w:val="0"/>
                      <w:szCs w:val="21"/>
                    </w:rPr>
                  </w:pPr>
                  <w:r>
                    <w:rPr>
                      <w:rFonts w:hint="default" w:ascii="Times New Roman" w:hAnsi="Times New Roman" w:cs="Times New Roman"/>
                      <w:b/>
                      <w:bCs/>
                      <w:color w:val="auto"/>
                      <w:spacing w:val="0"/>
                      <w:kern w:val="0"/>
                      <w:position w:val="0"/>
                      <w:szCs w:val="21"/>
                    </w:rPr>
                    <w:t>防渗分区</w:t>
                  </w:r>
                </w:p>
              </w:tc>
              <w:tc>
                <w:tcPr>
                  <w:tcW w:w="679" w:type="pct"/>
                  <w:tcBorders>
                    <w:tl2br w:val="nil"/>
                    <w:tr2bl w:val="nil"/>
                  </w:tcBorders>
                  <w:vAlign w:val="center"/>
                </w:tcPr>
                <w:p w14:paraId="1FFEE727">
                  <w:pPr>
                    <w:jc w:val="center"/>
                    <w:textAlignment w:val="baseline"/>
                    <w:rPr>
                      <w:rFonts w:hint="default" w:ascii="Times New Roman" w:hAnsi="Times New Roman" w:cs="Times New Roman"/>
                      <w:b/>
                      <w:bCs/>
                      <w:color w:val="auto"/>
                      <w:spacing w:val="0"/>
                      <w:kern w:val="0"/>
                      <w:position w:val="0"/>
                      <w:szCs w:val="21"/>
                    </w:rPr>
                  </w:pPr>
                  <w:r>
                    <w:rPr>
                      <w:rFonts w:hint="default" w:ascii="Times New Roman" w:hAnsi="Times New Roman" w:cs="Times New Roman"/>
                      <w:b/>
                      <w:bCs/>
                      <w:color w:val="auto"/>
                      <w:spacing w:val="0"/>
                      <w:kern w:val="0"/>
                      <w:position w:val="0"/>
                      <w:szCs w:val="21"/>
                    </w:rPr>
                    <w:t>天然包气带 防污性能</w:t>
                  </w:r>
                </w:p>
              </w:tc>
              <w:tc>
                <w:tcPr>
                  <w:tcW w:w="600" w:type="pct"/>
                  <w:tcBorders>
                    <w:tl2br w:val="nil"/>
                    <w:tr2bl w:val="nil"/>
                  </w:tcBorders>
                  <w:vAlign w:val="center"/>
                </w:tcPr>
                <w:p w14:paraId="10F685C8">
                  <w:pPr>
                    <w:jc w:val="center"/>
                    <w:textAlignment w:val="baseline"/>
                    <w:rPr>
                      <w:rFonts w:hint="default" w:ascii="Times New Roman" w:hAnsi="Times New Roman" w:cs="Times New Roman"/>
                      <w:b/>
                      <w:bCs/>
                      <w:color w:val="auto"/>
                      <w:spacing w:val="0"/>
                      <w:kern w:val="0"/>
                      <w:position w:val="0"/>
                      <w:szCs w:val="21"/>
                    </w:rPr>
                  </w:pPr>
                  <w:r>
                    <w:rPr>
                      <w:rFonts w:hint="default" w:ascii="Times New Roman" w:hAnsi="Times New Roman" w:cs="Times New Roman"/>
                      <w:b/>
                      <w:bCs/>
                      <w:color w:val="auto"/>
                      <w:spacing w:val="0"/>
                      <w:kern w:val="0"/>
                      <w:position w:val="0"/>
                      <w:szCs w:val="21"/>
                    </w:rPr>
                    <w:t>污染控制 难易程度</w:t>
                  </w:r>
                </w:p>
              </w:tc>
              <w:tc>
                <w:tcPr>
                  <w:tcW w:w="845" w:type="pct"/>
                  <w:tcBorders>
                    <w:tl2br w:val="nil"/>
                    <w:tr2bl w:val="nil"/>
                  </w:tcBorders>
                  <w:vAlign w:val="center"/>
                </w:tcPr>
                <w:p w14:paraId="5C770F7D">
                  <w:pPr>
                    <w:jc w:val="center"/>
                    <w:textAlignment w:val="baseline"/>
                    <w:rPr>
                      <w:rFonts w:hint="default" w:ascii="Times New Roman" w:hAnsi="Times New Roman" w:cs="Times New Roman"/>
                      <w:b/>
                      <w:bCs/>
                      <w:color w:val="auto"/>
                      <w:spacing w:val="0"/>
                      <w:kern w:val="0"/>
                      <w:position w:val="0"/>
                      <w:szCs w:val="21"/>
                    </w:rPr>
                  </w:pPr>
                  <w:r>
                    <w:rPr>
                      <w:rFonts w:hint="default" w:ascii="Times New Roman" w:hAnsi="Times New Roman" w:cs="Times New Roman"/>
                      <w:b/>
                      <w:bCs/>
                      <w:color w:val="auto"/>
                      <w:spacing w:val="0"/>
                      <w:kern w:val="0"/>
                      <w:position w:val="0"/>
                      <w:szCs w:val="21"/>
                    </w:rPr>
                    <w:t>污染物类型</w:t>
                  </w:r>
                </w:p>
              </w:tc>
              <w:tc>
                <w:tcPr>
                  <w:tcW w:w="2179" w:type="pct"/>
                  <w:tcBorders>
                    <w:tl2br w:val="nil"/>
                    <w:tr2bl w:val="nil"/>
                  </w:tcBorders>
                  <w:vAlign w:val="center"/>
                </w:tcPr>
                <w:p w14:paraId="5E9A1356">
                  <w:pPr>
                    <w:jc w:val="center"/>
                    <w:textAlignment w:val="baseline"/>
                    <w:rPr>
                      <w:rFonts w:hint="default" w:ascii="Times New Roman" w:hAnsi="Times New Roman" w:cs="Times New Roman"/>
                      <w:b/>
                      <w:bCs/>
                      <w:color w:val="auto"/>
                      <w:spacing w:val="0"/>
                      <w:kern w:val="0"/>
                      <w:position w:val="0"/>
                      <w:szCs w:val="21"/>
                    </w:rPr>
                  </w:pPr>
                  <w:r>
                    <w:rPr>
                      <w:rFonts w:hint="default" w:ascii="Times New Roman" w:hAnsi="Times New Roman" w:cs="Times New Roman"/>
                      <w:b/>
                      <w:bCs/>
                      <w:color w:val="auto"/>
                      <w:spacing w:val="0"/>
                      <w:kern w:val="0"/>
                      <w:position w:val="0"/>
                      <w:szCs w:val="21"/>
                    </w:rPr>
                    <w:t>防渗技术要求</w:t>
                  </w:r>
                </w:p>
              </w:tc>
            </w:tr>
            <w:tr w14:paraId="6A2E9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695" w:type="pct"/>
                  <w:vMerge w:val="restart"/>
                  <w:tcBorders>
                    <w:tl2br w:val="nil"/>
                    <w:tr2bl w:val="nil"/>
                  </w:tcBorders>
                  <w:vAlign w:val="center"/>
                </w:tcPr>
                <w:p w14:paraId="7D517EF0">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重点防渗区</w:t>
                  </w:r>
                </w:p>
              </w:tc>
              <w:tc>
                <w:tcPr>
                  <w:tcW w:w="679" w:type="pct"/>
                  <w:tcBorders>
                    <w:tl2br w:val="nil"/>
                    <w:tr2bl w:val="nil"/>
                  </w:tcBorders>
                  <w:vAlign w:val="center"/>
                </w:tcPr>
                <w:p w14:paraId="3A7FC2DC">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弱</w:t>
                  </w:r>
                </w:p>
              </w:tc>
              <w:tc>
                <w:tcPr>
                  <w:tcW w:w="600" w:type="pct"/>
                  <w:tcBorders>
                    <w:tl2br w:val="nil"/>
                    <w:tr2bl w:val="nil"/>
                  </w:tcBorders>
                  <w:vAlign w:val="center"/>
                </w:tcPr>
                <w:p w14:paraId="52634D8F">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难</w:t>
                  </w:r>
                </w:p>
              </w:tc>
              <w:tc>
                <w:tcPr>
                  <w:tcW w:w="845" w:type="pct"/>
                  <w:vMerge w:val="restart"/>
                  <w:tcBorders>
                    <w:tl2br w:val="nil"/>
                    <w:tr2bl w:val="nil"/>
                  </w:tcBorders>
                  <w:vAlign w:val="center"/>
                </w:tcPr>
                <w:p w14:paraId="46A34668">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重金属、持久性 有机物污染物</w:t>
                  </w:r>
                </w:p>
              </w:tc>
              <w:tc>
                <w:tcPr>
                  <w:tcW w:w="2179" w:type="pct"/>
                  <w:vMerge w:val="restart"/>
                  <w:tcBorders>
                    <w:tl2br w:val="nil"/>
                    <w:tr2bl w:val="nil"/>
                  </w:tcBorders>
                  <w:vAlign w:val="center"/>
                </w:tcPr>
                <w:p w14:paraId="00D0ED5C">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等效黏土防渗层Mb≥6.0m，K≤10-7cm/s</w:t>
                  </w:r>
                  <w:r>
                    <w:rPr>
                      <w:rFonts w:hint="eastAsia" w:cs="Times New Roman"/>
                      <w:color w:val="auto"/>
                      <w:spacing w:val="0"/>
                      <w:kern w:val="0"/>
                      <w:position w:val="0"/>
                      <w:szCs w:val="21"/>
                      <w:lang w:eastAsia="zh-CN"/>
                    </w:rPr>
                    <w:t>；</w:t>
                  </w:r>
                  <w:r>
                    <w:rPr>
                      <w:rFonts w:hint="default" w:ascii="Times New Roman" w:hAnsi="Times New Roman" w:cs="Times New Roman"/>
                      <w:color w:val="auto"/>
                      <w:spacing w:val="0"/>
                      <w:kern w:val="0"/>
                      <w:position w:val="0"/>
                      <w:szCs w:val="21"/>
                    </w:rPr>
                    <w:t>或参照GB18598执行</w:t>
                  </w:r>
                </w:p>
              </w:tc>
            </w:tr>
            <w:tr w14:paraId="2EF2F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695" w:type="pct"/>
                  <w:vMerge w:val="continue"/>
                  <w:tcBorders>
                    <w:tl2br w:val="nil"/>
                    <w:tr2bl w:val="nil"/>
                  </w:tcBorders>
                  <w:vAlign w:val="center"/>
                </w:tcPr>
                <w:p w14:paraId="17D4CEC2">
                  <w:pPr>
                    <w:jc w:val="center"/>
                    <w:textAlignment w:val="baseline"/>
                    <w:rPr>
                      <w:rFonts w:hint="default" w:ascii="Times New Roman" w:hAnsi="Times New Roman" w:cs="Times New Roman"/>
                      <w:color w:val="auto"/>
                      <w:spacing w:val="0"/>
                      <w:kern w:val="0"/>
                      <w:position w:val="0"/>
                      <w:szCs w:val="21"/>
                    </w:rPr>
                  </w:pPr>
                </w:p>
              </w:tc>
              <w:tc>
                <w:tcPr>
                  <w:tcW w:w="679" w:type="pct"/>
                  <w:tcBorders>
                    <w:tl2br w:val="nil"/>
                    <w:tr2bl w:val="nil"/>
                  </w:tcBorders>
                  <w:vAlign w:val="center"/>
                </w:tcPr>
                <w:p w14:paraId="5A0C9DC0">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中-强</w:t>
                  </w:r>
                </w:p>
              </w:tc>
              <w:tc>
                <w:tcPr>
                  <w:tcW w:w="600" w:type="pct"/>
                  <w:tcBorders>
                    <w:tl2br w:val="nil"/>
                    <w:tr2bl w:val="nil"/>
                  </w:tcBorders>
                  <w:vAlign w:val="center"/>
                </w:tcPr>
                <w:p w14:paraId="310CAE36">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难</w:t>
                  </w:r>
                </w:p>
              </w:tc>
              <w:tc>
                <w:tcPr>
                  <w:tcW w:w="845" w:type="pct"/>
                  <w:vMerge w:val="continue"/>
                  <w:tcBorders>
                    <w:tl2br w:val="nil"/>
                    <w:tr2bl w:val="nil"/>
                  </w:tcBorders>
                  <w:vAlign w:val="center"/>
                </w:tcPr>
                <w:p w14:paraId="4E8410D4">
                  <w:pPr>
                    <w:jc w:val="center"/>
                    <w:textAlignment w:val="baseline"/>
                    <w:rPr>
                      <w:rFonts w:hint="default" w:ascii="Times New Roman" w:hAnsi="Times New Roman" w:cs="Times New Roman"/>
                      <w:color w:val="auto"/>
                      <w:spacing w:val="0"/>
                      <w:kern w:val="0"/>
                      <w:position w:val="0"/>
                      <w:szCs w:val="21"/>
                    </w:rPr>
                  </w:pPr>
                </w:p>
              </w:tc>
              <w:tc>
                <w:tcPr>
                  <w:tcW w:w="2179" w:type="pct"/>
                  <w:vMerge w:val="continue"/>
                  <w:tcBorders>
                    <w:tl2br w:val="nil"/>
                    <w:tr2bl w:val="nil"/>
                  </w:tcBorders>
                  <w:vAlign w:val="center"/>
                </w:tcPr>
                <w:p w14:paraId="3B866C3C">
                  <w:pPr>
                    <w:pStyle w:val="48"/>
                    <w:jc w:val="left"/>
                    <w:rPr>
                      <w:rFonts w:hint="default" w:ascii="Times New Roman" w:hAnsi="Times New Roman" w:cs="Times New Roman"/>
                      <w:color w:val="auto"/>
                      <w:spacing w:val="0"/>
                      <w:position w:val="0"/>
                    </w:rPr>
                  </w:pPr>
                </w:p>
              </w:tc>
            </w:tr>
            <w:tr w14:paraId="75883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695" w:type="pct"/>
                  <w:vMerge w:val="continue"/>
                  <w:tcBorders>
                    <w:tl2br w:val="nil"/>
                    <w:tr2bl w:val="nil"/>
                  </w:tcBorders>
                  <w:vAlign w:val="center"/>
                </w:tcPr>
                <w:p w14:paraId="3AFDCBA7">
                  <w:pPr>
                    <w:jc w:val="center"/>
                    <w:textAlignment w:val="baseline"/>
                    <w:rPr>
                      <w:rFonts w:hint="default" w:ascii="Times New Roman" w:hAnsi="Times New Roman" w:cs="Times New Roman"/>
                      <w:color w:val="auto"/>
                      <w:spacing w:val="0"/>
                      <w:kern w:val="0"/>
                      <w:position w:val="0"/>
                      <w:szCs w:val="21"/>
                    </w:rPr>
                  </w:pPr>
                </w:p>
              </w:tc>
              <w:tc>
                <w:tcPr>
                  <w:tcW w:w="679" w:type="pct"/>
                  <w:tcBorders>
                    <w:tl2br w:val="nil"/>
                    <w:tr2bl w:val="nil"/>
                  </w:tcBorders>
                  <w:vAlign w:val="center"/>
                </w:tcPr>
                <w:p w14:paraId="357A86C8">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强</w:t>
                  </w:r>
                </w:p>
              </w:tc>
              <w:tc>
                <w:tcPr>
                  <w:tcW w:w="600" w:type="pct"/>
                  <w:tcBorders>
                    <w:tl2br w:val="nil"/>
                    <w:tr2bl w:val="nil"/>
                  </w:tcBorders>
                  <w:vAlign w:val="center"/>
                </w:tcPr>
                <w:p w14:paraId="38917A94">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易</w:t>
                  </w:r>
                </w:p>
              </w:tc>
              <w:tc>
                <w:tcPr>
                  <w:tcW w:w="845" w:type="pct"/>
                  <w:vMerge w:val="continue"/>
                  <w:tcBorders>
                    <w:tl2br w:val="nil"/>
                    <w:tr2bl w:val="nil"/>
                  </w:tcBorders>
                  <w:vAlign w:val="center"/>
                </w:tcPr>
                <w:p w14:paraId="40184407">
                  <w:pPr>
                    <w:jc w:val="center"/>
                    <w:textAlignment w:val="baseline"/>
                    <w:rPr>
                      <w:rFonts w:hint="default" w:ascii="Times New Roman" w:hAnsi="Times New Roman" w:cs="Times New Roman"/>
                      <w:color w:val="auto"/>
                      <w:spacing w:val="0"/>
                      <w:kern w:val="0"/>
                      <w:position w:val="0"/>
                      <w:szCs w:val="21"/>
                    </w:rPr>
                  </w:pPr>
                </w:p>
              </w:tc>
              <w:tc>
                <w:tcPr>
                  <w:tcW w:w="2179" w:type="pct"/>
                  <w:vMerge w:val="continue"/>
                  <w:tcBorders>
                    <w:tl2br w:val="nil"/>
                    <w:tr2bl w:val="nil"/>
                  </w:tcBorders>
                  <w:vAlign w:val="center"/>
                </w:tcPr>
                <w:p w14:paraId="7DF68639">
                  <w:pPr>
                    <w:pStyle w:val="48"/>
                    <w:jc w:val="left"/>
                    <w:rPr>
                      <w:rFonts w:hint="default" w:ascii="Times New Roman" w:hAnsi="Times New Roman" w:cs="Times New Roman"/>
                      <w:color w:val="auto"/>
                      <w:spacing w:val="0"/>
                      <w:position w:val="0"/>
                    </w:rPr>
                  </w:pPr>
                </w:p>
              </w:tc>
            </w:tr>
            <w:tr w14:paraId="1B5D7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695" w:type="pct"/>
                  <w:vMerge w:val="restart"/>
                  <w:tcBorders>
                    <w:tl2br w:val="nil"/>
                    <w:tr2bl w:val="nil"/>
                  </w:tcBorders>
                  <w:vAlign w:val="center"/>
                </w:tcPr>
                <w:p w14:paraId="058ED94F">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一般防渗区</w:t>
                  </w:r>
                </w:p>
              </w:tc>
              <w:tc>
                <w:tcPr>
                  <w:tcW w:w="679" w:type="pct"/>
                  <w:tcBorders>
                    <w:tl2br w:val="nil"/>
                    <w:tr2bl w:val="nil"/>
                  </w:tcBorders>
                  <w:vAlign w:val="center"/>
                </w:tcPr>
                <w:p w14:paraId="543368EA">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弱</w:t>
                  </w:r>
                </w:p>
              </w:tc>
              <w:tc>
                <w:tcPr>
                  <w:tcW w:w="600" w:type="pct"/>
                  <w:tcBorders>
                    <w:tl2br w:val="nil"/>
                    <w:tr2bl w:val="nil"/>
                  </w:tcBorders>
                  <w:vAlign w:val="center"/>
                </w:tcPr>
                <w:p w14:paraId="534CC235">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易-难</w:t>
                  </w:r>
                </w:p>
              </w:tc>
              <w:tc>
                <w:tcPr>
                  <w:tcW w:w="845" w:type="pct"/>
                  <w:vMerge w:val="restart"/>
                  <w:tcBorders>
                    <w:tl2br w:val="nil"/>
                    <w:tr2bl w:val="nil"/>
                  </w:tcBorders>
                  <w:vAlign w:val="center"/>
                </w:tcPr>
                <w:p w14:paraId="42C345FE">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其他类型</w:t>
                  </w:r>
                </w:p>
              </w:tc>
              <w:tc>
                <w:tcPr>
                  <w:tcW w:w="2179" w:type="pct"/>
                  <w:vMerge w:val="restart"/>
                  <w:tcBorders>
                    <w:tl2br w:val="nil"/>
                    <w:tr2bl w:val="nil"/>
                  </w:tcBorders>
                  <w:vAlign w:val="center"/>
                </w:tcPr>
                <w:p w14:paraId="5860F9D6">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等效黏土防渗层 Mb≥1.5m，K≤10-7cm/s</w:t>
                  </w:r>
                  <w:r>
                    <w:rPr>
                      <w:rFonts w:hint="eastAsia" w:cs="Times New Roman"/>
                      <w:color w:val="auto"/>
                      <w:spacing w:val="0"/>
                      <w:kern w:val="0"/>
                      <w:position w:val="0"/>
                      <w:szCs w:val="21"/>
                      <w:lang w:eastAsia="zh-CN"/>
                    </w:rPr>
                    <w:t>；</w:t>
                  </w:r>
                  <w:r>
                    <w:rPr>
                      <w:rFonts w:hint="default" w:ascii="Times New Roman" w:hAnsi="Times New Roman" w:cs="Times New Roman"/>
                      <w:color w:val="auto"/>
                      <w:spacing w:val="0"/>
                      <w:kern w:val="0"/>
                      <w:position w:val="0"/>
                      <w:szCs w:val="21"/>
                    </w:rPr>
                    <w:t>或参照GB16889执行</w:t>
                  </w:r>
                </w:p>
              </w:tc>
            </w:tr>
            <w:tr w14:paraId="306AF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695" w:type="pct"/>
                  <w:vMerge w:val="continue"/>
                  <w:tcBorders>
                    <w:tl2br w:val="nil"/>
                    <w:tr2bl w:val="nil"/>
                  </w:tcBorders>
                  <w:vAlign w:val="center"/>
                </w:tcPr>
                <w:p w14:paraId="6C541780">
                  <w:pPr>
                    <w:pStyle w:val="48"/>
                    <w:jc w:val="left"/>
                    <w:rPr>
                      <w:rFonts w:hint="default" w:ascii="Times New Roman" w:hAnsi="Times New Roman" w:cs="Times New Roman"/>
                      <w:color w:val="auto"/>
                      <w:spacing w:val="0"/>
                      <w:position w:val="0"/>
                    </w:rPr>
                  </w:pPr>
                </w:p>
              </w:tc>
              <w:tc>
                <w:tcPr>
                  <w:tcW w:w="679" w:type="pct"/>
                  <w:tcBorders>
                    <w:tl2br w:val="nil"/>
                    <w:tr2bl w:val="nil"/>
                  </w:tcBorders>
                  <w:vAlign w:val="center"/>
                </w:tcPr>
                <w:p w14:paraId="711677B8">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中-强</w:t>
                  </w:r>
                </w:p>
              </w:tc>
              <w:tc>
                <w:tcPr>
                  <w:tcW w:w="600" w:type="pct"/>
                  <w:tcBorders>
                    <w:tl2br w:val="nil"/>
                    <w:tr2bl w:val="nil"/>
                  </w:tcBorders>
                  <w:vAlign w:val="center"/>
                </w:tcPr>
                <w:p w14:paraId="05FBAF2E">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难</w:t>
                  </w:r>
                </w:p>
              </w:tc>
              <w:tc>
                <w:tcPr>
                  <w:tcW w:w="845" w:type="pct"/>
                  <w:vMerge w:val="continue"/>
                  <w:tcBorders>
                    <w:tl2br w:val="nil"/>
                    <w:tr2bl w:val="nil"/>
                  </w:tcBorders>
                  <w:vAlign w:val="center"/>
                </w:tcPr>
                <w:p w14:paraId="237C2964">
                  <w:pPr>
                    <w:jc w:val="center"/>
                    <w:textAlignment w:val="baseline"/>
                    <w:rPr>
                      <w:rFonts w:hint="default" w:ascii="Times New Roman" w:hAnsi="Times New Roman" w:cs="Times New Roman"/>
                      <w:color w:val="auto"/>
                      <w:spacing w:val="0"/>
                      <w:kern w:val="0"/>
                      <w:position w:val="0"/>
                      <w:szCs w:val="21"/>
                    </w:rPr>
                  </w:pPr>
                </w:p>
              </w:tc>
              <w:tc>
                <w:tcPr>
                  <w:tcW w:w="2179" w:type="pct"/>
                  <w:vMerge w:val="continue"/>
                  <w:tcBorders>
                    <w:tl2br w:val="nil"/>
                    <w:tr2bl w:val="nil"/>
                  </w:tcBorders>
                  <w:vAlign w:val="center"/>
                </w:tcPr>
                <w:p w14:paraId="6D4CA536">
                  <w:pPr>
                    <w:jc w:val="center"/>
                    <w:textAlignment w:val="baseline"/>
                    <w:rPr>
                      <w:rFonts w:hint="default" w:ascii="Times New Roman" w:hAnsi="Times New Roman" w:cs="Times New Roman"/>
                      <w:color w:val="auto"/>
                      <w:spacing w:val="0"/>
                      <w:kern w:val="0"/>
                      <w:position w:val="0"/>
                      <w:szCs w:val="21"/>
                    </w:rPr>
                  </w:pPr>
                </w:p>
              </w:tc>
            </w:tr>
            <w:tr w14:paraId="45398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695" w:type="pct"/>
                  <w:vMerge w:val="continue"/>
                  <w:tcBorders>
                    <w:tl2br w:val="nil"/>
                    <w:tr2bl w:val="nil"/>
                  </w:tcBorders>
                  <w:vAlign w:val="center"/>
                </w:tcPr>
                <w:p w14:paraId="12C00EC0">
                  <w:pPr>
                    <w:pStyle w:val="48"/>
                    <w:jc w:val="left"/>
                    <w:rPr>
                      <w:rFonts w:hint="default" w:ascii="Times New Roman" w:hAnsi="Times New Roman" w:cs="Times New Roman"/>
                      <w:color w:val="auto"/>
                      <w:spacing w:val="0"/>
                      <w:position w:val="0"/>
                    </w:rPr>
                  </w:pPr>
                </w:p>
              </w:tc>
              <w:tc>
                <w:tcPr>
                  <w:tcW w:w="679" w:type="pct"/>
                  <w:tcBorders>
                    <w:tl2br w:val="nil"/>
                    <w:tr2bl w:val="nil"/>
                  </w:tcBorders>
                  <w:vAlign w:val="center"/>
                </w:tcPr>
                <w:p w14:paraId="6D028FE6">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中</w:t>
                  </w:r>
                </w:p>
              </w:tc>
              <w:tc>
                <w:tcPr>
                  <w:tcW w:w="600" w:type="pct"/>
                  <w:tcBorders>
                    <w:tl2br w:val="nil"/>
                    <w:tr2bl w:val="nil"/>
                  </w:tcBorders>
                  <w:vAlign w:val="center"/>
                </w:tcPr>
                <w:p w14:paraId="16575495">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易</w:t>
                  </w:r>
                </w:p>
              </w:tc>
              <w:tc>
                <w:tcPr>
                  <w:tcW w:w="845" w:type="pct"/>
                  <w:tcBorders>
                    <w:tl2br w:val="nil"/>
                    <w:tr2bl w:val="nil"/>
                  </w:tcBorders>
                  <w:vAlign w:val="center"/>
                </w:tcPr>
                <w:p w14:paraId="2F548C81">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重金属、持久性</w:t>
                  </w:r>
                </w:p>
              </w:tc>
              <w:tc>
                <w:tcPr>
                  <w:tcW w:w="2179" w:type="pct"/>
                  <w:vMerge w:val="continue"/>
                  <w:tcBorders>
                    <w:tl2br w:val="nil"/>
                    <w:tr2bl w:val="nil"/>
                  </w:tcBorders>
                  <w:vAlign w:val="center"/>
                </w:tcPr>
                <w:p w14:paraId="599F096D">
                  <w:pPr>
                    <w:pStyle w:val="48"/>
                    <w:jc w:val="left"/>
                    <w:rPr>
                      <w:rFonts w:hint="default" w:ascii="Times New Roman" w:hAnsi="Times New Roman" w:cs="Times New Roman"/>
                      <w:color w:val="auto"/>
                      <w:spacing w:val="0"/>
                      <w:position w:val="0"/>
                    </w:rPr>
                  </w:pPr>
                </w:p>
              </w:tc>
            </w:tr>
            <w:tr w14:paraId="7A3F1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695" w:type="pct"/>
                  <w:vMerge w:val="continue"/>
                  <w:tcBorders>
                    <w:tl2br w:val="nil"/>
                    <w:tr2bl w:val="nil"/>
                  </w:tcBorders>
                  <w:vAlign w:val="center"/>
                </w:tcPr>
                <w:p w14:paraId="4C39D00F">
                  <w:pPr>
                    <w:pStyle w:val="48"/>
                    <w:jc w:val="left"/>
                    <w:rPr>
                      <w:rFonts w:hint="default" w:ascii="Times New Roman" w:hAnsi="Times New Roman" w:cs="Times New Roman"/>
                      <w:color w:val="auto"/>
                      <w:spacing w:val="0"/>
                      <w:position w:val="0"/>
                    </w:rPr>
                  </w:pPr>
                </w:p>
              </w:tc>
              <w:tc>
                <w:tcPr>
                  <w:tcW w:w="679" w:type="pct"/>
                  <w:tcBorders>
                    <w:tl2br w:val="nil"/>
                    <w:tr2bl w:val="nil"/>
                  </w:tcBorders>
                  <w:vAlign w:val="center"/>
                </w:tcPr>
                <w:p w14:paraId="60EFBDAB">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强</w:t>
                  </w:r>
                </w:p>
              </w:tc>
              <w:tc>
                <w:tcPr>
                  <w:tcW w:w="600" w:type="pct"/>
                  <w:tcBorders>
                    <w:tl2br w:val="nil"/>
                    <w:tr2bl w:val="nil"/>
                  </w:tcBorders>
                  <w:vAlign w:val="center"/>
                </w:tcPr>
                <w:p w14:paraId="684C2A60">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易</w:t>
                  </w:r>
                </w:p>
              </w:tc>
              <w:tc>
                <w:tcPr>
                  <w:tcW w:w="845" w:type="pct"/>
                  <w:tcBorders>
                    <w:tl2br w:val="nil"/>
                    <w:tr2bl w:val="nil"/>
                  </w:tcBorders>
                  <w:vAlign w:val="center"/>
                </w:tcPr>
                <w:p w14:paraId="4D029C3C">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有机物污染物</w:t>
                  </w:r>
                </w:p>
              </w:tc>
              <w:tc>
                <w:tcPr>
                  <w:tcW w:w="2179" w:type="pct"/>
                  <w:vMerge w:val="continue"/>
                  <w:tcBorders>
                    <w:tl2br w:val="nil"/>
                    <w:tr2bl w:val="nil"/>
                  </w:tcBorders>
                  <w:vAlign w:val="center"/>
                </w:tcPr>
                <w:p w14:paraId="78309132">
                  <w:pPr>
                    <w:jc w:val="center"/>
                    <w:textAlignment w:val="baseline"/>
                    <w:rPr>
                      <w:rFonts w:hint="default" w:ascii="Times New Roman" w:hAnsi="Times New Roman" w:cs="Times New Roman"/>
                      <w:color w:val="auto"/>
                      <w:spacing w:val="0"/>
                      <w:kern w:val="0"/>
                      <w:position w:val="0"/>
                      <w:szCs w:val="21"/>
                    </w:rPr>
                  </w:pPr>
                </w:p>
              </w:tc>
            </w:tr>
            <w:tr w14:paraId="7C298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695" w:type="pct"/>
                  <w:tcBorders>
                    <w:tl2br w:val="nil"/>
                    <w:tr2bl w:val="nil"/>
                  </w:tcBorders>
                  <w:vAlign w:val="center"/>
                </w:tcPr>
                <w:p w14:paraId="62811D23">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简单防渗区</w:t>
                  </w:r>
                </w:p>
              </w:tc>
              <w:tc>
                <w:tcPr>
                  <w:tcW w:w="679" w:type="pct"/>
                  <w:tcBorders>
                    <w:tl2br w:val="nil"/>
                    <w:tr2bl w:val="nil"/>
                  </w:tcBorders>
                  <w:vAlign w:val="center"/>
                </w:tcPr>
                <w:p w14:paraId="0E47BA6F">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中-强</w:t>
                  </w:r>
                </w:p>
              </w:tc>
              <w:tc>
                <w:tcPr>
                  <w:tcW w:w="600" w:type="pct"/>
                  <w:tcBorders>
                    <w:tl2br w:val="nil"/>
                    <w:tr2bl w:val="nil"/>
                  </w:tcBorders>
                  <w:vAlign w:val="center"/>
                </w:tcPr>
                <w:p w14:paraId="70C7EB52">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易</w:t>
                  </w:r>
                </w:p>
              </w:tc>
              <w:tc>
                <w:tcPr>
                  <w:tcW w:w="845" w:type="pct"/>
                  <w:tcBorders>
                    <w:tl2br w:val="nil"/>
                    <w:tr2bl w:val="nil"/>
                  </w:tcBorders>
                  <w:vAlign w:val="center"/>
                </w:tcPr>
                <w:p w14:paraId="409B8F11">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其他类型</w:t>
                  </w:r>
                </w:p>
              </w:tc>
              <w:tc>
                <w:tcPr>
                  <w:tcW w:w="2179" w:type="pct"/>
                  <w:tcBorders>
                    <w:tl2br w:val="nil"/>
                    <w:tr2bl w:val="nil"/>
                  </w:tcBorders>
                  <w:vAlign w:val="center"/>
                </w:tcPr>
                <w:p w14:paraId="2ACC56C5">
                  <w:pPr>
                    <w:jc w:val="center"/>
                    <w:textAlignment w:val="baseline"/>
                    <w:rPr>
                      <w:rFonts w:hint="default" w:ascii="Times New Roman" w:hAnsi="Times New Roman" w:cs="Times New Roman"/>
                      <w:color w:val="auto"/>
                      <w:spacing w:val="0"/>
                      <w:kern w:val="0"/>
                      <w:position w:val="0"/>
                      <w:szCs w:val="21"/>
                    </w:rPr>
                  </w:pPr>
                  <w:r>
                    <w:rPr>
                      <w:rFonts w:hint="default" w:ascii="Times New Roman" w:hAnsi="Times New Roman" w:cs="Times New Roman"/>
                      <w:color w:val="auto"/>
                      <w:spacing w:val="0"/>
                      <w:kern w:val="0"/>
                      <w:position w:val="0"/>
                      <w:szCs w:val="21"/>
                    </w:rPr>
                    <w:t>一般地面硬化</w:t>
                  </w:r>
                </w:p>
              </w:tc>
            </w:tr>
          </w:tbl>
          <w:p w14:paraId="2683E885">
            <w:pPr>
              <w:keepNext w:val="0"/>
              <w:keepLines w:val="0"/>
              <w:pageBreakBefore w:val="0"/>
              <w:widowControl/>
              <w:suppressLineNumbers w:val="0"/>
              <w:kinsoku/>
              <w:wordWrap/>
              <w:overflowPunct/>
              <w:topLinePunct w:val="0"/>
              <w:autoSpaceDE/>
              <w:autoSpaceDN/>
              <w:bidi w:val="0"/>
              <w:snapToGrid/>
              <w:spacing w:line="480" w:lineRule="atLeast"/>
              <w:ind w:firstLine="480" w:firstLineChars="200"/>
              <w:jc w:val="left"/>
              <w:textAlignment w:val="auto"/>
              <w:rPr>
                <w:rFonts w:hint="default" w:ascii="Times New Roman" w:hAnsi="Times New Roman" w:eastAsia="宋体" w:cs="Times New Roman"/>
                <w:color w:val="auto"/>
                <w:spacing w:val="0"/>
                <w:kern w:val="0"/>
                <w:position w:val="0"/>
                <w:sz w:val="24"/>
                <w:szCs w:val="24"/>
                <w:lang w:val="en-US" w:eastAsia="zh-CN" w:bidi="ar"/>
              </w:rPr>
            </w:pPr>
            <w:r>
              <w:rPr>
                <w:rFonts w:hint="default" w:ascii="Times New Roman" w:hAnsi="Times New Roman" w:eastAsia="宋体" w:cs="Times New Roman"/>
                <w:color w:val="auto"/>
                <w:spacing w:val="0"/>
                <w:kern w:val="0"/>
                <w:position w:val="0"/>
                <w:sz w:val="24"/>
                <w:szCs w:val="24"/>
                <w:lang w:val="en-US" w:eastAsia="zh-CN" w:bidi="ar"/>
              </w:rPr>
              <w:t>项目拟对</w:t>
            </w:r>
            <w:r>
              <w:rPr>
                <w:rFonts w:hint="eastAsia" w:cs="Times New Roman"/>
                <w:color w:val="auto"/>
                <w:spacing w:val="0"/>
                <w:kern w:val="0"/>
                <w:position w:val="0"/>
                <w:sz w:val="24"/>
                <w:szCs w:val="24"/>
                <w:lang w:val="en-US" w:eastAsia="zh-CN" w:bidi="ar"/>
              </w:rPr>
              <w:t>危废库、片碱库</w:t>
            </w:r>
            <w:r>
              <w:rPr>
                <w:rFonts w:hint="eastAsia" w:cs="Times New Roman"/>
                <w:color w:val="auto"/>
                <w:spacing w:val="0"/>
                <w:kern w:val="0"/>
                <w:position w:val="0"/>
                <w:sz w:val="24"/>
                <w:szCs w:val="24"/>
                <w:highlight w:val="none"/>
                <w:lang w:val="en-US" w:eastAsia="zh-CN" w:bidi="ar"/>
              </w:rPr>
              <w:t>、污水处理池</w:t>
            </w:r>
            <w:r>
              <w:rPr>
                <w:rFonts w:hint="eastAsia" w:cs="Times New Roman"/>
                <w:color w:val="auto"/>
                <w:spacing w:val="0"/>
                <w:kern w:val="0"/>
                <w:position w:val="0"/>
                <w:sz w:val="24"/>
                <w:szCs w:val="24"/>
                <w:lang w:val="en-US" w:eastAsia="zh-CN" w:bidi="ar"/>
              </w:rPr>
              <w:t>、车间沉淀池、事故应急池设置重点防渗</w:t>
            </w:r>
            <w:r>
              <w:rPr>
                <w:rFonts w:hint="eastAsia" w:ascii="Times New Roman" w:hAnsi="Times New Roman" w:eastAsia="宋体" w:cs="Times New Roman"/>
                <w:color w:val="auto"/>
                <w:spacing w:val="0"/>
                <w:kern w:val="0"/>
                <w:position w:val="0"/>
                <w:sz w:val="24"/>
                <w:szCs w:val="24"/>
                <w:lang w:val="en-US" w:eastAsia="zh-CN" w:bidi="ar"/>
              </w:rPr>
              <w:t>，</w:t>
            </w:r>
            <w:r>
              <w:rPr>
                <w:rFonts w:hint="eastAsia" w:cs="Times New Roman"/>
                <w:color w:val="auto"/>
                <w:spacing w:val="0"/>
                <w:kern w:val="0"/>
                <w:position w:val="0"/>
                <w:sz w:val="24"/>
                <w:szCs w:val="24"/>
                <w:lang w:val="en-US" w:eastAsia="zh-CN" w:bidi="ar"/>
              </w:rPr>
              <w:t>办公休息区设置简单</w:t>
            </w:r>
            <w:r>
              <w:rPr>
                <w:rFonts w:hint="default" w:ascii="Times New Roman" w:hAnsi="Times New Roman" w:eastAsia="宋体" w:cs="Times New Roman"/>
                <w:color w:val="auto"/>
                <w:spacing w:val="0"/>
                <w:kern w:val="0"/>
                <w:position w:val="0"/>
                <w:sz w:val="24"/>
                <w:szCs w:val="24"/>
                <w:lang w:val="en-US" w:eastAsia="zh-CN" w:bidi="ar"/>
              </w:rPr>
              <w:t>防渗</w:t>
            </w:r>
            <w:r>
              <w:rPr>
                <w:rFonts w:hint="eastAsia" w:cs="Times New Roman"/>
                <w:color w:val="auto"/>
                <w:spacing w:val="0"/>
                <w:kern w:val="0"/>
                <w:position w:val="0"/>
                <w:sz w:val="24"/>
                <w:szCs w:val="24"/>
                <w:lang w:val="en-US" w:eastAsia="zh-CN" w:bidi="ar"/>
              </w:rPr>
              <w:t>，重点防渗区和简单防渗区以外区域设置一般防渗</w:t>
            </w:r>
            <w:r>
              <w:rPr>
                <w:rFonts w:hint="eastAsia" w:ascii="Times New Roman" w:hAnsi="Times New Roman" w:eastAsia="宋体" w:cs="Times New Roman"/>
                <w:color w:val="auto"/>
                <w:spacing w:val="0"/>
                <w:kern w:val="0"/>
                <w:position w:val="0"/>
                <w:sz w:val="24"/>
                <w:szCs w:val="24"/>
                <w:lang w:val="en-US" w:eastAsia="zh-CN" w:bidi="ar"/>
              </w:rPr>
              <w:t>。由于企业为租赁厂房，厂房基础建设已完成，地面</w:t>
            </w:r>
            <w:r>
              <w:rPr>
                <w:rFonts w:hint="default" w:ascii="Times New Roman" w:hAnsi="Times New Roman" w:eastAsia="宋体" w:cs="Times New Roman"/>
                <w:color w:val="auto"/>
                <w:spacing w:val="0"/>
                <w:kern w:val="0"/>
                <w:position w:val="0"/>
                <w:sz w:val="24"/>
                <w:szCs w:val="24"/>
                <w:lang w:val="en-US" w:eastAsia="zh-CN" w:bidi="ar"/>
              </w:rPr>
              <w:t>采用防渗钢筋混凝土结构</w:t>
            </w:r>
            <w:r>
              <w:rPr>
                <w:rFonts w:hint="eastAsia" w:ascii="Times New Roman" w:hAnsi="Times New Roman" w:eastAsia="宋体" w:cs="Times New Roman"/>
                <w:color w:val="auto"/>
                <w:spacing w:val="0"/>
                <w:kern w:val="0"/>
                <w:position w:val="0"/>
                <w:sz w:val="24"/>
                <w:szCs w:val="24"/>
                <w:lang w:val="en-US" w:eastAsia="zh-CN" w:bidi="ar"/>
              </w:rPr>
              <w:t>。因此结合实际情况，本次提出防渗措施如下：</w:t>
            </w:r>
          </w:p>
          <w:p w14:paraId="3B956759">
            <w:pPr>
              <w:keepNext w:val="0"/>
              <w:keepLines w:val="0"/>
              <w:pageBreakBefore w:val="0"/>
              <w:widowControl/>
              <w:suppressLineNumbers w:val="0"/>
              <w:kinsoku/>
              <w:wordWrap/>
              <w:overflowPunct/>
              <w:topLinePunct w:val="0"/>
              <w:autoSpaceDE/>
              <w:autoSpaceDN/>
              <w:bidi w:val="0"/>
              <w:adjustRightInd/>
              <w:snapToGrid/>
              <w:spacing w:line="480" w:lineRule="atLeast"/>
              <w:ind w:firstLine="0" w:firstLineChars="0"/>
              <w:jc w:val="center"/>
              <w:textAlignment w:val="auto"/>
              <w:rPr>
                <w:rFonts w:hint="eastAsia" w:ascii="Times New Roman" w:hAnsi="Times New Roman" w:eastAsia="宋体" w:cs="Times New Roman"/>
                <w:b/>
                <w:bCs/>
                <w:color w:val="auto"/>
                <w:spacing w:val="0"/>
                <w:kern w:val="0"/>
                <w:position w:val="0"/>
                <w:sz w:val="21"/>
                <w:szCs w:val="21"/>
                <w:lang w:val="en-US" w:eastAsia="zh-CN" w:bidi="ar"/>
              </w:rPr>
            </w:pPr>
          </w:p>
          <w:p w14:paraId="50C52C76">
            <w:pPr>
              <w:keepNext w:val="0"/>
              <w:keepLines w:val="0"/>
              <w:pageBreakBefore w:val="0"/>
              <w:widowControl/>
              <w:suppressLineNumbers w:val="0"/>
              <w:kinsoku/>
              <w:wordWrap/>
              <w:overflowPunct/>
              <w:topLinePunct w:val="0"/>
              <w:autoSpaceDE/>
              <w:autoSpaceDN/>
              <w:bidi w:val="0"/>
              <w:adjustRightInd/>
              <w:snapToGrid/>
              <w:spacing w:line="480" w:lineRule="atLeast"/>
              <w:ind w:firstLine="0" w:firstLineChars="0"/>
              <w:jc w:val="center"/>
              <w:textAlignment w:val="auto"/>
              <w:rPr>
                <w:rFonts w:hint="eastAsia" w:ascii="Times New Roman" w:hAnsi="Times New Roman" w:eastAsia="宋体" w:cs="Times New Roman"/>
                <w:b/>
                <w:bCs/>
                <w:color w:val="auto"/>
                <w:spacing w:val="0"/>
                <w:kern w:val="0"/>
                <w:position w:val="0"/>
                <w:sz w:val="21"/>
                <w:szCs w:val="21"/>
                <w:lang w:val="en-US" w:eastAsia="zh-CN" w:bidi="ar"/>
              </w:rPr>
            </w:pPr>
          </w:p>
          <w:p w14:paraId="7FB162EA">
            <w:pPr>
              <w:keepNext w:val="0"/>
              <w:keepLines w:val="0"/>
              <w:pageBreakBefore w:val="0"/>
              <w:widowControl/>
              <w:suppressLineNumbers w:val="0"/>
              <w:kinsoku/>
              <w:wordWrap/>
              <w:overflowPunct/>
              <w:topLinePunct w:val="0"/>
              <w:autoSpaceDE/>
              <w:autoSpaceDN/>
              <w:bidi w:val="0"/>
              <w:adjustRightInd/>
              <w:snapToGrid/>
              <w:spacing w:line="480" w:lineRule="atLeast"/>
              <w:ind w:firstLine="0" w:firstLineChars="0"/>
              <w:jc w:val="center"/>
              <w:textAlignment w:val="auto"/>
              <w:rPr>
                <w:rFonts w:hint="eastAsia" w:ascii="Times New Roman" w:hAnsi="Times New Roman" w:eastAsia="宋体" w:cs="Times New Roman"/>
                <w:b/>
                <w:bCs/>
                <w:color w:val="auto"/>
                <w:spacing w:val="0"/>
                <w:kern w:val="0"/>
                <w:position w:val="0"/>
                <w:sz w:val="21"/>
                <w:szCs w:val="21"/>
                <w:lang w:val="en-US" w:eastAsia="zh-CN" w:bidi="ar"/>
              </w:rPr>
            </w:pPr>
            <w:r>
              <w:rPr>
                <w:rFonts w:hint="eastAsia" w:ascii="Times New Roman" w:hAnsi="Times New Roman" w:eastAsia="宋体" w:cs="Times New Roman"/>
                <w:b/>
                <w:bCs/>
                <w:color w:val="auto"/>
                <w:spacing w:val="0"/>
                <w:kern w:val="0"/>
                <w:position w:val="0"/>
                <w:sz w:val="21"/>
                <w:szCs w:val="21"/>
                <w:lang w:val="en-US" w:eastAsia="zh-CN" w:bidi="ar"/>
              </w:rPr>
              <w:t>表4-</w:t>
            </w:r>
            <w:r>
              <w:rPr>
                <w:rFonts w:hint="eastAsia" w:cs="Times New Roman"/>
                <w:b/>
                <w:bCs/>
                <w:color w:val="auto"/>
                <w:spacing w:val="0"/>
                <w:kern w:val="0"/>
                <w:position w:val="0"/>
                <w:sz w:val="21"/>
                <w:szCs w:val="21"/>
                <w:lang w:val="en-US" w:eastAsia="zh-CN" w:bidi="ar"/>
              </w:rPr>
              <w:t>36</w:t>
            </w:r>
            <w:r>
              <w:rPr>
                <w:rFonts w:hint="eastAsia" w:ascii="Times New Roman" w:hAnsi="Times New Roman" w:eastAsia="宋体" w:cs="Times New Roman"/>
                <w:b/>
                <w:bCs/>
                <w:color w:val="auto"/>
                <w:spacing w:val="0"/>
                <w:kern w:val="0"/>
                <w:position w:val="0"/>
                <w:sz w:val="21"/>
                <w:szCs w:val="21"/>
                <w:lang w:val="en-US" w:eastAsia="zh-CN" w:bidi="ar"/>
              </w:rPr>
              <w:t xml:space="preserve">  地下水、土壤项目分区保护措施一览表</w:t>
            </w:r>
          </w:p>
          <w:p w14:paraId="029648DA">
            <w:pPr>
              <w:spacing w:line="16" w:lineRule="exact"/>
              <w:rPr>
                <w:color w:val="auto"/>
                <w:spacing w:val="0"/>
                <w:position w:val="0"/>
              </w:rPr>
            </w:pPr>
          </w:p>
          <w:tbl>
            <w:tblPr>
              <w:tblStyle w:val="69"/>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53"/>
              <w:gridCol w:w="948"/>
              <w:gridCol w:w="7267"/>
            </w:tblGrid>
            <w:tr w14:paraId="59871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 w:hRule="atLeast"/>
                <w:jc w:val="center"/>
              </w:trPr>
              <w:tc>
                <w:tcPr>
                  <w:tcW w:w="853" w:type="dxa"/>
                  <w:tcBorders>
                    <w:tl2br w:val="nil"/>
                    <w:tr2bl w:val="nil"/>
                  </w:tcBorders>
                  <w:noWrap w:val="0"/>
                  <w:vAlign w:val="center"/>
                </w:tcPr>
                <w:p w14:paraId="2742D2D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分区</w:t>
                  </w:r>
                </w:p>
              </w:tc>
              <w:tc>
                <w:tcPr>
                  <w:tcW w:w="948" w:type="dxa"/>
                  <w:tcBorders>
                    <w:tl2br w:val="nil"/>
                    <w:tr2bl w:val="nil"/>
                  </w:tcBorders>
                  <w:noWrap w:val="0"/>
                  <w:vAlign w:val="center"/>
                </w:tcPr>
                <w:p w14:paraId="6F1468B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区域</w:t>
                  </w:r>
                </w:p>
              </w:tc>
              <w:tc>
                <w:tcPr>
                  <w:tcW w:w="7267" w:type="dxa"/>
                  <w:tcBorders>
                    <w:tl2br w:val="nil"/>
                    <w:tr2bl w:val="nil"/>
                  </w:tcBorders>
                  <w:noWrap w:val="0"/>
                  <w:vAlign w:val="center"/>
                </w:tcPr>
                <w:p w14:paraId="3D39B6A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0"/>
                      <w:w w:val="100"/>
                      <w:position w:val="0"/>
                      <w:sz w:val="21"/>
                      <w:szCs w:val="21"/>
                    </w:rPr>
                  </w:pPr>
                  <w:r>
                    <w:rPr>
                      <w:rFonts w:hint="default" w:ascii="Times New Roman" w:hAnsi="Times New Roman" w:eastAsia="宋体" w:cs="Times New Roman"/>
                      <w:b/>
                      <w:bCs/>
                      <w:color w:val="auto"/>
                      <w:spacing w:val="0"/>
                      <w:w w:val="100"/>
                      <w:position w:val="0"/>
                      <w:sz w:val="21"/>
                      <w:szCs w:val="21"/>
                    </w:rPr>
                    <w:t>防护措施</w:t>
                  </w:r>
                </w:p>
              </w:tc>
            </w:tr>
            <w:tr w14:paraId="5BCDC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853" w:type="dxa"/>
                  <w:vMerge w:val="restart"/>
                  <w:tcBorders>
                    <w:tl2br w:val="nil"/>
                    <w:tr2bl w:val="nil"/>
                  </w:tcBorders>
                  <w:noWrap w:val="0"/>
                  <w:vAlign w:val="center"/>
                </w:tcPr>
                <w:p w14:paraId="59E7739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0"/>
                      <w:w w:val="100"/>
                      <w:position w:val="0"/>
                      <w:sz w:val="21"/>
                      <w:szCs w:val="21"/>
                    </w:rPr>
                  </w:pPr>
                  <w:r>
                    <w:rPr>
                      <w:rFonts w:hint="eastAsia" w:ascii="Times New Roman" w:hAnsi="Times New Roman" w:eastAsia="宋体" w:cs="Times New Roman"/>
                      <w:color w:val="auto"/>
                      <w:spacing w:val="0"/>
                      <w:w w:val="100"/>
                      <w:position w:val="0"/>
                      <w:sz w:val="21"/>
                      <w:szCs w:val="21"/>
                      <w:lang w:val="en-US" w:eastAsia="zh-CN"/>
                    </w:rPr>
                    <w:t>重点</w:t>
                  </w:r>
                  <w:r>
                    <w:rPr>
                      <w:rFonts w:hint="default" w:ascii="Times New Roman" w:hAnsi="Times New Roman" w:eastAsia="宋体" w:cs="Times New Roman"/>
                      <w:color w:val="auto"/>
                      <w:spacing w:val="0"/>
                      <w:w w:val="100"/>
                      <w:position w:val="0"/>
                      <w:sz w:val="21"/>
                      <w:szCs w:val="21"/>
                    </w:rPr>
                    <w:t>防渗区</w:t>
                  </w:r>
                </w:p>
              </w:tc>
              <w:tc>
                <w:tcPr>
                  <w:tcW w:w="948" w:type="dxa"/>
                  <w:tcBorders>
                    <w:tl2br w:val="nil"/>
                    <w:tr2bl w:val="nil"/>
                  </w:tcBorders>
                  <w:noWrap w:val="0"/>
                  <w:vAlign w:val="center"/>
                </w:tcPr>
                <w:p w14:paraId="640C71C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0"/>
                      <w:w w:val="100"/>
                      <w:position w:val="0"/>
                      <w:sz w:val="21"/>
                      <w:szCs w:val="21"/>
                      <w:lang w:val="en-US" w:eastAsia="zh-CN"/>
                    </w:rPr>
                  </w:pPr>
                  <w:r>
                    <w:rPr>
                      <w:rFonts w:hint="eastAsia" w:cs="Times New Roman"/>
                      <w:color w:val="auto"/>
                      <w:spacing w:val="0"/>
                      <w:kern w:val="0"/>
                      <w:position w:val="0"/>
                      <w:sz w:val="21"/>
                      <w:szCs w:val="21"/>
                      <w:lang w:val="en-US" w:eastAsia="zh-CN" w:bidi="ar"/>
                    </w:rPr>
                    <w:t>危废库、片碱库</w:t>
                  </w:r>
                </w:p>
              </w:tc>
              <w:tc>
                <w:tcPr>
                  <w:tcW w:w="7267" w:type="dxa"/>
                  <w:tcBorders>
                    <w:tl2br w:val="nil"/>
                    <w:tr2bl w:val="nil"/>
                  </w:tcBorders>
                  <w:noWrap w:val="0"/>
                  <w:vAlign w:val="center"/>
                </w:tcPr>
                <w:p w14:paraId="361AC9F1">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both"/>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eastAsia" w:ascii="Times New Roman" w:hAnsi="Times New Roman" w:eastAsia="宋体" w:cs="Times New Roman"/>
                      <w:caps w:val="0"/>
                      <w:smallCaps w:val="0"/>
                      <w:color w:val="auto"/>
                      <w:spacing w:val="0"/>
                      <w:w w:val="100"/>
                      <w:position w:val="0"/>
                      <w:sz w:val="21"/>
                      <w:szCs w:val="21"/>
                      <w:lang w:val="en-US" w:eastAsia="zh-CN"/>
                    </w:rPr>
                    <w:t>1、</w:t>
                  </w:r>
                  <w:r>
                    <w:rPr>
                      <w:rFonts w:hint="default" w:ascii="Times New Roman" w:hAnsi="Times New Roman" w:eastAsia="宋体" w:cs="Times New Roman"/>
                      <w:caps w:val="0"/>
                      <w:smallCaps w:val="0"/>
                      <w:color w:val="auto"/>
                      <w:spacing w:val="0"/>
                      <w:w w:val="100"/>
                      <w:position w:val="0"/>
                      <w:sz w:val="21"/>
                      <w:szCs w:val="21"/>
                      <w:lang w:val="en-US" w:eastAsia="zh-CN"/>
                    </w:rPr>
                    <w:t>建议地面防渗方案自上而下</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①40mm 厚细石砼</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②水泥砂浆结合层一道</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③100mm 厚C15混凝土随打随</w:t>
                  </w:r>
                  <w:r>
                    <w:rPr>
                      <w:rFonts w:hint="eastAsia" w:cs="Times New Roman"/>
                      <w:caps w:val="0"/>
                      <w:smallCaps w:val="0"/>
                      <w:color w:val="auto"/>
                      <w:spacing w:val="0"/>
                      <w:w w:val="100"/>
                      <w:position w:val="0"/>
                      <w:sz w:val="21"/>
                      <w:szCs w:val="21"/>
                      <w:lang w:val="en-US" w:eastAsia="zh-CN"/>
                    </w:rPr>
                    <w:t>抹</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④50mm 厚级配砂石垫层</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⑤3:7水泥土夯实。储罐基础与防火堤间区域采用复合或柔性防渗结构型式。柔性防渗材料与防火堤、隔坝及其他设施基础严密连接。这些建筑物均为地上建筑</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其混凝土地坪以下设计采用单层防渗结构</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其层次自上而下为600g/m</w:t>
                  </w:r>
                  <w:r>
                    <w:rPr>
                      <w:rFonts w:hint="default" w:ascii="Times New Roman" w:hAnsi="Times New Roman" w:eastAsia="宋体" w:cs="Times New Roman"/>
                      <w:caps w:val="0"/>
                      <w:smallCaps w:val="0"/>
                      <w:color w:val="auto"/>
                      <w:spacing w:val="0"/>
                      <w:w w:val="100"/>
                      <w:position w:val="0"/>
                      <w:sz w:val="21"/>
                      <w:szCs w:val="21"/>
                      <w:vertAlign w:val="superscript"/>
                      <w:lang w:val="en-US" w:eastAsia="zh-CN"/>
                    </w:rPr>
                    <w:t>2</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非织造土工布</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膜上保护层</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+2.0mm厚HDPE膜+4800g/m</w:t>
                  </w:r>
                  <w:r>
                    <w:rPr>
                      <w:rFonts w:hint="default" w:ascii="Times New Roman" w:hAnsi="Times New Roman" w:eastAsia="宋体" w:cs="Times New Roman"/>
                      <w:caps w:val="0"/>
                      <w:smallCaps w:val="0"/>
                      <w:color w:val="auto"/>
                      <w:spacing w:val="0"/>
                      <w:w w:val="100"/>
                      <w:position w:val="0"/>
                      <w:sz w:val="21"/>
                      <w:szCs w:val="21"/>
                      <w:vertAlign w:val="superscript"/>
                      <w:lang w:val="en-US" w:eastAsia="zh-CN"/>
                    </w:rPr>
                    <w:t>2</w:t>
                  </w:r>
                  <w:r>
                    <w:rPr>
                      <w:rFonts w:hint="default" w:ascii="Times New Roman" w:hAnsi="Times New Roman" w:eastAsia="宋体" w:cs="Times New Roman"/>
                      <w:caps w:val="0"/>
                      <w:smallCaps w:val="0"/>
                      <w:color w:val="auto"/>
                      <w:spacing w:val="0"/>
                      <w:w w:val="100"/>
                      <w:position w:val="0"/>
                      <w:sz w:val="21"/>
                      <w:szCs w:val="21"/>
                      <w:lang w:val="en-US" w:eastAsia="zh-CN"/>
                    </w:rPr>
                    <w:t>膨润土防水毯</w:t>
                  </w:r>
                  <w:r>
                    <w:rPr>
                      <w:rFonts w:hint="eastAsia" w:cs="Times New Roman"/>
                      <w:caps w:val="0"/>
                      <w:smallCaps w:val="0"/>
                      <w:color w:val="auto"/>
                      <w:spacing w:val="0"/>
                      <w:w w:val="100"/>
                      <w:position w:val="0"/>
                      <w:sz w:val="21"/>
                      <w:szCs w:val="21"/>
                      <w:lang w:val="en-US" w:eastAsia="zh-CN"/>
                    </w:rPr>
                    <w:t>，</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GCL渗透系数小于1×10</w:t>
                  </w:r>
                  <w:r>
                    <w:rPr>
                      <w:rFonts w:hint="eastAsia" w:ascii="Times New Roman" w:hAnsi="Times New Roman" w:eastAsia="宋体" w:cs="Times New Roman"/>
                      <w:caps w:val="0"/>
                      <w:smallCaps w:val="0"/>
                      <w:color w:val="auto"/>
                      <w:spacing w:val="0"/>
                      <w:w w:val="100"/>
                      <w:position w:val="0"/>
                      <w:sz w:val="21"/>
                      <w:szCs w:val="21"/>
                      <w:vertAlign w:val="superscript"/>
                      <w:lang w:val="en-US" w:eastAsia="zh-CN"/>
                    </w:rPr>
                    <w:t>-11</w:t>
                  </w:r>
                  <w:r>
                    <w:rPr>
                      <w:rFonts w:hint="default" w:ascii="Times New Roman" w:hAnsi="Times New Roman" w:eastAsia="宋体" w:cs="Times New Roman"/>
                      <w:caps w:val="0"/>
                      <w:smallCaps w:val="0"/>
                      <w:color w:val="auto"/>
                      <w:spacing w:val="0"/>
                      <w:w w:val="100"/>
                      <w:position w:val="0"/>
                      <w:sz w:val="21"/>
                      <w:szCs w:val="21"/>
                      <w:lang w:val="en-US" w:eastAsia="zh-CN"/>
                    </w:rPr>
                    <w:t>m/s</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+1.5m厚压实粘土层</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膜下保护层</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透系数小1×10</w:t>
                  </w:r>
                  <w:r>
                    <w:rPr>
                      <w:rFonts w:hint="eastAsia" w:ascii="Times New Roman" w:hAnsi="Times New Roman" w:eastAsia="宋体" w:cs="Times New Roman"/>
                      <w:caps w:val="0"/>
                      <w:smallCaps w:val="0"/>
                      <w:color w:val="auto"/>
                      <w:spacing w:val="0"/>
                      <w:w w:val="100"/>
                      <w:position w:val="0"/>
                      <w:sz w:val="21"/>
                      <w:szCs w:val="21"/>
                      <w:vertAlign w:val="superscript"/>
                      <w:lang w:val="en-US" w:eastAsia="zh-CN"/>
                    </w:rPr>
                    <w:t>-8</w:t>
                  </w:r>
                  <w:r>
                    <w:rPr>
                      <w:rFonts w:hint="default" w:ascii="Times New Roman" w:hAnsi="Times New Roman" w:eastAsia="宋体" w:cs="Times New Roman"/>
                      <w:caps w:val="0"/>
                      <w:smallCaps w:val="0"/>
                      <w:color w:val="auto"/>
                      <w:spacing w:val="0"/>
                      <w:w w:val="100"/>
                      <w:position w:val="0"/>
                      <w:sz w:val="21"/>
                      <w:szCs w:val="21"/>
                      <w:lang w:val="en-US" w:eastAsia="zh-CN"/>
                    </w:rPr>
                    <w:t>m/s</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+地基土。其中非织造土工布采用热粘连接</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搭接宽度20025mmHDPE 膜采用热熔焊接</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搭接宽度100+20mm</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GCL采用自然搭接</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搭接宽度200</w:t>
                  </w:r>
                  <w:r>
                    <w:rPr>
                      <w:rFonts w:hint="eastAsia" w:ascii="Times New Roman" w:hAnsi="Times New Roman" w:eastAsia="宋体"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50mm。</w:t>
                  </w:r>
                </w:p>
                <w:p w14:paraId="46CD8717">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both"/>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eastAsia" w:ascii="Times New Roman" w:hAnsi="Times New Roman" w:eastAsia="宋体" w:cs="Times New Roman"/>
                      <w:caps w:val="0"/>
                      <w:smallCaps w:val="0"/>
                      <w:color w:val="auto"/>
                      <w:spacing w:val="0"/>
                      <w:w w:val="100"/>
                      <w:position w:val="0"/>
                      <w:sz w:val="21"/>
                      <w:szCs w:val="21"/>
                      <w:lang w:val="en-US" w:eastAsia="zh-CN"/>
                    </w:rPr>
                    <w:t>2、</w:t>
                  </w:r>
                  <w:r>
                    <w:rPr>
                      <w:rFonts w:hint="default" w:ascii="Times New Roman" w:hAnsi="Times New Roman" w:eastAsia="宋体" w:cs="Times New Roman"/>
                      <w:caps w:val="0"/>
                      <w:smallCaps w:val="0"/>
                      <w:color w:val="auto"/>
                      <w:spacing w:val="0"/>
                      <w:w w:val="100"/>
                      <w:position w:val="0"/>
                      <w:sz w:val="21"/>
                      <w:szCs w:val="21"/>
                      <w:lang w:val="en-US" w:eastAsia="zh-CN"/>
                    </w:rPr>
                    <w:t>当地坪与建筑物基础相连时</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需采取防渗措施</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从混凝土基础往外为橡胶沥青自粘卷材+600g/m</w:t>
                  </w:r>
                  <w:r>
                    <w:rPr>
                      <w:rFonts w:hint="default" w:ascii="Times New Roman" w:hAnsi="Times New Roman" w:eastAsia="宋体" w:cs="Times New Roman"/>
                      <w:caps w:val="0"/>
                      <w:smallCaps w:val="0"/>
                      <w:color w:val="auto"/>
                      <w:spacing w:val="0"/>
                      <w:w w:val="100"/>
                      <w:position w:val="0"/>
                      <w:sz w:val="21"/>
                      <w:szCs w:val="21"/>
                      <w:vertAlign w:val="superscript"/>
                      <w:lang w:val="en-US" w:eastAsia="zh-CN"/>
                    </w:rPr>
                    <w:t>2</w:t>
                  </w:r>
                  <w:r>
                    <w:rPr>
                      <w:rFonts w:hint="default" w:ascii="Times New Roman" w:hAnsi="Times New Roman" w:eastAsia="宋体" w:cs="Times New Roman"/>
                      <w:caps w:val="0"/>
                      <w:smallCaps w:val="0"/>
                      <w:color w:val="auto"/>
                      <w:spacing w:val="0"/>
                      <w:w w:val="100"/>
                      <w:position w:val="0"/>
                      <w:sz w:val="21"/>
                      <w:szCs w:val="21"/>
                      <w:lang w:val="en-US" w:eastAsia="zh-CN"/>
                    </w:rPr>
                    <w:t>非织造土工布+2.0mm厚HDPE膜+不锈钢扁钢压条+M8膨胀螺栓+1.0mm厚HDPE膜罩</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螺栓高度在地坪以上150mm</w:t>
                  </w:r>
                  <w:r>
                    <w:rPr>
                      <w:rFonts w:hint="eastAsia" w:ascii="Times New Roman" w:hAnsi="Times New Roman" w:eastAsia="宋体" w:cs="Times New Roman"/>
                      <w:caps w:val="0"/>
                      <w:smallCaps w:val="0"/>
                      <w:color w:val="auto"/>
                      <w:spacing w:val="0"/>
                      <w:w w:val="100"/>
                      <w:position w:val="0"/>
                      <w:sz w:val="21"/>
                      <w:szCs w:val="21"/>
                      <w:lang w:val="en-US" w:eastAsia="zh-CN"/>
                    </w:rPr>
                    <w:t>。</w:t>
                  </w:r>
                </w:p>
                <w:p w14:paraId="201E49C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Times New Roman" w:cs="Times New Roman"/>
                      <w:color w:val="auto"/>
                      <w:spacing w:val="0"/>
                      <w:w w:val="100"/>
                      <w:position w:val="0"/>
                      <w:sz w:val="21"/>
                      <w:szCs w:val="21"/>
                    </w:rPr>
                  </w:pPr>
                  <w:r>
                    <w:rPr>
                      <w:rFonts w:hint="eastAsia" w:ascii="Times New Roman" w:hAnsi="Times New Roman" w:eastAsia="宋体" w:cs="Times New Roman"/>
                      <w:caps w:val="0"/>
                      <w:smallCaps w:val="0"/>
                      <w:color w:val="auto"/>
                      <w:spacing w:val="0"/>
                      <w:w w:val="100"/>
                      <w:position w:val="0"/>
                      <w:sz w:val="21"/>
                      <w:szCs w:val="21"/>
                      <w:lang w:val="en-US" w:eastAsia="zh-CN"/>
                    </w:rPr>
                    <w:t>3、</w:t>
                  </w:r>
                  <w:r>
                    <w:rPr>
                      <w:rFonts w:hint="default" w:ascii="Times New Roman" w:hAnsi="Times New Roman" w:eastAsia="宋体" w:cs="Times New Roman"/>
                      <w:caps w:val="0"/>
                      <w:smallCaps w:val="0"/>
                      <w:color w:val="auto"/>
                      <w:spacing w:val="0"/>
                      <w:w w:val="100"/>
                      <w:position w:val="0"/>
                      <w:sz w:val="21"/>
                      <w:szCs w:val="21"/>
                      <w:lang w:val="en-US" w:eastAsia="zh-CN"/>
                    </w:rPr>
                    <w:t>符合《危险废物贮存污染控制标准》（GB18597-20</w:t>
                  </w:r>
                  <w:r>
                    <w:rPr>
                      <w:rFonts w:hint="eastAsia" w:ascii="Times New Roman" w:hAnsi="Times New Roman" w:eastAsia="宋体" w:cs="Times New Roman"/>
                      <w:caps w:val="0"/>
                      <w:smallCaps w:val="0"/>
                      <w:color w:val="auto"/>
                      <w:spacing w:val="0"/>
                      <w:w w:val="100"/>
                      <w:position w:val="0"/>
                      <w:sz w:val="21"/>
                      <w:szCs w:val="21"/>
                      <w:lang w:val="en-US" w:eastAsia="zh-CN"/>
                    </w:rPr>
                    <w:t>23</w:t>
                  </w:r>
                  <w:r>
                    <w:rPr>
                      <w:rFonts w:hint="default" w:ascii="Times New Roman" w:hAnsi="Times New Roman" w:eastAsia="宋体" w:cs="Times New Roman"/>
                      <w:caps w:val="0"/>
                      <w:smallCaps w:val="0"/>
                      <w:color w:val="auto"/>
                      <w:spacing w:val="0"/>
                      <w:w w:val="100"/>
                      <w:position w:val="0"/>
                      <w:sz w:val="21"/>
                      <w:szCs w:val="21"/>
                      <w:lang w:val="en-US" w:eastAsia="zh-CN"/>
                    </w:rPr>
                    <w:t>）的要求；做好防风挡雨措施；③地面做好防腐、防渗措施；仓库门口设置墁坡、围堰。</w:t>
                  </w:r>
                </w:p>
              </w:tc>
            </w:tr>
            <w:tr w14:paraId="53662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853" w:type="dxa"/>
                  <w:vMerge w:val="continue"/>
                  <w:tcBorders>
                    <w:tl2br w:val="nil"/>
                    <w:tr2bl w:val="nil"/>
                  </w:tcBorders>
                  <w:noWrap w:val="0"/>
                  <w:vAlign w:val="center"/>
                </w:tcPr>
                <w:p w14:paraId="385CB06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auto"/>
                      <w:spacing w:val="0"/>
                      <w:w w:val="100"/>
                      <w:position w:val="0"/>
                      <w:sz w:val="21"/>
                      <w:szCs w:val="21"/>
                      <w:lang w:val="en-US" w:eastAsia="zh-CN"/>
                    </w:rPr>
                  </w:pPr>
                </w:p>
              </w:tc>
              <w:tc>
                <w:tcPr>
                  <w:tcW w:w="948" w:type="dxa"/>
                  <w:tcBorders>
                    <w:tl2br w:val="nil"/>
                    <w:tr2bl w:val="nil"/>
                  </w:tcBorders>
                  <w:noWrap w:val="0"/>
                  <w:vAlign w:val="center"/>
                </w:tcPr>
                <w:p w14:paraId="3B91E9F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auto"/>
                      <w:spacing w:val="0"/>
                      <w:w w:val="100"/>
                      <w:position w:val="0"/>
                      <w:sz w:val="21"/>
                      <w:szCs w:val="21"/>
                      <w:lang w:val="en-US" w:eastAsia="zh-CN"/>
                    </w:rPr>
                  </w:pPr>
                  <w:r>
                    <w:rPr>
                      <w:rFonts w:hint="eastAsia" w:cs="Times New Roman"/>
                      <w:color w:val="auto"/>
                      <w:spacing w:val="0"/>
                      <w:kern w:val="0"/>
                      <w:position w:val="0"/>
                      <w:sz w:val="21"/>
                      <w:szCs w:val="21"/>
                      <w:lang w:val="en-US" w:eastAsia="zh-CN" w:bidi="ar"/>
                    </w:rPr>
                    <w:t>污水处理池、车间沉淀池、事故应急池</w:t>
                  </w:r>
                </w:p>
              </w:tc>
              <w:tc>
                <w:tcPr>
                  <w:tcW w:w="7267" w:type="dxa"/>
                  <w:tcBorders>
                    <w:tl2br w:val="nil"/>
                    <w:tr2bl w:val="nil"/>
                  </w:tcBorders>
                  <w:noWrap w:val="0"/>
                  <w:vAlign w:val="center"/>
                </w:tcPr>
                <w:p w14:paraId="5A465FC0">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both"/>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default" w:ascii="Times New Roman" w:hAnsi="Times New Roman" w:eastAsia="宋体" w:cs="Times New Roman"/>
                      <w:caps w:val="0"/>
                      <w:smallCaps w:val="0"/>
                      <w:color w:val="auto"/>
                      <w:spacing w:val="0"/>
                      <w:w w:val="100"/>
                      <w:position w:val="0"/>
                      <w:sz w:val="21"/>
                      <w:szCs w:val="21"/>
                      <w:lang w:val="en-US" w:eastAsia="zh-CN"/>
                    </w:rPr>
                    <w:t>1、建议地面防渗方案自上而下：①聚氯乙烯薄膜</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②50mm 厚水泥地面随打随抹光</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③50mm厚C15砼垫层随打随抹光</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④50mm 厚级配砂石垫层</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⑤3:7水泥土夯实。这些处理池</w:t>
                  </w:r>
                  <w:r>
                    <w:rPr>
                      <w:rFonts w:hint="eastAsia" w:cs="Times New Roman"/>
                      <w:caps w:val="0"/>
                      <w:smallCaps w:val="0"/>
                      <w:color w:val="auto"/>
                      <w:spacing w:val="0"/>
                      <w:w w:val="100"/>
                      <w:position w:val="0"/>
                      <w:sz w:val="21"/>
                      <w:szCs w:val="21"/>
                      <w:lang w:val="en-US" w:eastAsia="zh-CN"/>
                    </w:rPr>
                    <w:t>采用</w:t>
                  </w:r>
                  <w:r>
                    <w:rPr>
                      <w:rFonts w:hint="default" w:ascii="Times New Roman" w:hAnsi="Times New Roman" w:eastAsia="宋体" w:cs="Times New Roman"/>
                      <w:caps w:val="0"/>
                      <w:smallCaps w:val="0"/>
                      <w:color w:val="auto"/>
                      <w:spacing w:val="0"/>
                      <w:w w:val="100"/>
                      <w:position w:val="0"/>
                      <w:sz w:val="21"/>
                      <w:szCs w:val="21"/>
                      <w:lang w:val="en-US" w:eastAsia="zh-CN"/>
                    </w:rPr>
                    <w:t>半埋式和全埋式，设计采用抗渗钢筋混凝土结构，混凝土强度等级不宜小C30，抗渗等级不应小于P10，厚度不应小于250mm，最大裂缝宽度不应大于0.20mm，并不得贯通。迎水面钢筋采用单层HDPE膜防渗，从迎水面向钢筋混凝土池依次为：50mm厚抗渗混凝土保护层+600g/非织造土工布+2.0mm厚HDPE膜+600g/m</w:t>
                  </w:r>
                  <w:r>
                    <w:rPr>
                      <w:rFonts w:hint="default" w:ascii="Times New Roman" w:hAnsi="Times New Roman" w:eastAsia="宋体" w:cs="Times New Roman"/>
                      <w:caps w:val="0"/>
                      <w:smallCaps w:val="0"/>
                      <w:color w:val="auto"/>
                      <w:spacing w:val="0"/>
                      <w:w w:val="100"/>
                      <w:position w:val="0"/>
                      <w:sz w:val="21"/>
                      <w:szCs w:val="21"/>
                      <w:vertAlign w:val="superscript"/>
                      <w:lang w:val="en-US" w:eastAsia="zh-CN"/>
                    </w:rPr>
                    <w:t>2</w:t>
                  </w:r>
                  <w:r>
                    <w:rPr>
                      <w:rFonts w:hint="default" w:ascii="Times New Roman" w:hAnsi="Times New Roman" w:eastAsia="宋体" w:cs="Times New Roman"/>
                      <w:caps w:val="0"/>
                      <w:smallCaps w:val="0"/>
                      <w:color w:val="auto"/>
                      <w:spacing w:val="0"/>
                      <w:w w:val="100"/>
                      <w:position w:val="0"/>
                      <w:sz w:val="21"/>
                      <w:szCs w:val="21"/>
                      <w:lang w:val="en-US" w:eastAsia="zh-CN"/>
                    </w:rPr>
                    <w:t>非织造土工布+20mm厚抗渗混凝土保护层+钢筋混凝土池壁。在池四周回填土和涂刷防水涂之前，应进行水压试验。</w:t>
                  </w:r>
                </w:p>
                <w:p w14:paraId="539FC14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eastAsia" w:ascii="Times New Roman" w:hAnsi="Times New Roman" w:eastAsia="宋体" w:cs="Times New Roman"/>
                      <w:caps w:val="0"/>
                      <w:smallCaps w:val="0"/>
                      <w:color w:val="auto"/>
                      <w:spacing w:val="0"/>
                      <w:w w:val="100"/>
                      <w:position w:val="0"/>
                      <w:sz w:val="21"/>
                      <w:szCs w:val="21"/>
                      <w:lang w:val="en-US" w:eastAsia="zh-CN"/>
                    </w:rPr>
                  </w:pPr>
                  <w:r>
                    <w:rPr>
                      <w:rFonts w:hint="default" w:ascii="Times New Roman" w:hAnsi="Times New Roman" w:eastAsia="宋体" w:cs="Times New Roman"/>
                      <w:caps w:val="0"/>
                      <w:smallCaps w:val="0"/>
                      <w:color w:val="auto"/>
                      <w:spacing w:val="0"/>
                      <w:w w:val="100"/>
                      <w:position w:val="0"/>
                      <w:sz w:val="21"/>
                      <w:szCs w:val="21"/>
                      <w:lang w:val="en-US" w:eastAsia="zh-CN"/>
                    </w:rPr>
                    <w:t>2、建议管道防渗漏方案：本工程的正常生产排污水和检修时的排水管道采用管架敷设，全部地上铺设</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管道采用耐腐蚀抗压的夹砂玻璃钢管道</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管道与管道的连接采用柔性的橡胶圈接口。</w:t>
                  </w:r>
                </w:p>
              </w:tc>
            </w:tr>
            <w:tr w14:paraId="55CC5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jc w:val="center"/>
              </w:trPr>
              <w:tc>
                <w:tcPr>
                  <w:tcW w:w="853" w:type="dxa"/>
                  <w:tcBorders>
                    <w:tl2br w:val="nil"/>
                    <w:tr2bl w:val="nil"/>
                  </w:tcBorders>
                  <w:noWrap w:val="0"/>
                  <w:vAlign w:val="center"/>
                </w:tcPr>
                <w:p w14:paraId="63AB28A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auto"/>
                      <w:spacing w:val="0"/>
                      <w:w w:val="100"/>
                      <w:position w:val="0"/>
                      <w:sz w:val="21"/>
                      <w:szCs w:val="21"/>
                      <w:lang w:val="en-US" w:eastAsia="zh-CN"/>
                    </w:rPr>
                  </w:pPr>
                  <w:r>
                    <w:rPr>
                      <w:rFonts w:hint="eastAsia" w:ascii="Times New Roman" w:hAnsi="Times New Roman" w:cs="Times New Roman"/>
                      <w:color w:val="auto"/>
                      <w:spacing w:val="0"/>
                      <w:w w:val="100"/>
                      <w:position w:val="0"/>
                      <w:sz w:val="21"/>
                      <w:szCs w:val="21"/>
                      <w:lang w:val="en-US" w:eastAsia="zh-CN"/>
                    </w:rPr>
                    <w:t>一般防渗区</w:t>
                  </w:r>
                </w:p>
              </w:tc>
              <w:tc>
                <w:tcPr>
                  <w:tcW w:w="948" w:type="dxa"/>
                  <w:tcBorders>
                    <w:tl2br w:val="nil"/>
                    <w:tr2bl w:val="nil"/>
                  </w:tcBorders>
                  <w:noWrap w:val="0"/>
                  <w:vAlign w:val="center"/>
                </w:tcPr>
                <w:p w14:paraId="104B29E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0"/>
                      <w:w w:val="100"/>
                      <w:position w:val="0"/>
                      <w:sz w:val="21"/>
                      <w:szCs w:val="21"/>
                      <w:lang w:val="en-US" w:eastAsia="zh-CN"/>
                    </w:rPr>
                  </w:pPr>
                  <w:r>
                    <w:rPr>
                      <w:rFonts w:hint="eastAsia" w:cs="Times New Roman"/>
                      <w:color w:val="auto"/>
                      <w:spacing w:val="0"/>
                      <w:kern w:val="0"/>
                      <w:position w:val="0"/>
                      <w:sz w:val="21"/>
                      <w:szCs w:val="21"/>
                      <w:lang w:val="en-US" w:eastAsia="zh-CN" w:bidi="ar"/>
                    </w:rPr>
                    <w:t>重点防渗区和简单防渗区以外区域</w:t>
                  </w:r>
                </w:p>
              </w:tc>
              <w:tc>
                <w:tcPr>
                  <w:tcW w:w="7267" w:type="dxa"/>
                  <w:tcBorders>
                    <w:tl2br w:val="nil"/>
                    <w:tr2bl w:val="nil"/>
                  </w:tcBorders>
                  <w:noWrap w:val="0"/>
                  <w:vAlign w:val="center"/>
                </w:tcPr>
                <w:p w14:paraId="44B9132C">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both"/>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eastAsia" w:ascii="Times New Roman" w:hAnsi="Times New Roman" w:eastAsia="宋体" w:cs="Times New Roman"/>
                      <w:caps w:val="0"/>
                      <w:smallCaps w:val="0"/>
                      <w:color w:val="auto"/>
                      <w:spacing w:val="0"/>
                      <w:w w:val="100"/>
                      <w:position w:val="0"/>
                      <w:sz w:val="21"/>
                      <w:szCs w:val="21"/>
                      <w:lang w:val="en-US" w:eastAsia="zh-CN"/>
                    </w:rPr>
                    <w:t>1、</w:t>
                  </w:r>
                  <w:r>
                    <w:rPr>
                      <w:rFonts w:hint="default" w:ascii="Times New Roman" w:hAnsi="Times New Roman" w:eastAsia="宋体" w:cs="Times New Roman"/>
                      <w:caps w:val="0"/>
                      <w:smallCaps w:val="0"/>
                      <w:color w:val="auto"/>
                      <w:spacing w:val="0"/>
                      <w:w w:val="100"/>
                      <w:position w:val="0"/>
                      <w:sz w:val="21"/>
                      <w:szCs w:val="21"/>
                      <w:lang w:val="en-US" w:eastAsia="zh-CN"/>
                    </w:rPr>
                    <w:t>加强车间管理</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定期检查废气处理措施</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确保设备正常运行。</w:t>
                  </w:r>
                </w:p>
                <w:p w14:paraId="3416B6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eastAsia" w:ascii="Times New Roman" w:hAnsi="Times New Roman" w:eastAsia="宋体" w:cs="Times New Roman"/>
                      <w:caps w:val="0"/>
                      <w:smallCaps w:val="0"/>
                      <w:color w:val="auto"/>
                      <w:spacing w:val="0"/>
                      <w:w w:val="100"/>
                      <w:position w:val="0"/>
                      <w:sz w:val="21"/>
                      <w:szCs w:val="21"/>
                      <w:lang w:val="en-US" w:eastAsia="zh-CN"/>
                    </w:rPr>
                    <w:t>2、</w:t>
                  </w:r>
                  <w:r>
                    <w:rPr>
                      <w:rFonts w:hint="eastAsia" w:ascii="Times New Roman" w:hAnsi="Times New Roman" w:cs="Times New Roman"/>
                      <w:caps w:val="0"/>
                      <w:smallCaps w:val="0"/>
                      <w:color w:val="auto"/>
                      <w:spacing w:val="0"/>
                      <w:w w:val="100"/>
                      <w:position w:val="0"/>
                      <w:sz w:val="21"/>
                      <w:szCs w:val="21"/>
                      <w:lang w:val="en-US" w:eastAsia="zh-CN"/>
                    </w:rPr>
                    <w:t>固废库、片碱库：</w:t>
                  </w:r>
                  <w:r>
                    <w:rPr>
                      <w:rFonts w:hint="default" w:ascii="Times New Roman" w:hAnsi="Times New Roman" w:eastAsia="宋体" w:cs="Times New Roman"/>
                      <w:caps w:val="0"/>
                      <w:smallCaps w:val="0"/>
                      <w:color w:val="auto"/>
                      <w:spacing w:val="0"/>
                      <w:w w:val="100"/>
                      <w:position w:val="0"/>
                      <w:sz w:val="21"/>
                      <w:szCs w:val="21"/>
                      <w:lang w:val="en-US" w:eastAsia="zh-CN"/>
                    </w:rPr>
                    <w:t>地面铺设</w:t>
                  </w:r>
                  <w:r>
                    <w:rPr>
                      <w:rFonts w:hint="eastAsia" w:cs="Times New Roman"/>
                      <w:caps w:val="0"/>
                      <w:smallCaps w:val="0"/>
                      <w:color w:val="auto"/>
                      <w:spacing w:val="0"/>
                      <w:w w:val="100"/>
                      <w:position w:val="0"/>
                      <w:sz w:val="21"/>
                      <w:szCs w:val="21"/>
                      <w:lang w:val="en-US" w:eastAsia="zh-CN"/>
                    </w:rPr>
                    <w:t>钢筋</w:t>
                  </w:r>
                  <w:r>
                    <w:rPr>
                      <w:rFonts w:hint="default" w:ascii="Times New Roman" w:hAnsi="Times New Roman" w:eastAsia="宋体" w:cs="Times New Roman"/>
                      <w:caps w:val="0"/>
                      <w:smallCaps w:val="0"/>
                      <w:color w:val="auto"/>
                      <w:spacing w:val="0"/>
                      <w:w w:val="100"/>
                      <w:position w:val="0"/>
                      <w:sz w:val="21"/>
                      <w:szCs w:val="21"/>
                      <w:lang w:val="en-US" w:eastAsia="zh-CN"/>
                    </w:rPr>
                    <w:t>混凝土加防渗剂的防渗地坪</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采用防渗钢筋混凝土结构</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内部采用水泥基渗透结晶型防渗材料涂层；等效黏土防渗层Mb≥ 1.5m</w:t>
                  </w:r>
                  <w:r>
                    <w:rPr>
                      <w:rFonts w:hint="eastAsia" w:cs="Times New Roman"/>
                      <w:caps w:val="0"/>
                      <w:smallCaps w:val="0"/>
                      <w:color w:val="auto"/>
                      <w:spacing w:val="0"/>
                      <w:w w:val="100"/>
                      <w:position w:val="0"/>
                      <w:sz w:val="21"/>
                      <w:szCs w:val="21"/>
                      <w:lang w:val="en-US"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K≤1×10</w:t>
                  </w:r>
                  <w:r>
                    <w:rPr>
                      <w:rFonts w:hint="default" w:ascii="Times New Roman" w:hAnsi="Times New Roman" w:eastAsia="宋体" w:cs="Times New Roman"/>
                      <w:caps w:val="0"/>
                      <w:smallCaps w:val="0"/>
                      <w:color w:val="auto"/>
                      <w:spacing w:val="0"/>
                      <w:w w:val="100"/>
                      <w:position w:val="0"/>
                      <w:sz w:val="21"/>
                      <w:szCs w:val="21"/>
                      <w:vertAlign w:val="superscript"/>
                      <w:lang w:val="en-US" w:eastAsia="zh-CN"/>
                    </w:rPr>
                    <w:t>-7</w:t>
                  </w:r>
                  <w:r>
                    <w:rPr>
                      <w:rFonts w:hint="default" w:ascii="Times New Roman" w:hAnsi="Times New Roman" w:eastAsia="宋体" w:cs="Times New Roman"/>
                      <w:caps w:val="0"/>
                      <w:smallCaps w:val="0"/>
                      <w:color w:val="auto"/>
                      <w:spacing w:val="0"/>
                      <w:w w:val="100"/>
                      <w:position w:val="0"/>
                      <w:sz w:val="21"/>
                      <w:szCs w:val="21"/>
                      <w:lang w:val="en-US" w:eastAsia="zh-CN"/>
                    </w:rPr>
                    <w:t>cm/s</w:t>
                  </w:r>
                  <w:r>
                    <w:rPr>
                      <w:rFonts w:hint="eastAsia" w:ascii="Times New Roman" w:hAnsi="Times New Roman" w:cs="Times New Roman"/>
                      <w:caps w:val="0"/>
                      <w:smallCaps w:val="0"/>
                      <w:color w:val="auto"/>
                      <w:spacing w:val="0"/>
                      <w:w w:val="100"/>
                      <w:position w:val="0"/>
                      <w:sz w:val="21"/>
                      <w:szCs w:val="21"/>
                      <w:lang w:val="en-US" w:eastAsia="zh-CN"/>
                    </w:rPr>
                    <w:t>。</w:t>
                  </w:r>
                </w:p>
                <w:p w14:paraId="0F9C5BE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w w:val="100"/>
                      <w:position w:val="0"/>
                      <w:sz w:val="21"/>
                      <w:szCs w:val="21"/>
                    </w:rPr>
                  </w:pPr>
                  <w:r>
                    <w:rPr>
                      <w:rFonts w:hint="eastAsia" w:ascii="Times New Roman" w:hAnsi="Times New Roman" w:cs="Times New Roman"/>
                      <w:caps w:val="0"/>
                      <w:smallCaps w:val="0"/>
                      <w:color w:val="auto"/>
                      <w:spacing w:val="0"/>
                      <w:w w:val="100"/>
                      <w:position w:val="0"/>
                      <w:sz w:val="21"/>
                      <w:szCs w:val="21"/>
                      <w:lang w:val="en-US" w:eastAsia="zh-CN"/>
                    </w:rPr>
                    <w:t>3、车间内：</w:t>
                  </w:r>
                  <w:r>
                    <w:rPr>
                      <w:rFonts w:hint="eastAsia" w:ascii="Times New Roman" w:hAnsi="Times New Roman" w:eastAsia="宋体" w:cs="Times New Roman"/>
                      <w:caps w:val="0"/>
                      <w:smallCaps w:val="0"/>
                      <w:color w:val="auto"/>
                      <w:spacing w:val="0"/>
                      <w:w w:val="100"/>
                      <w:position w:val="0"/>
                      <w:sz w:val="21"/>
                      <w:szCs w:val="21"/>
                      <w:lang w:val="en-US" w:eastAsia="zh-CN"/>
                    </w:rPr>
                    <w:t>地面进行粗糙打磨，</w:t>
                  </w:r>
                  <w:r>
                    <w:rPr>
                      <w:rFonts w:hint="eastAsia" w:cs="Times New Roman"/>
                      <w:caps w:val="0"/>
                      <w:smallCaps w:val="0"/>
                      <w:color w:val="auto"/>
                      <w:spacing w:val="0"/>
                      <w:w w:val="100"/>
                      <w:position w:val="0"/>
                      <w:sz w:val="21"/>
                      <w:szCs w:val="21"/>
                      <w:lang w:val="en-US" w:eastAsia="zh-CN"/>
                    </w:rPr>
                    <w:t>重新</w:t>
                  </w:r>
                  <w:r>
                    <w:rPr>
                      <w:rFonts w:hint="eastAsia" w:ascii="Times New Roman" w:hAnsi="Times New Roman" w:eastAsia="宋体" w:cs="Times New Roman"/>
                      <w:caps w:val="0"/>
                      <w:smallCaps w:val="0"/>
                      <w:color w:val="auto"/>
                      <w:spacing w:val="0"/>
                      <w:w w:val="100"/>
                      <w:position w:val="0"/>
                      <w:sz w:val="21"/>
                      <w:szCs w:val="21"/>
                      <w:lang w:val="en-US" w:eastAsia="zh-CN"/>
                    </w:rPr>
                    <w:t>涂覆2~3mm厚环氧树脂地坪漆。</w:t>
                  </w:r>
                </w:p>
              </w:tc>
            </w:tr>
            <w:tr w14:paraId="255BF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jc w:val="center"/>
              </w:trPr>
              <w:tc>
                <w:tcPr>
                  <w:tcW w:w="853" w:type="dxa"/>
                  <w:tcBorders>
                    <w:tl2br w:val="nil"/>
                    <w:tr2bl w:val="nil"/>
                  </w:tcBorders>
                  <w:noWrap w:val="0"/>
                  <w:vAlign w:val="center"/>
                </w:tcPr>
                <w:p w14:paraId="2AB620B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auto"/>
                      <w:spacing w:val="0"/>
                      <w:w w:val="100"/>
                      <w:position w:val="0"/>
                      <w:sz w:val="21"/>
                      <w:szCs w:val="21"/>
                      <w:lang w:val="en-US" w:eastAsia="zh-CN"/>
                    </w:rPr>
                  </w:pPr>
                  <w:r>
                    <w:rPr>
                      <w:rFonts w:hint="eastAsia" w:cs="Times New Roman"/>
                      <w:color w:val="auto"/>
                      <w:spacing w:val="0"/>
                      <w:w w:val="100"/>
                      <w:position w:val="0"/>
                      <w:sz w:val="21"/>
                      <w:szCs w:val="21"/>
                      <w:lang w:val="en-US" w:eastAsia="zh-CN"/>
                    </w:rPr>
                    <w:t>简单防渗区</w:t>
                  </w:r>
                </w:p>
              </w:tc>
              <w:tc>
                <w:tcPr>
                  <w:tcW w:w="948" w:type="dxa"/>
                  <w:tcBorders>
                    <w:tl2br w:val="nil"/>
                    <w:tr2bl w:val="nil"/>
                  </w:tcBorders>
                  <w:noWrap w:val="0"/>
                  <w:vAlign w:val="center"/>
                </w:tcPr>
                <w:p w14:paraId="6D9AA38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cs="Times New Roman"/>
                      <w:color w:val="auto"/>
                      <w:spacing w:val="0"/>
                      <w:kern w:val="0"/>
                      <w:position w:val="0"/>
                      <w:sz w:val="21"/>
                      <w:szCs w:val="21"/>
                      <w:lang w:val="en-US" w:eastAsia="zh-CN" w:bidi="ar"/>
                    </w:rPr>
                  </w:pPr>
                  <w:r>
                    <w:rPr>
                      <w:rFonts w:hint="eastAsia" w:cs="Times New Roman"/>
                      <w:color w:val="auto"/>
                      <w:spacing w:val="0"/>
                      <w:kern w:val="0"/>
                      <w:position w:val="0"/>
                      <w:sz w:val="21"/>
                      <w:szCs w:val="21"/>
                      <w:lang w:val="en-US" w:eastAsia="zh-CN" w:bidi="ar"/>
                    </w:rPr>
                    <w:t>办公休息区</w:t>
                  </w:r>
                </w:p>
              </w:tc>
              <w:tc>
                <w:tcPr>
                  <w:tcW w:w="7267" w:type="dxa"/>
                  <w:tcBorders>
                    <w:tl2br w:val="nil"/>
                    <w:tr2bl w:val="nil"/>
                  </w:tcBorders>
                  <w:noWrap w:val="0"/>
                  <w:vAlign w:val="center"/>
                </w:tcPr>
                <w:p w14:paraId="57CCFE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eastAsia" w:cs="Times New Roman"/>
                      <w:caps w:val="0"/>
                      <w:smallCaps w:val="0"/>
                      <w:color w:val="auto"/>
                      <w:spacing w:val="0"/>
                      <w:w w:val="100"/>
                      <w:position w:val="0"/>
                      <w:sz w:val="21"/>
                      <w:szCs w:val="21"/>
                      <w:lang w:val="en-US" w:eastAsia="zh-CN"/>
                    </w:rPr>
                    <w:t>地面硬化处理。</w:t>
                  </w:r>
                </w:p>
              </w:tc>
            </w:tr>
          </w:tbl>
          <w:p w14:paraId="28617E99">
            <w:pPr>
              <w:pStyle w:val="48"/>
              <w:spacing w:line="480" w:lineRule="atLeast"/>
              <w:ind w:firstLine="482" w:firstLineChars="200"/>
              <w:jc w:val="left"/>
              <w:rPr>
                <w:rFonts w:hint="default" w:ascii="Times New Roman" w:hAnsi="Times New Roman" w:cs="Times New Roman"/>
                <w:b/>
                <w:bCs/>
                <w:color w:val="auto"/>
                <w:spacing w:val="0"/>
                <w:position w:val="0"/>
              </w:rPr>
            </w:pPr>
            <w:r>
              <w:rPr>
                <w:rFonts w:hint="eastAsia" w:ascii="Times New Roman" w:hAnsi="Times New Roman" w:cs="Times New Roman"/>
                <w:b/>
                <w:bCs/>
                <w:color w:val="auto"/>
                <w:spacing w:val="0"/>
                <w:position w:val="0"/>
                <w:lang w:eastAsia="zh-CN"/>
              </w:rPr>
              <w:t>（</w:t>
            </w:r>
            <w:r>
              <w:rPr>
                <w:rFonts w:hint="default" w:ascii="Times New Roman" w:hAnsi="Times New Roman" w:cs="Times New Roman"/>
                <w:b/>
                <w:bCs/>
                <w:color w:val="auto"/>
                <w:spacing w:val="0"/>
                <w:position w:val="0"/>
              </w:rPr>
              <w:t>三）影响分析</w:t>
            </w:r>
          </w:p>
          <w:p w14:paraId="3F427046">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综上所述，采取分区防护措施后，对地下水、土壤有影响的各个环节均能得到良好控制，故本项目对地下水和土壤的影响较小，基本不存在地下水和土壤的污染途径，不需进行跟踪监测。</w:t>
            </w:r>
          </w:p>
          <w:p w14:paraId="6DC6694B">
            <w:pPr>
              <w:pStyle w:val="48"/>
              <w:spacing w:line="480" w:lineRule="atLeast"/>
              <w:ind w:firstLine="482" w:firstLineChars="200"/>
              <w:jc w:val="left"/>
              <w:rPr>
                <w:rFonts w:hint="eastAsia" w:ascii="Times New Roman" w:hAnsi="Times New Roman" w:cs="Times New Roman"/>
                <w:b/>
                <w:bCs/>
                <w:color w:val="auto"/>
                <w:spacing w:val="0"/>
                <w:position w:val="0"/>
                <w:lang w:val="en-US" w:eastAsia="zh-CN"/>
              </w:rPr>
            </w:pPr>
          </w:p>
          <w:p w14:paraId="332FAEC9">
            <w:pPr>
              <w:pStyle w:val="48"/>
              <w:spacing w:line="480" w:lineRule="atLeast"/>
              <w:ind w:firstLine="482" w:firstLineChars="200"/>
              <w:jc w:val="left"/>
              <w:rPr>
                <w:rFonts w:hint="eastAsia" w:ascii="Times New Roman" w:hAnsi="Times New Roman" w:cs="Times New Roman"/>
                <w:b/>
                <w:bCs/>
                <w:color w:val="auto"/>
                <w:spacing w:val="0"/>
                <w:position w:val="0"/>
                <w:lang w:val="en-US" w:eastAsia="zh-CN"/>
              </w:rPr>
            </w:pPr>
          </w:p>
          <w:p w14:paraId="0568818E">
            <w:pPr>
              <w:pStyle w:val="48"/>
              <w:spacing w:line="480" w:lineRule="atLeast"/>
              <w:ind w:firstLine="482" w:firstLineChars="200"/>
              <w:jc w:val="left"/>
              <w:rPr>
                <w:rFonts w:hint="eastAsia" w:ascii="Times New Roman" w:hAnsi="Times New Roman" w:cs="Times New Roman"/>
                <w:b/>
                <w:bCs/>
                <w:color w:val="auto"/>
                <w:spacing w:val="0"/>
                <w:position w:val="0"/>
                <w:lang w:val="en-US" w:eastAsia="zh-CN"/>
              </w:rPr>
            </w:pPr>
          </w:p>
          <w:p w14:paraId="43A91319">
            <w:pPr>
              <w:pStyle w:val="48"/>
              <w:spacing w:line="480" w:lineRule="atLeast"/>
              <w:ind w:firstLine="482" w:firstLineChars="200"/>
              <w:jc w:val="left"/>
              <w:rPr>
                <w:rFonts w:hint="eastAsia" w:ascii="Times New Roman" w:hAnsi="Times New Roman" w:cs="Times New Roman"/>
                <w:b/>
                <w:bCs/>
                <w:color w:val="auto"/>
                <w:spacing w:val="0"/>
                <w:position w:val="0"/>
                <w:lang w:val="en-US" w:eastAsia="zh-CN"/>
              </w:rPr>
            </w:pPr>
          </w:p>
          <w:p w14:paraId="6E16A3B3">
            <w:pPr>
              <w:pStyle w:val="48"/>
              <w:spacing w:line="480" w:lineRule="atLeast"/>
              <w:ind w:firstLine="482" w:firstLineChars="200"/>
              <w:jc w:val="left"/>
              <w:rPr>
                <w:rFonts w:hint="eastAsia" w:ascii="Times New Roman" w:hAnsi="Times New Roman" w:cs="Times New Roman"/>
                <w:b/>
                <w:bCs/>
                <w:color w:val="auto"/>
                <w:spacing w:val="0"/>
                <w:position w:val="0"/>
                <w:lang w:val="en-US" w:eastAsia="zh-CN"/>
              </w:rPr>
            </w:pPr>
          </w:p>
          <w:p w14:paraId="0659193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cs="Times New Roman"/>
                <w:color w:val="auto"/>
                <w:spacing w:val="0"/>
                <w:position w:val="0"/>
                <w:sz w:val="24"/>
                <w:szCs w:val="32"/>
                <w:lang w:val="en-US" w:eastAsia="zh-CN"/>
              </w:rPr>
            </w:pPr>
            <w:r>
              <w:rPr>
                <w:rFonts w:hint="eastAsia" w:cs="Times New Roman"/>
                <w:b/>
                <w:bCs/>
                <w:color w:val="auto"/>
                <w:spacing w:val="0"/>
                <w:position w:val="0"/>
                <w:sz w:val="24"/>
                <w:szCs w:val="32"/>
                <w:lang w:val="en-US" w:eastAsia="zh-CN"/>
              </w:rPr>
              <w:t>4.6环境风险</w:t>
            </w:r>
          </w:p>
          <w:p w14:paraId="08103E8D">
            <w:pPr>
              <w:pStyle w:val="5"/>
              <w:pageBreakBefore w:val="0"/>
              <w:widowControl w:val="0"/>
              <w:kinsoku/>
              <w:wordWrap/>
              <w:overflowPunct/>
              <w:topLinePunct w:val="0"/>
              <w:autoSpaceDE/>
              <w:autoSpaceDN/>
              <w:bidi w:val="0"/>
              <w:adjustRightInd w:val="0"/>
              <w:snapToGrid/>
              <w:spacing w:before="0" w:after="0" w:line="360" w:lineRule="auto"/>
              <w:textAlignment w:val="baseline"/>
              <w:rPr>
                <w:rFonts w:hint="default" w:ascii="Times New Roman" w:hAnsi="Times New Roman" w:cs="Times New Roman"/>
                <w:color w:val="auto"/>
                <w:sz w:val="24"/>
                <w:szCs w:val="24"/>
              </w:rPr>
            </w:pPr>
            <w:r>
              <w:rPr>
                <w:rFonts w:hint="eastAsia" w:cs="Times New Roman"/>
                <w:color w:val="auto"/>
                <w:sz w:val="24"/>
                <w:szCs w:val="24"/>
                <w:lang w:val="en-US" w:eastAsia="zh-CN"/>
              </w:rPr>
              <w:t>4.</w:t>
            </w:r>
            <w:r>
              <w:rPr>
                <w:rFonts w:hint="default" w:ascii="Times New Roman" w:hAnsi="Times New Roman" w:cs="Times New Roman"/>
                <w:color w:val="auto"/>
                <w:sz w:val="24"/>
                <w:szCs w:val="24"/>
              </w:rPr>
              <w:t>6.1环境风险物质识别</w:t>
            </w:r>
          </w:p>
          <w:p w14:paraId="7577CA0A">
            <w:pPr>
              <w:pageBreakBefore w:val="0"/>
              <w:widowControl w:val="0"/>
              <w:kinsoku/>
              <w:wordWrap/>
              <w:overflowPunct/>
              <w:topLinePunct w:val="0"/>
              <w:autoSpaceDE/>
              <w:autoSpaceDN/>
              <w:bidi w:val="0"/>
              <w:snapToGrid/>
              <w:spacing w:line="360" w:lineRule="auto"/>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根据《关于防范环境风险加强环境影响评价管理的通知》（环发</w:t>
            </w:r>
            <w:r>
              <w:rPr>
                <w:rFonts w:hint="eastAsia" w:ascii="Times New Roman" w:hAnsi="Times New Roman" w:eastAsia="宋体"/>
                <w:color w:val="auto"/>
                <w:kern w:val="0"/>
                <w:sz w:val="24"/>
                <w:lang w:eastAsia="zh-CN"/>
              </w:rPr>
              <w:t>〔2005〕152号</w:t>
            </w:r>
            <w:r>
              <w:rPr>
                <w:rFonts w:hint="eastAsia" w:ascii="Times New Roman" w:hAnsi="Times New Roman" w:eastAsia="宋体"/>
                <w:color w:val="auto"/>
                <w:kern w:val="0"/>
                <w:sz w:val="24"/>
              </w:rPr>
              <w:t>）文件的精神，本次风险评价拟通过分析拟建项目中主要物料的危险性和毒性，并识别主要危险单元，分析风险事故原因及环境影响，从而提出防治措施，达到降低风险性、降低危害程度、保护环境之目的。</w:t>
            </w:r>
          </w:p>
          <w:p w14:paraId="619C9860">
            <w:pPr>
              <w:pageBreakBefore w:val="0"/>
              <w:widowControl w:val="0"/>
              <w:kinsoku/>
              <w:wordWrap/>
              <w:overflowPunct/>
              <w:topLinePunct w:val="0"/>
              <w:autoSpaceDE/>
              <w:autoSpaceDN/>
              <w:bidi w:val="0"/>
              <w:snapToGrid/>
              <w:spacing w:line="360" w:lineRule="auto"/>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w:t>
            </w:r>
            <w:r>
              <w:rPr>
                <w:rFonts w:hint="eastAsia" w:ascii="Times New Roman" w:hAnsi="Times New Roman" w:eastAsia="宋体"/>
                <w:color w:val="auto"/>
                <w:kern w:val="0"/>
                <w:sz w:val="24"/>
                <w:lang w:val="en-US" w:eastAsia="zh-CN"/>
              </w:rPr>
              <w:t>1）</w:t>
            </w:r>
            <w:r>
              <w:rPr>
                <w:rFonts w:hint="eastAsia" w:ascii="Times New Roman" w:hAnsi="Times New Roman" w:eastAsia="宋体"/>
                <w:color w:val="auto"/>
                <w:kern w:val="0"/>
                <w:sz w:val="24"/>
              </w:rPr>
              <w:t>风险潜势判定</w:t>
            </w:r>
          </w:p>
          <w:p w14:paraId="59CE5BDB">
            <w:pPr>
              <w:pageBreakBefore w:val="0"/>
              <w:widowControl w:val="0"/>
              <w:kinsoku/>
              <w:wordWrap/>
              <w:overflowPunct/>
              <w:topLinePunct w:val="0"/>
              <w:autoSpaceDE/>
              <w:autoSpaceDN/>
              <w:bidi w:val="0"/>
              <w:snapToGrid/>
              <w:spacing w:line="360" w:lineRule="auto"/>
              <w:ind w:firstLine="480" w:firstLineChars="200"/>
              <w:rPr>
                <w:rFonts w:hint="eastAsia" w:ascii="Times New Roman" w:hAnsi="Times New Roman" w:eastAsia="宋体"/>
                <w:color w:val="auto"/>
                <w:kern w:val="0"/>
                <w:sz w:val="24"/>
              </w:rPr>
            </w:pPr>
            <w:r>
              <w:rPr>
                <w:rFonts w:hint="eastAsia" w:ascii="Times New Roman" w:hAnsi="Times New Roman"/>
                <w:color w:val="auto"/>
                <w:kern w:val="0"/>
                <w:sz w:val="24"/>
                <w:lang w:val="en-US" w:eastAsia="zh-CN"/>
              </w:rPr>
              <w:t>1）</w:t>
            </w:r>
            <w:r>
              <w:rPr>
                <w:rFonts w:hint="eastAsia" w:ascii="Times New Roman" w:hAnsi="Times New Roman" w:eastAsia="宋体"/>
                <w:color w:val="auto"/>
                <w:kern w:val="0"/>
                <w:sz w:val="24"/>
              </w:rPr>
              <w:t>危险物质数量与临界量比值（Q）</w:t>
            </w:r>
          </w:p>
          <w:p w14:paraId="353C51DE">
            <w:pPr>
              <w:pageBreakBefore w:val="0"/>
              <w:widowControl w:val="0"/>
              <w:kinsoku/>
              <w:wordWrap/>
              <w:overflowPunct/>
              <w:topLinePunct w:val="0"/>
              <w:autoSpaceDE/>
              <w:autoSpaceDN/>
              <w:bidi w:val="0"/>
              <w:snapToGrid/>
              <w:spacing w:line="360" w:lineRule="auto"/>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计算所涉及的每种危险物质在厂界内的最大存在总量与其在HJ 169－2018附录B 中对应临界量的比值Q。在不同厂区的同一种物质，按其在厂界内的最大存在总量计算。对于长输管线项目，按照两个截断阀室之间管段危险物质最大存在总量计算。</w:t>
            </w:r>
          </w:p>
          <w:p w14:paraId="11E6C5B1">
            <w:pPr>
              <w:spacing w:line="460" w:lineRule="exact"/>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当只涉及一种危险物质时，计算该物质的总量与其临界量比值，即为Q；</w:t>
            </w:r>
          </w:p>
          <w:p w14:paraId="1833A4B8">
            <w:pPr>
              <w:spacing w:line="460" w:lineRule="exact"/>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当存在多种危险物质时，则按式（C.1）计算物质总量与其临界量比值（Q）：</w:t>
            </w:r>
          </w:p>
          <w:p w14:paraId="42AB6982">
            <w:pPr>
              <w:pStyle w:val="14"/>
              <w:tabs>
                <w:tab w:val="left" w:pos="180"/>
              </w:tabs>
              <w:rPr>
                <w:rFonts w:hint="eastAsia" w:ascii="Times New Roman" w:hAnsi="Times New Roman" w:eastAsia="宋体"/>
                <w:caps w:val="0"/>
                <w:color w:val="auto"/>
              </w:rPr>
            </w:pPr>
            <w:r>
              <w:rPr>
                <w:rFonts w:hint="eastAsia" w:ascii="Times New Roman" w:hAnsi="Times New Roman" w:eastAsia="宋体"/>
                <w:bCs/>
                <w:caps w:val="0"/>
                <w:color w:val="auto"/>
                <w:sz w:val="24"/>
              </w:rPr>
              <w:drawing>
                <wp:anchor distT="0" distB="0" distL="114300" distR="114300" simplePos="0" relativeHeight="251669504" behindDoc="1" locked="0" layoutInCell="1" allowOverlap="1">
                  <wp:simplePos x="0" y="0"/>
                  <wp:positionH relativeFrom="column">
                    <wp:posOffset>1882775</wp:posOffset>
                  </wp:positionH>
                  <wp:positionV relativeFrom="paragraph">
                    <wp:posOffset>54610</wp:posOffset>
                  </wp:positionV>
                  <wp:extent cx="1675765" cy="422910"/>
                  <wp:effectExtent l="0" t="0" r="635" b="15240"/>
                  <wp:wrapNone/>
                  <wp:docPr id="3"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8"/>
                          <pic:cNvPicPr>
                            <a:picLocks noChangeAspect="1"/>
                          </pic:cNvPicPr>
                        </pic:nvPicPr>
                        <pic:blipFill>
                          <a:blip r:embed="rId40"/>
                          <a:stretch>
                            <a:fillRect/>
                          </a:stretch>
                        </pic:blipFill>
                        <pic:spPr>
                          <a:xfrm>
                            <a:off x="0" y="0"/>
                            <a:ext cx="1675765" cy="422910"/>
                          </a:xfrm>
                          <a:prstGeom prst="rect">
                            <a:avLst/>
                          </a:prstGeom>
                          <a:noFill/>
                          <a:ln>
                            <a:noFill/>
                          </a:ln>
                        </pic:spPr>
                      </pic:pic>
                    </a:graphicData>
                  </a:graphic>
                </wp:anchor>
              </w:drawing>
            </w:r>
          </w:p>
          <w:p w14:paraId="18DE6C56">
            <w:pPr>
              <w:spacing w:line="460" w:lineRule="exact"/>
              <w:ind w:firstLine="480" w:firstLineChars="200"/>
              <w:rPr>
                <w:rFonts w:hint="eastAsia" w:ascii="Times New Roman" w:hAnsi="Times New Roman" w:eastAsia="宋体"/>
                <w:bCs/>
                <w:caps w:val="0"/>
                <w:color w:val="auto"/>
                <w:sz w:val="24"/>
              </w:rPr>
            </w:pPr>
          </w:p>
          <w:p w14:paraId="5E5F89D5">
            <w:pPr>
              <w:spacing w:line="460" w:lineRule="exact"/>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式中：q</w:t>
            </w:r>
            <w:r>
              <w:rPr>
                <w:rFonts w:hint="eastAsia" w:ascii="Times New Roman" w:hAnsi="Times New Roman" w:eastAsia="宋体"/>
                <w:color w:val="auto"/>
                <w:kern w:val="0"/>
                <w:sz w:val="24"/>
                <w:vertAlign w:val="subscript"/>
              </w:rPr>
              <w:t>1</w:t>
            </w:r>
            <w:r>
              <w:rPr>
                <w:rFonts w:hint="eastAsia" w:ascii="Times New Roman" w:hAnsi="Times New Roman" w:eastAsia="宋体"/>
                <w:color w:val="auto"/>
                <w:kern w:val="0"/>
                <w:sz w:val="24"/>
              </w:rPr>
              <w:t>，q</w:t>
            </w:r>
            <w:r>
              <w:rPr>
                <w:rFonts w:hint="eastAsia" w:ascii="Times New Roman" w:hAnsi="Times New Roman" w:eastAsia="宋体"/>
                <w:color w:val="auto"/>
                <w:kern w:val="0"/>
                <w:sz w:val="24"/>
                <w:vertAlign w:val="subscript"/>
              </w:rPr>
              <w:t>2</w:t>
            </w:r>
            <w:r>
              <w:rPr>
                <w:rFonts w:hint="eastAsia" w:ascii="Times New Roman" w:hAnsi="Times New Roman" w:eastAsia="宋体"/>
                <w:color w:val="auto"/>
                <w:kern w:val="0"/>
                <w:sz w:val="24"/>
              </w:rPr>
              <w:t>，...，q</w:t>
            </w:r>
            <w:r>
              <w:rPr>
                <w:rFonts w:hint="eastAsia" w:ascii="Times New Roman" w:hAnsi="Times New Roman" w:eastAsia="宋体"/>
                <w:color w:val="auto"/>
                <w:kern w:val="0"/>
                <w:sz w:val="24"/>
                <w:vertAlign w:val="subscript"/>
              </w:rPr>
              <w:t>n</w:t>
            </w:r>
            <w:r>
              <w:rPr>
                <w:rFonts w:hint="eastAsia" w:ascii="Times New Roman" w:hAnsi="Times New Roman" w:eastAsia="宋体"/>
                <w:color w:val="auto"/>
                <w:kern w:val="0"/>
                <w:sz w:val="24"/>
              </w:rPr>
              <w:t>——每种危险物质的最大存在总量，t；</w:t>
            </w:r>
          </w:p>
          <w:p w14:paraId="27B59542">
            <w:pPr>
              <w:spacing w:line="460" w:lineRule="exact"/>
              <w:ind w:firstLine="1200" w:firstLineChars="500"/>
              <w:rPr>
                <w:rFonts w:hint="eastAsia" w:ascii="Times New Roman" w:hAnsi="Times New Roman" w:eastAsia="宋体"/>
                <w:color w:val="auto"/>
                <w:kern w:val="0"/>
                <w:sz w:val="24"/>
              </w:rPr>
            </w:pPr>
            <w:r>
              <w:rPr>
                <w:rFonts w:hint="eastAsia" w:ascii="Times New Roman" w:hAnsi="Times New Roman" w:eastAsia="宋体"/>
                <w:color w:val="auto"/>
                <w:kern w:val="0"/>
                <w:sz w:val="24"/>
              </w:rPr>
              <w:t>Q</w:t>
            </w:r>
            <w:r>
              <w:rPr>
                <w:rFonts w:hint="eastAsia" w:ascii="Times New Roman" w:hAnsi="Times New Roman" w:eastAsia="宋体"/>
                <w:color w:val="auto"/>
                <w:kern w:val="0"/>
                <w:sz w:val="24"/>
                <w:vertAlign w:val="subscript"/>
              </w:rPr>
              <w:t>1</w:t>
            </w:r>
            <w:r>
              <w:rPr>
                <w:rFonts w:hint="eastAsia" w:ascii="Times New Roman" w:hAnsi="Times New Roman" w:eastAsia="宋体"/>
                <w:color w:val="auto"/>
                <w:kern w:val="0"/>
                <w:sz w:val="24"/>
                <w:lang w:eastAsia="zh-CN"/>
              </w:rPr>
              <w:t>，</w:t>
            </w:r>
            <w:r>
              <w:rPr>
                <w:rFonts w:hint="eastAsia" w:ascii="Times New Roman" w:hAnsi="Times New Roman" w:eastAsia="宋体"/>
                <w:color w:val="auto"/>
                <w:kern w:val="0"/>
                <w:sz w:val="24"/>
              </w:rPr>
              <w:t xml:space="preserve"> Q</w:t>
            </w:r>
            <w:r>
              <w:rPr>
                <w:rFonts w:hint="eastAsia" w:ascii="Times New Roman" w:hAnsi="Times New Roman" w:eastAsia="宋体"/>
                <w:color w:val="auto"/>
                <w:kern w:val="0"/>
                <w:sz w:val="24"/>
                <w:vertAlign w:val="subscript"/>
              </w:rPr>
              <w:t>2</w:t>
            </w:r>
            <w:r>
              <w:rPr>
                <w:rFonts w:hint="eastAsia" w:ascii="Times New Roman" w:hAnsi="Times New Roman" w:eastAsia="宋体"/>
                <w:color w:val="auto"/>
                <w:kern w:val="0"/>
                <w:sz w:val="24"/>
                <w:lang w:eastAsia="zh-CN"/>
              </w:rPr>
              <w:t>，</w:t>
            </w:r>
            <w:r>
              <w:rPr>
                <w:rFonts w:hint="eastAsia" w:ascii="Times New Roman" w:hAnsi="Times New Roman" w:eastAsia="宋体"/>
                <w:color w:val="auto"/>
                <w:kern w:val="0"/>
                <w:sz w:val="24"/>
              </w:rPr>
              <w:t xml:space="preserve"> ...</w:t>
            </w:r>
            <w:r>
              <w:rPr>
                <w:rFonts w:hint="eastAsia" w:ascii="Times New Roman" w:hAnsi="Times New Roman" w:eastAsia="宋体"/>
                <w:color w:val="auto"/>
                <w:kern w:val="0"/>
                <w:sz w:val="24"/>
                <w:lang w:eastAsia="zh-CN"/>
              </w:rPr>
              <w:t>，</w:t>
            </w:r>
            <w:r>
              <w:rPr>
                <w:rFonts w:hint="eastAsia" w:ascii="Times New Roman" w:hAnsi="Times New Roman" w:eastAsia="宋体"/>
                <w:color w:val="auto"/>
                <w:kern w:val="0"/>
                <w:sz w:val="24"/>
              </w:rPr>
              <w:t xml:space="preserve"> Q</w:t>
            </w:r>
            <w:r>
              <w:rPr>
                <w:rFonts w:hint="eastAsia" w:ascii="Times New Roman" w:hAnsi="Times New Roman" w:eastAsia="宋体"/>
                <w:color w:val="auto"/>
                <w:kern w:val="0"/>
                <w:sz w:val="24"/>
                <w:vertAlign w:val="subscript"/>
              </w:rPr>
              <w:t>n</w:t>
            </w:r>
            <w:r>
              <w:rPr>
                <w:rFonts w:hint="eastAsia" w:ascii="Times New Roman" w:hAnsi="Times New Roman" w:eastAsia="宋体"/>
                <w:color w:val="auto"/>
                <w:kern w:val="0"/>
                <w:sz w:val="24"/>
              </w:rPr>
              <w:t>——每种危险物质的临界量，t。</w:t>
            </w:r>
          </w:p>
          <w:p w14:paraId="6F1D4FB6">
            <w:pPr>
              <w:spacing w:line="460" w:lineRule="exact"/>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当Q＜1 时，该项目环境风险潜势为Ⅰ。</w:t>
            </w:r>
          </w:p>
          <w:p w14:paraId="263C430B">
            <w:pPr>
              <w:spacing w:line="460" w:lineRule="exact"/>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当Q≥1 时，将Q 值划分为：</w:t>
            </w:r>
          </w:p>
          <w:p w14:paraId="37CE700F">
            <w:pPr>
              <w:spacing w:line="460" w:lineRule="exact"/>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（1）1≤Q＜10；</w:t>
            </w:r>
          </w:p>
          <w:p w14:paraId="322BDDA3">
            <w:pPr>
              <w:spacing w:line="460" w:lineRule="exact"/>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（2）10≤Q＜100；</w:t>
            </w:r>
          </w:p>
          <w:p w14:paraId="77D089E0">
            <w:pPr>
              <w:spacing w:line="460" w:lineRule="exact"/>
              <w:ind w:firstLine="480" w:firstLineChars="200"/>
              <w:rPr>
                <w:rFonts w:hint="eastAsia" w:ascii="Times New Roman" w:hAnsi="Times New Roman" w:eastAsia="宋体"/>
                <w:color w:val="auto"/>
                <w:kern w:val="0"/>
                <w:sz w:val="24"/>
              </w:rPr>
            </w:pPr>
            <w:r>
              <w:rPr>
                <w:rFonts w:hint="eastAsia" w:ascii="Times New Roman" w:hAnsi="Times New Roman" w:eastAsia="宋体"/>
                <w:color w:val="auto"/>
                <w:kern w:val="0"/>
                <w:sz w:val="24"/>
              </w:rPr>
              <w:t>（3）Q≥100。</w:t>
            </w:r>
          </w:p>
          <w:p w14:paraId="70A6A05E">
            <w:pPr>
              <w:spacing w:line="460" w:lineRule="exact"/>
              <w:ind w:firstLine="480" w:firstLineChars="200"/>
              <w:rPr>
                <w:rFonts w:hint="default" w:ascii="Times New Roman" w:hAnsi="Times New Roman" w:eastAsia="宋体"/>
                <w:color w:val="auto"/>
                <w:kern w:val="0"/>
                <w:sz w:val="24"/>
                <w:lang w:val="en-US" w:eastAsia="zh-CN"/>
              </w:rPr>
            </w:pPr>
            <w:r>
              <w:rPr>
                <w:rFonts w:hint="eastAsia" w:ascii="Times New Roman" w:hAnsi="Times New Roman" w:eastAsia="宋体"/>
                <w:color w:val="auto"/>
                <w:kern w:val="0"/>
                <w:sz w:val="24"/>
              </w:rPr>
              <w:t>根据《建设项目环境风险评价技术导则》（HJ169－2018）</w:t>
            </w:r>
            <w:r>
              <w:rPr>
                <w:rFonts w:hint="eastAsia" w:ascii="Times New Roman" w:hAnsi="Times New Roman" w:eastAsia="宋体"/>
                <w:color w:val="auto"/>
                <w:kern w:val="0"/>
                <w:sz w:val="24"/>
                <w:lang w:eastAsia="zh-CN"/>
              </w:rPr>
              <w:t>及</w:t>
            </w:r>
            <w:r>
              <w:rPr>
                <w:rFonts w:hint="eastAsia" w:ascii="Times New Roman" w:hAnsi="Times New Roman" w:eastAsia="宋体"/>
                <w:color w:val="auto"/>
                <w:kern w:val="0"/>
                <w:sz w:val="24"/>
              </w:rPr>
              <w:t>《</w:t>
            </w:r>
            <w:r>
              <w:rPr>
                <w:rFonts w:hint="eastAsia" w:ascii="Times New Roman" w:hAnsi="Times New Roman" w:eastAsia="宋体"/>
                <w:color w:val="auto"/>
                <w:kern w:val="0"/>
                <w:sz w:val="24"/>
                <w:lang w:eastAsia="zh-CN"/>
              </w:rPr>
              <w:t>危险化学品重大危险源辨识</w:t>
            </w:r>
            <w:r>
              <w:rPr>
                <w:rFonts w:hint="eastAsia" w:ascii="Times New Roman" w:hAnsi="Times New Roman" w:eastAsia="宋体"/>
                <w:color w:val="auto"/>
                <w:kern w:val="0"/>
                <w:sz w:val="24"/>
              </w:rPr>
              <w:t>》（HJ</w:t>
            </w:r>
            <w:r>
              <w:rPr>
                <w:rFonts w:hint="eastAsia" w:ascii="Times New Roman" w:hAnsi="Times New Roman" w:eastAsia="宋体"/>
                <w:color w:val="auto"/>
                <w:kern w:val="0"/>
                <w:sz w:val="24"/>
                <w:lang w:val="en-US" w:eastAsia="zh-CN"/>
              </w:rPr>
              <w:t>18218</w:t>
            </w:r>
            <w:r>
              <w:rPr>
                <w:rFonts w:hint="eastAsia" w:ascii="Times New Roman" w:hAnsi="Times New Roman" w:eastAsia="宋体"/>
                <w:color w:val="auto"/>
                <w:kern w:val="0"/>
                <w:sz w:val="24"/>
              </w:rPr>
              <w:t>－</w:t>
            </w:r>
            <w:r>
              <w:rPr>
                <w:rFonts w:hint="eastAsia" w:ascii="Times New Roman" w:hAnsi="Times New Roman" w:eastAsia="宋体"/>
                <w:color w:val="auto"/>
                <w:kern w:val="0"/>
                <w:sz w:val="24"/>
                <w:lang w:val="en-US" w:eastAsia="zh-CN"/>
              </w:rPr>
              <w:t>2018</w:t>
            </w:r>
            <w:r>
              <w:rPr>
                <w:rFonts w:hint="eastAsia" w:ascii="Times New Roman" w:hAnsi="Times New Roman" w:eastAsia="宋体"/>
                <w:color w:val="auto"/>
                <w:kern w:val="0"/>
                <w:sz w:val="24"/>
              </w:rPr>
              <w:t>），项目危险物质数量与临界量如下：</w:t>
            </w:r>
          </w:p>
          <w:p w14:paraId="58FB4EC1">
            <w:pPr>
              <w:spacing w:line="500" w:lineRule="exact"/>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w:t>
            </w:r>
            <w:r>
              <w:rPr>
                <w:rFonts w:hint="eastAsia" w:ascii="Times New Roman" w:hAnsi="Times New Roman" w:cs="Times New Roman"/>
                <w:b/>
                <w:color w:val="auto"/>
                <w:sz w:val="21"/>
                <w:szCs w:val="21"/>
                <w:lang w:val="en-US" w:eastAsia="zh-CN"/>
              </w:rPr>
              <w:t>4-37</w:t>
            </w:r>
            <w:r>
              <w:rPr>
                <w:rFonts w:hint="default" w:ascii="Times New Roman" w:hAnsi="Times New Roman" w:eastAsia="宋体" w:cs="Times New Roman"/>
                <w:b/>
                <w:color w:val="auto"/>
                <w:sz w:val="21"/>
                <w:szCs w:val="21"/>
              </w:rPr>
              <w:t xml:space="preserve"> </w:t>
            </w:r>
            <w:r>
              <w:rPr>
                <w:rFonts w:hint="eastAsia"/>
                <w:b/>
                <w:color w:val="auto"/>
                <w:kern w:val="0"/>
                <w:sz w:val="21"/>
                <w:szCs w:val="21"/>
              </w:rPr>
              <w:t>危险物质数量与临界量比值（</w:t>
            </w:r>
            <w:r>
              <w:rPr>
                <w:b/>
                <w:color w:val="auto"/>
                <w:kern w:val="0"/>
                <w:sz w:val="21"/>
                <w:szCs w:val="21"/>
              </w:rPr>
              <w:t>Q</w:t>
            </w:r>
            <w:r>
              <w:rPr>
                <w:rFonts w:hint="eastAsia"/>
                <w:b/>
                <w:color w:val="auto"/>
                <w:kern w:val="0"/>
                <w:sz w:val="21"/>
                <w:szCs w:val="21"/>
              </w:rPr>
              <w:t>）</w:t>
            </w:r>
          </w:p>
          <w:tbl>
            <w:tblPr>
              <w:tblStyle w:val="27"/>
              <w:tblW w:w="8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1617"/>
              <w:gridCol w:w="1259"/>
              <w:gridCol w:w="1133"/>
              <w:gridCol w:w="1718"/>
              <w:gridCol w:w="1111"/>
              <w:gridCol w:w="1259"/>
            </w:tblGrid>
            <w:tr w14:paraId="67F6C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99" w:type="dxa"/>
                  <w:noWrap w:val="0"/>
                  <w:vAlign w:val="center"/>
                </w:tcPr>
                <w:p w14:paraId="7C691A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t>序号</w:t>
                  </w:r>
                </w:p>
              </w:tc>
              <w:tc>
                <w:tcPr>
                  <w:tcW w:w="1617" w:type="dxa"/>
                  <w:noWrap w:val="0"/>
                  <w:vAlign w:val="center"/>
                </w:tcPr>
                <w:p w14:paraId="46A97F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t>物质名称</w:t>
                  </w:r>
                </w:p>
              </w:tc>
              <w:tc>
                <w:tcPr>
                  <w:tcW w:w="1259" w:type="dxa"/>
                  <w:noWrap w:val="0"/>
                  <w:vAlign w:val="center"/>
                </w:tcPr>
                <w:p w14:paraId="7AF7CF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t>形态</w:t>
                  </w:r>
                </w:p>
              </w:tc>
              <w:tc>
                <w:tcPr>
                  <w:tcW w:w="1133" w:type="dxa"/>
                  <w:noWrap w:val="0"/>
                  <w:vAlign w:val="center"/>
                </w:tcPr>
                <w:p w14:paraId="3359C3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t>临界量</w:t>
                  </w:r>
                </w:p>
              </w:tc>
              <w:tc>
                <w:tcPr>
                  <w:tcW w:w="1718" w:type="dxa"/>
                  <w:noWrap w:val="0"/>
                  <w:vAlign w:val="center"/>
                </w:tcPr>
                <w:p w14:paraId="3ED434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t>最大</w:t>
                  </w:r>
                  <w:r>
                    <w:rPr>
                      <w:rFonts w:hint="eastAsia" w:cs="Times New Roman"/>
                      <w:b/>
                      <w:bCs/>
                      <w:caps w:val="0"/>
                      <w:color w:val="auto"/>
                      <w:spacing w:val="0"/>
                      <w:w w:val="100"/>
                      <w:kern w:val="0"/>
                      <w:position w:val="0"/>
                      <w:sz w:val="21"/>
                      <w:szCs w:val="21"/>
                      <w:vertAlign w:val="baseline"/>
                      <w:lang w:val="en-US" w:eastAsia="zh-CN" w:bidi="ar-SA"/>
                    </w:rPr>
                    <w:t>存在</w:t>
                  </w:r>
                  <w:r>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t>量t</w:t>
                  </w:r>
                </w:p>
              </w:tc>
              <w:tc>
                <w:tcPr>
                  <w:tcW w:w="1111" w:type="dxa"/>
                  <w:noWrap w:val="0"/>
                  <w:vAlign w:val="center"/>
                </w:tcPr>
                <w:p w14:paraId="7463C7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t>贮存方式</w:t>
                  </w:r>
                </w:p>
              </w:tc>
              <w:tc>
                <w:tcPr>
                  <w:tcW w:w="1259" w:type="dxa"/>
                  <w:noWrap w:val="0"/>
                  <w:vAlign w:val="center"/>
                </w:tcPr>
                <w:p w14:paraId="459549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t>贮存位置</w:t>
                  </w:r>
                </w:p>
              </w:tc>
            </w:tr>
            <w:tr w14:paraId="26309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99" w:type="dxa"/>
                  <w:shd w:val="clear" w:color="auto" w:fill="auto"/>
                  <w:noWrap w:val="0"/>
                  <w:vAlign w:val="center"/>
                </w:tcPr>
                <w:p w14:paraId="56F574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1</w:t>
                  </w:r>
                </w:p>
              </w:tc>
              <w:tc>
                <w:tcPr>
                  <w:tcW w:w="1617" w:type="dxa"/>
                  <w:shd w:val="clear" w:color="auto" w:fill="auto"/>
                  <w:noWrap w:val="0"/>
                  <w:vAlign w:val="center"/>
                </w:tcPr>
                <w:p w14:paraId="333569D8">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aps w:val="0"/>
                      <w:color w:val="auto"/>
                      <w:spacing w:val="0"/>
                      <w:kern w:val="2"/>
                      <w:position w:val="0"/>
                      <w:sz w:val="21"/>
                      <w:szCs w:val="21"/>
                      <w:lang w:val="en-US" w:eastAsia="zh-CN" w:bidi="ar-SA"/>
                    </w:rPr>
                  </w:pPr>
                  <w:r>
                    <w:rPr>
                      <w:rFonts w:hint="eastAsia" w:ascii="Times New Roman" w:hAnsi="Times New Roman" w:eastAsia="宋体" w:cs="Times New Roman"/>
                      <w:caps w:val="0"/>
                      <w:color w:val="auto"/>
                      <w:spacing w:val="0"/>
                      <w:position w:val="0"/>
                      <w:sz w:val="21"/>
                      <w:szCs w:val="21"/>
                      <w:lang w:val="en-US" w:eastAsia="zh-CN" w:bidi="ar-SA"/>
                    </w:rPr>
                    <w:t>片碱</w:t>
                  </w:r>
                </w:p>
              </w:tc>
              <w:tc>
                <w:tcPr>
                  <w:tcW w:w="1259" w:type="dxa"/>
                  <w:shd w:val="clear" w:color="auto" w:fill="auto"/>
                  <w:noWrap w:val="0"/>
                  <w:vAlign w:val="center"/>
                </w:tcPr>
                <w:p w14:paraId="169403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caps w:val="0"/>
                      <w:color w:val="auto"/>
                      <w:spacing w:val="0"/>
                      <w:w w:val="100"/>
                      <w:kern w:val="0"/>
                      <w:position w:val="0"/>
                      <w:sz w:val="21"/>
                      <w:szCs w:val="21"/>
                      <w:vertAlign w:val="baseline"/>
                      <w:lang w:val="en-US" w:eastAsia="zh-CN" w:bidi="ar-SA"/>
                    </w:rPr>
                    <w:t>固态</w:t>
                  </w:r>
                </w:p>
              </w:tc>
              <w:tc>
                <w:tcPr>
                  <w:tcW w:w="1133" w:type="dxa"/>
                  <w:shd w:val="clear" w:color="auto" w:fill="auto"/>
                  <w:noWrap w:val="0"/>
                  <w:vAlign w:val="center"/>
                </w:tcPr>
                <w:p w14:paraId="53F3E3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caps w:val="0"/>
                      <w:color w:val="auto"/>
                      <w:spacing w:val="0"/>
                      <w:w w:val="100"/>
                      <w:kern w:val="0"/>
                      <w:position w:val="0"/>
                      <w:sz w:val="21"/>
                      <w:szCs w:val="21"/>
                      <w:vertAlign w:val="baseline"/>
                      <w:lang w:val="en-US" w:eastAsia="zh-CN" w:bidi="ar-SA"/>
                    </w:rPr>
                    <w:t>100</w:t>
                  </w:r>
                </w:p>
              </w:tc>
              <w:tc>
                <w:tcPr>
                  <w:tcW w:w="1718" w:type="dxa"/>
                  <w:shd w:val="clear" w:color="auto" w:fill="auto"/>
                  <w:noWrap w:val="0"/>
                  <w:vAlign w:val="center"/>
                </w:tcPr>
                <w:p w14:paraId="684C30F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aps w:val="0"/>
                      <w:color w:val="auto"/>
                      <w:spacing w:val="0"/>
                      <w:kern w:val="0"/>
                      <w:sz w:val="21"/>
                      <w:szCs w:val="21"/>
                      <w:u w:val="none"/>
                      <w:lang w:val="en-US" w:eastAsia="zh-CN" w:bidi="ar"/>
                    </w:rPr>
                  </w:pPr>
                  <w:r>
                    <w:rPr>
                      <w:rFonts w:hint="eastAsia" w:cs="Times New Roman"/>
                      <w:i w:val="0"/>
                      <w:iCs w:val="0"/>
                      <w:caps w:val="0"/>
                      <w:color w:val="auto"/>
                      <w:spacing w:val="0"/>
                      <w:kern w:val="0"/>
                      <w:sz w:val="21"/>
                      <w:szCs w:val="21"/>
                      <w:u w:val="none"/>
                      <w:lang w:val="en-US" w:eastAsia="zh-CN" w:bidi="ar"/>
                    </w:rPr>
                    <w:t>3</w:t>
                  </w:r>
                </w:p>
              </w:tc>
              <w:tc>
                <w:tcPr>
                  <w:tcW w:w="1111" w:type="dxa"/>
                  <w:shd w:val="clear" w:color="auto" w:fill="auto"/>
                  <w:noWrap w:val="0"/>
                  <w:vAlign w:val="center"/>
                </w:tcPr>
                <w:p w14:paraId="656016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b w:val="0"/>
                      <w:bCs w:val="0"/>
                      <w:caps w:val="0"/>
                      <w:color w:val="auto"/>
                      <w:spacing w:val="0"/>
                      <w:w w:val="100"/>
                      <w:kern w:val="0"/>
                      <w:position w:val="0"/>
                      <w:sz w:val="21"/>
                      <w:szCs w:val="21"/>
                      <w:vertAlign w:val="baseline"/>
                      <w:lang w:val="en-US" w:eastAsia="zh-CN" w:bidi="ar-SA"/>
                    </w:rPr>
                  </w:pPr>
                  <w:r>
                    <w:rPr>
                      <w:rFonts w:hint="eastAsia" w:cs="Times New Roman"/>
                      <w:b w:val="0"/>
                      <w:bCs w:val="0"/>
                      <w:caps w:val="0"/>
                      <w:color w:val="auto"/>
                      <w:spacing w:val="0"/>
                      <w:w w:val="100"/>
                      <w:kern w:val="0"/>
                      <w:position w:val="0"/>
                      <w:sz w:val="21"/>
                      <w:szCs w:val="21"/>
                      <w:vertAlign w:val="baseline"/>
                      <w:lang w:val="en-US" w:eastAsia="zh-CN" w:bidi="ar-SA"/>
                    </w:rPr>
                    <w:t>袋装</w:t>
                  </w:r>
                </w:p>
              </w:tc>
              <w:tc>
                <w:tcPr>
                  <w:tcW w:w="1259" w:type="dxa"/>
                  <w:vMerge w:val="restart"/>
                  <w:noWrap w:val="0"/>
                  <w:vAlign w:val="center"/>
                </w:tcPr>
                <w:p w14:paraId="71BCB3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b w:val="0"/>
                      <w:bCs w:val="0"/>
                      <w:caps w:val="0"/>
                      <w:color w:val="auto"/>
                      <w:spacing w:val="0"/>
                      <w:w w:val="100"/>
                      <w:kern w:val="0"/>
                      <w:position w:val="0"/>
                      <w:sz w:val="21"/>
                      <w:szCs w:val="21"/>
                      <w:vertAlign w:val="baseline"/>
                      <w:lang w:val="en-US" w:eastAsia="zh-CN" w:bidi="ar-SA"/>
                    </w:rPr>
                  </w:pPr>
                  <w:r>
                    <w:rPr>
                      <w:rFonts w:hint="eastAsia" w:cs="Times New Roman"/>
                      <w:b w:val="0"/>
                      <w:bCs w:val="0"/>
                      <w:caps w:val="0"/>
                      <w:color w:val="auto"/>
                      <w:spacing w:val="0"/>
                      <w:w w:val="100"/>
                      <w:kern w:val="0"/>
                      <w:position w:val="0"/>
                      <w:sz w:val="21"/>
                      <w:szCs w:val="21"/>
                      <w:vertAlign w:val="baseline"/>
                      <w:lang w:val="en-US" w:eastAsia="zh-CN" w:bidi="ar-SA"/>
                    </w:rPr>
                    <w:t>片碱库</w:t>
                  </w:r>
                </w:p>
              </w:tc>
            </w:tr>
            <w:tr w14:paraId="6DE4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99" w:type="dxa"/>
                  <w:shd w:val="clear" w:color="auto" w:fill="auto"/>
                  <w:noWrap w:val="0"/>
                  <w:vAlign w:val="center"/>
                </w:tcPr>
                <w:p w14:paraId="4A0002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2</w:t>
                  </w:r>
                </w:p>
              </w:tc>
              <w:tc>
                <w:tcPr>
                  <w:tcW w:w="1617" w:type="dxa"/>
                  <w:shd w:val="clear" w:color="auto" w:fill="auto"/>
                  <w:noWrap w:val="0"/>
                  <w:vAlign w:val="center"/>
                </w:tcPr>
                <w:p w14:paraId="46F4773E">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aps w:val="0"/>
                      <w:color w:val="auto"/>
                      <w:spacing w:val="0"/>
                      <w:kern w:val="2"/>
                      <w:position w:val="0"/>
                      <w:sz w:val="21"/>
                      <w:szCs w:val="21"/>
                      <w:lang w:val="en-US" w:eastAsia="zh-CN" w:bidi="ar-SA"/>
                    </w:rPr>
                  </w:pPr>
                  <w:r>
                    <w:rPr>
                      <w:rFonts w:hint="eastAsia" w:ascii="Times New Roman" w:hAnsi="Times New Roman" w:eastAsia="宋体" w:cs="Times New Roman"/>
                      <w:caps w:val="0"/>
                      <w:color w:val="auto"/>
                      <w:spacing w:val="0"/>
                      <w:position w:val="0"/>
                      <w:sz w:val="21"/>
                      <w:szCs w:val="21"/>
                      <w:lang w:val="en-US" w:eastAsia="zh-CN" w:bidi="ar-SA"/>
                    </w:rPr>
                    <w:t>双氧水</w:t>
                  </w:r>
                </w:p>
              </w:tc>
              <w:tc>
                <w:tcPr>
                  <w:tcW w:w="1259" w:type="dxa"/>
                  <w:shd w:val="clear" w:color="auto" w:fill="auto"/>
                  <w:noWrap w:val="0"/>
                  <w:vAlign w:val="center"/>
                </w:tcPr>
                <w:p w14:paraId="110716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液态</w:t>
                  </w:r>
                </w:p>
              </w:tc>
              <w:tc>
                <w:tcPr>
                  <w:tcW w:w="1133" w:type="dxa"/>
                  <w:shd w:val="clear" w:color="auto" w:fill="auto"/>
                  <w:noWrap w:val="0"/>
                  <w:vAlign w:val="center"/>
                </w:tcPr>
                <w:p w14:paraId="74EBB6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caps w:val="0"/>
                      <w:color w:val="auto"/>
                      <w:spacing w:val="0"/>
                      <w:w w:val="100"/>
                      <w:kern w:val="0"/>
                      <w:position w:val="0"/>
                      <w:sz w:val="21"/>
                      <w:szCs w:val="21"/>
                      <w:vertAlign w:val="baseline"/>
                      <w:lang w:val="en-US" w:eastAsia="zh-CN" w:bidi="ar-SA"/>
                    </w:rPr>
                    <w:t>100</w:t>
                  </w:r>
                </w:p>
              </w:tc>
              <w:tc>
                <w:tcPr>
                  <w:tcW w:w="1718" w:type="dxa"/>
                  <w:shd w:val="clear" w:color="auto" w:fill="auto"/>
                  <w:noWrap w:val="0"/>
                  <w:vAlign w:val="center"/>
                </w:tcPr>
                <w:p w14:paraId="0B5C26B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aps w:val="0"/>
                      <w:color w:val="auto"/>
                      <w:spacing w:val="0"/>
                      <w:kern w:val="0"/>
                      <w:sz w:val="21"/>
                      <w:szCs w:val="21"/>
                      <w:u w:val="none"/>
                      <w:lang w:val="en-US" w:eastAsia="zh-CN" w:bidi="ar"/>
                    </w:rPr>
                  </w:pPr>
                  <w:r>
                    <w:rPr>
                      <w:rFonts w:hint="eastAsia" w:cs="Times New Roman"/>
                      <w:i w:val="0"/>
                      <w:iCs w:val="0"/>
                      <w:caps w:val="0"/>
                      <w:color w:val="auto"/>
                      <w:spacing w:val="0"/>
                      <w:kern w:val="0"/>
                      <w:sz w:val="21"/>
                      <w:szCs w:val="21"/>
                      <w:u w:val="none"/>
                      <w:lang w:val="en-US" w:eastAsia="zh-CN" w:bidi="ar"/>
                    </w:rPr>
                    <w:t>0.05</w:t>
                  </w:r>
                </w:p>
              </w:tc>
              <w:tc>
                <w:tcPr>
                  <w:tcW w:w="1111" w:type="dxa"/>
                  <w:shd w:val="clear" w:color="auto" w:fill="auto"/>
                  <w:noWrap w:val="0"/>
                  <w:vAlign w:val="center"/>
                </w:tcPr>
                <w:p w14:paraId="223BB9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aps w:val="0"/>
                      <w:color w:val="auto"/>
                      <w:spacing w:val="0"/>
                      <w:w w:val="100"/>
                      <w:kern w:val="0"/>
                      <w:position w:val="0"/>
                      <w:sz w:val="21"/>
                      <w:szCs w:val="21"/>
                      <w:vertAlign w:val="baseline"/>
                      <w:lang w:val="en-US" w:eastAsia="zh-CN" w:bidi="ar-SA"/>
                    </w:rPr>
                  </w:pPr>
                  <w:r>
                    <w:rPr>
                      <w:rFonts w:hint="eastAsia" w:cs="Times New Roman"/>
                      <w:b w:val="0"/>
                      <w:bCs w:val="0"/>
                      <w:caps w:val="0"/>
                      <w:color w:val="auto"/>
                      <w:spacing w:val="0"/>
                      <w:w w:val="100"/>
                      <w:kern w:val="0"/>
                      <w:position w:val="0"/>
                      <w:sz w:val="21"/>
                      <w:szCs w:val="21"/>
                      <w:vertAlign w:val="baseline"/>
                      <w:lang w:val="en-US" w:eastAsia="zh-CN" w:bidi="ar-SA"/>
                    </w:rPr>
                    <w:t>桶装</w:t>
                  </w:r>
                </w:p>
              </w:tc>
              <w:tc>
                <w:tcPr>
                  <w:tcW w:w="1259" w:type="dxa"/>
                  <w:vMerge w:val="continue"/>
                  <w:noWrap w:val="0"/>
                  <w:vAlign w:val="center"/>
                </w:tcPr>
                <w:p w14:paraId="7490C9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aps w:val="0"/>
                      <w:color w:val="auto"/>
                      <w:spacing w:val="0"/>
                      <w:w w:val="100"/>
                      <w:kern w:val="0"/>
                      <w:position w:val="0"/>
                      <w:sz w:val="21"/>
                      <w:szCs w:val="21"/>
                      <w:vertAlign w:val="baseline"/>
                      <w:lang w:val="en-US" w:eastAsia="zh-CN" w:bidi="ar-SA"/>
                    </w:rPr>
                  </w:pPr>
                </w:p>
              </w:tc>
            </w:tr>
            <w:tr w14:paraId="2CB58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99" w:type="dxa"/>
                  <w:shd w:val="clear" w:color="auto" w:fill="auto"/>
                  <w:noWrap w:val="0"/>
                  <w:vAlign w:val="center"/>
                </w:tcPr>
                <w:p w14:paraId="0A8D5C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3</w:t>
                  </w:r>
                </w:p>
              </w:tc>
              <w:tc>
                <w:tcPr>
                  <w:tcW w:w="1617" w:type="dxa"/>
                  <w:shd w:val="clear" w:color="auto" w:fill="auto"/>
                  <w:noWrap w:val="0"/>
                  <w:vAlign w:val="center"/>
                </w:tcPr>
                <w:p w14:paraId="7D33923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aps w:val="0"/>
                      <w:color w:val="auto"/>
                      <w:spacing w:val="0"/>
                      <w:kern w:val="0"/>
                      <w:sz w:val="21"/>
                      <w:szCs w:val="21"/>
                      <w:u w:val="none"/>
                      <w:lang w:val="en-US" w:eastAsia="zh-CN" w:bidi="ar"/>
                    </w:rPr>
                  </w:pPr>
                  <w:r>
                    <w:rPr>
                      <w:rFonts w:hint="eastAsia" w:cs="Times New Roman"/>
                      <w:i w:val="0"/>
                      <w:iCs w:val="0"/>
                      <w:caps w:val="0"/>
                      <w:color w:val="auto"/>
                      <w:spacing w:val="0"/>
                      <w:kern w:val="0"/>
                      <w:sz w:val="21"/>
                      <w:szCs w:val="21"/>
                      <w:u w:val="none"/>
                      <w:lang w:val="en-US" w:eastAsia="zh-CN" w:bidi="ar"/>
                    </w:rPr>
                    <w:t>热解油</w:t>
                  </w:r>
                </w:p>
              </w:tc>
              <w:tc>
                <w:tcPr>
                  <w:tcW w:w="1259" w:type="dxa"/>
                  <w:shd w:val="clear" w:color="auto" w:fill="auto"/>
                  <w:noWrap w:val="0"/>
                  <w:vAlign w:val="center"/>
                </w:tcPr>
                <w:p w14:paraId="5ADDEA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液态</w:t>
                  </w:r>
                </w:p>
              </w:tc>
              <w:tc>
                <w:tcPr>
                  <w:tcW w:w="1133" w:type="dxa"/>
                  <w:shd w:val="clear" w:color="auto" w:fill="auto"/>
                  <w:noWrap w:val="0"/>
                  <w:vAlign w:val="center"/>
                </w:tcPr>
                <w:p w14:paraId="2E10FF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718" w:type="dxa"/>
                  <w:shd w:val="clear" w:color="auto" w:fill="auto"/>
                  <w:noWrap w:val="0"/>
                  <w:vAlign w:val="center"/>
                </w:tcPr>
                <w:p w14:paraId="0B29834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pPr>
                  <w:r>
                    <w:rPr>
                      <w:rFonts w:hint="eastAsia" w:cs="Times New Roman"/>
                      <w:b w:val="0"/>
                      <w:bCs w:val="0"/>
                      <w:caps w:val="0"/>
                      <w:color w:val="auto"/>
                      <w:spacing w:val="0"/>
                      <w:w w:val="100"/>
                      <w:kern w:val="0"/>
                      <w:position w:val="0"/>
                      <w:sz w:val="21"/>
                      <w:szCs w:val="21"/>
                      <w:vertAlign w:val="baseline"/>
                      <w:lang w:val="en-US" w:eastAsia="zh-CN" w:bidi="ar-SA"/>
                    </w:rPr>
                    <w:t>74.97</w:t>
                  </w:r>
                </w:p>
              </w:tc>
              <w:tc>
                <w:tcPr>
                  <w:tcW w:w="1111" w:type="dxa"/>
                  <w:shd w:val="clear" w:color="auto" w:fill="auto"/>
                  <w:noWrap w:val="0"/>
                  <w:vAlign w:val="center"/>
                </w:tcPr>
                <w:p w14:paraId="2DD3D9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r>
                    <w:rPr>
                      <w:rFonts w:hint="eastAsia" w:cs="Times New Roman"/>
                      <w:b w:val="0"/>
                      <w:bCs w:val="0"/>
                      <w:caps w:val="0"/>
                      <w:color w:val="auto"/>
                      <w:spacing w:val="0"/>
                      <w:w w:val="100"/>
                      <w:kern w:val="0"/>
                      <w:position w:val="0"/>
                      <w:sz w:val="21"/>
                      <w:szCs w:val="21"/>
                      <w:vertAlign w:val="baseline"/>
                      <w:lang w:val="en-US" w:eastAsia="zh-CN" w:bidi="ar-SA"/>
                    </w:rPr>
                    <w:t>罐装</w:t>
                  </w:r>
                </w:p>
              </w:tc>
              <w:tc>
                <w:tcPr>
                  <w:tcW w:w="1259" w:type="dxa"/>
                  <w:noWrap w:val="0"/>
                  <w:vAlign w:val="center"/>
                </w:tcPr>
                <w:p w14:paraId="354E1F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r>
                    <w:rPr>
                      <w:rFonts w:hint="eastAsia" w:cs="Times New Roman"/>
                      <w:b w:val="0"/>
                      <w:bCs w:val="0"/>
                      <w:caps w:val="0"/>
                      <w:color w:val="auto"/>
                      <w:spacing w:val="0"/>
                      <w:w w:val="100"/>
                      <w:kern w:val="0"/>
                      <w:position w:val="0"/>
                      <w:sz w:val="21"/>
                      <w:szCs w:val="21"/>
                      <w:vertAlign w:val="baseline"/>
                      <w:lang w:val="en-US" w:eastAsia="zh-CN" w:bidi="ar-SA"/>
                    </w:rPr>
                    <w:t>油罐</w:t>
                  </w:r>
                </w:p>
              </w:tc>
            </w:tr>
            <w:tr w14:paraId="6BEF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99" w:type="dxa"/>
                  <w:shd w:val="clear" w:color="auto" w:fill="auto"/>
                  <w:noWrap w:val="0"/>
                  <w:vAlign w:val="center"/>
                </w:tcPr>
                <w:p w14:paraId="027EE0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4</w:t>
                  </w:r>
                </w:p>
              </w:tc>
              <w:tc>
                <w:tcPr>
                  <w:tcW w:w="1617" w:type="dxa"/>
                  <w:shd w:val="clear" w:color="auto" w:fill="auto"/>
                  <w:noWrap w:val="0"/>
                  <w:vAlign w:val="center"/>
                </w:tcPr>
                <w:p w14:paraId="2C67C8B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aps w:val="0"/>
                      <w:color w:val="auto"/>
                      <w:spacing w:val="0"/>
                      <w:kern w:val="0"/>
                      <w:sz w:val="21"/>
                      <w:szCs w:val="21"/>
                      <w:u w:val="none"/>
                      <w:lang w:val="en-US" w:eastAsia="zh-CN" w:bidi="ar"/>
                    </w:rPr>
                  </w:pPr>
                  <w:r>
                    <w:rPr>
                      <w:rFonts w:hint="eastAsia" w:cs="Times New Roman"/>
                      <w:i w:val="0"/>
                      <w:iCs w:val="0"/>
                      <w:caps w:val="0"/>
                      <w:color w:val="auto"/>
                      <w:spacing w:val="0"/>
                      <w:kern w:val="0"/>
                      <w:sz w:val="21"/>
                      <w:szCs w:val="21"/>
                      <w:u w:val="none"/>
                      <w:lang w:val="en-US" w:eastAsia="zh-CN" w:bidi="ar"/>
                    </w:rPr>
                    <w:t>不凝气</w:t>
                  </w:r>
                </w:p>
              </w:tc>
              <w:tc>
                <w:tcPr>
                  <w:tcW w:w="1259" w:type="dxa"/>
                  <w:shd w:val="clear" w:color="auto" w:fill="auto"/>
                  <w:noWrap w:val="0"/>
                  <w:vAlign w:val="center"/>
                </w:tcPr>
                <w:p w14:paraId="77E4DF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气态</w:t>
                  </w:r>
                </w:p>
              </w:tc>
              <w:tc>
                <w:tcPr>
                  <w:tcW w:w="1133" w:type="dxa"/>
                  <w:shd w:val="clear" w:color="auto" w:fill="auto"/>
                  <w:noWrap w:val="0"/>
                  <w:vAlign w:val="center"/>
                </w:tcPr>
                <w:p w14:paraId="1892E2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b w:val="0"/>
                      <w:bCs w:val="0"/>
                      <w:caps w:val="0"/>
                      <w:color w:val="auto"/>
                      <w:spacing w:val="0"/>
                      <w:w w:val="100"/>
                      <w:kern w:val="0"/>
                      <w:position w:val="0"/>
                      <w:sz w:val="21"/>
                      <w:szCs w:val="21"/>
                      <w:vertAlign w:val="baseline"/>
                      <w:lang w:val="en-US" w:eastAsia="zh-CN" w:bidi="ar-SA"/>
                    </w:rPr>
                    <w:t>10</w:t>
                  </w:r>
                </w:p>
              </w:tc>
              <w:tc>
                <w:tcPr>
                  <w:tcW w:w="1718" w:type="dxa"/>
                  <w:noWrap w:val="0"/>
                  <w:vAlign w:val="center"/>
                </w:tcPr>
                <w:p w14:paraId="57C033E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val="0"/>
                      <w:caps w:val="0"/>
                      <w:color w:val="auto"/>
                      <w:spacing w:val="0"/>
                      <w:w w:val="100"/>
                      <w:kern w:val="0"/>
                      <w:position w:val="0"/>
                      <w:sz w:val="21"/>
                      <w:szCs w:val="21"/>
                      <w:vertAlign w:val="baseline"/>
                      <w:lang w:val="en-US" w:eastAsia="zh-CN" w:bidi="ar-SA"/>
                    </w:rPr>
                  </w:pPr>
                  <w:r>
                    <w:rPr>
                      <w:rFonts w:hint="eastAsia" w:cs="Times New Roman"/>
                      <w:b w:val="0"/>
                      <w:bCs w:val="0"/>
                      <w:caps w:val="0"/>
                      <w:color w:val="auto"/>
                      <w:spacing w:val="0"/>
                      <w:w w:val="100"/>
                      <w:kern w:val="0"/>
                      <w:position w:val="0"/>
                      <w:sz w:val="21"/>
                      <w:szCs w:val="21"/>
                      <w:vertAlign w:val="baseline"/>
                      <w:lang w:val="en-US" w:eastAsia="zh-CN" w:bidi="ar-SA"/>
                    </w:rPr>
                    <w:t>0.8</w:t>
                  </w:r>
                </w:p>
              </w:tc>
              <w:tc>
                <w:tcPr>
                  <w:tcW w:w="2370" w:type="dxa"/>
                  <w:gridSpan w:val="2"/>
                  <w:shd w:val="clear" w:color="auto" w:fill="auto"/>
                  <w:noWrap w:val="0"/>
                  <w:vAlign w:val="center"/>
                </w:tcPr>
                <w:p w14:paraId="3B7966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b w:val="0"/>
                      <w:bCs w:val="0"/>
                      <w:caps w:val="0"/>
                      <w:color w:val="auto"/>
                      <w:spacing w:val="0"/>
                      <w:w w:val="100"/>
                      <w:kern w:val="0"/>
                      <w:position w:val="0"/>
                      <w:sz w:val="21"/>
                      <w:szCs w:val="21"/>
                      <w:vertAlign w:val="baseline"/>
                      <w:lang w:val="en-US" w:eastAsia="zh-CN" w:bidi="ar-SA"/>
                    </w:rPr>
                  </w:pPr>
                  <w:r>
                    <w:rPr>
                      <w:rFonts w:hint="eastAsia" w:cs="Times New Roman"/>
                      <w:b w:val="0"/>
                      <w:bCs w:val="0"/>
                      <w:caps w:val="0"/>
                      <w:color w:val="auto"/>
                      <w:spacing w:val="0"/>
                      <w:w w:val="100"/>
                      <w:kern w:val="0"/>
                      <w:position w:val="0"/>
                      <w:sz w:val="21"/>
                      <w:szCs w:val="21"/>
                      <w:vertAlign w:val="baseline"/>
                      <w:lang w:val="en-US" w:eastAsia="zh-CN" w:bidi="ar-SA"/>
                    </w:rPr>
                    <w:t>管道在线</w:t>
                  </w:r>
                </w:p>
              </w:tc>
            </w:tr>
            <w:tr w14:paraId="2A00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99" w:type="dxa"/>
                  <w:shd w:val="clear" w:color="auto" w:fill="auto"/>
                  <w:noWrap w:val="0"/>
                  <w:vAlign w:val="center"/>
                </w:tcPr>
                <w:p w14:paraId="57FC97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5</w:t>
                  </w:r>
                </w:p>
              </w:tc>
              <w:tc>
                <w:tcPr>
                  <w:tcW w:w="1617" w:type="dxa"/>
                  <w:shd w:val="clear" w:color="auto" w:fill="auto"/>
                  <w:noWrap w:val="0"/>
                  <w:vAlign w:val="center"/>
                </w:tcPr>
                <w:p w14:paraId="2E5439D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i w:val="0"/>
                      <w:iCs w:val="0"/>
                      <w:caps w:val="0"/>
                      <w:color w:val="auto"/>
                      <w:spacing w:val="0"/>
                      <w:kern w:val="0"/>
                      <w:sz w:val="21"/>
                      <w:szCs w:val="21"/>
                      <w:u w:val="none"/>
                      <w:lang w:val="en-US" w:eastAsia="zh-CN" w:bidi="ar"/>
                    </w:rPr>
                    <w:t>润滑油</w:t>
                  </w:r>
                </w:p>
              </w:tc>
              <w:tc>
                <w:tcPr>
                  <w:tcW w:w="1259" w:type="dxa"/>
                  <w:shd w:val="clear" w:color="auto" w:fill="auto"/>
                  <w:noWrap w:val="0"/>
                  <w:vAlign w:val="center"/>
                </w:tcPr>
                <w:p w14:paraId="2DCE6C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液态</w:t>
                  </w:r>
                </w:p>
              </w:tc>
              <w:tc>
                <w:tcPr>
                  <w:tcW w:w="1133" w:type="dxa"/>
                  <w:shd w:val="clear" w:color="auto" w:fill="auto"/>
                  <w:noWrap w:val="0"/>
                  <w:vAlign w:val="center"/>
                </w:tcPr>
                <w:p w14:paraId="3C5CED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718" w:type="dxa"/>
                  <w:noWrap w:val="0"/>
                  <w:vAlign w:val="center"/>
                </w:tcPr>
                <w:p w14:paraId="74FC3F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b w:val="0"/>
                      <w:bCs w:val="0"/>
                      <w:caps w:val="0"/>
                      <w:color w:val="auto"/>
                      <w:spacing w:val="0"/>
                      <w:w w:val="100"/>
                      <w:kern w:val="0"/>
                      <w:position w:val="0"/>
                      <w:sz w:val="21"/>
                      <w:szCs w:val="21"/>
                      <w:vertAlign w:val="baseline"/>
                      <w:lang w:val="en-US" w:eastAsia="zh-CN" w:bidi="ar-SA"/>
                    </w:rPr>
                    <w:t>0.02</w:t>
                  </w:r>
                </w:p>
              </w:tc>
              <w:tc>
                <w:tcPr>
                  <w:tcW w:w="1111" w:type="dxa"/>
                  <w:shd w:val="clear" w:color="auto" w:fill="auto"/>
                  <w:noWrap w:val="0"/>
                  <w:vAlign w:val="center"/>
                </w:tcPr>
                <w:p w14:paraId="2C2226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t>桶装</w:t>
                  </w:r>
                </w:p>
              </w:tc>
              <w:tc>
                <w:tcPr>
                  <w:tcW w:w="1259" w:type="dxa"/>
                  <w:vMerge w:val="restart"/>
                  <w:noWrap w:val="0"/>
                  <w:vAlign w:val="center"/>
                </w:tcPr>
                <w:p w14:paraId="6D8751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b w:val="0"/>
                      <w:bCs w:val="0"/>
                      <w:caps w:val="0"/>
                      <w:color w:val="auto"/>
                      <w:spacing w:val="0"/>
                      <w:w w:val="100"/>
                      <w:kern w:val="0"/>
                      <w:position w:val="0"/>
                      <w:sz w:val="21"/>
                      <w:szCs w:val="21"/>
                      <w:vertAlign w:val="baseline"/>
                      <w:lang w:val="en-US" w:eastAsia="zh-CN" w:bidi="ar-SA"/>
                    </w:rPr>
                    <w:t>仓库</w:t>
                  </w:r>
                </w:p>
              </w:tc>
            </w:tr>
            <w:tr w14:paraId="294B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99" w:type="dxa"/>
                  <w:shd w:val="clear" w:color="auto" w:fill="auto"/>
                  <w:noWrap w:val="0"/>
                  <w:vAlign w:val="center"/>
                </w:tcPr>
                <w:p w14:paraId="458ACF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caps w:val="0"/>
                      <w:color w:val="auto"/>
                      <w:spacing w:val="0"/>
                      <w:w w:val="100"/>
                      <w:kern w:val="0"/>
                      <w:position w:val="0"/>
                      <w:sz w:val="21"/>
                      <w:szCs w:val="21"/>
                      <w:vertAlign w:val="baseline"/>
                      <w:lang w:val="en-US" w:eastAsia="zh-CN" w:bidi="ar-SA"/>
                    </w:rPr>
                    <w:t>6</w:t>
                  </w:r>
                </w:p>
              </w:tc>
              <w:tc>
                <w:tcPr>
                  <w:tcW w:w="1617" w:type="dxa"/>
                  <w:shd w:val="clear" w:color="auto" w:fill="auto"/>
                  <w:noWrap w:val="0"/>
                  <w:vAlign w:val="center"/>
                </w:tcPr>
                <w:p w14:paraId="3BDC06A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i w:val="0"/>
                      <w:iCs w:val="0"/>
                      <w:caps w:val="0"/>
                      <w:color w:val="auto"/>
                      <w:spacing w:val="0"/>
                      <w:kern w:val="0"/>
                      <w:sz w:val="21"/>
                      <w:szCs w:val="21"/>
                      <w:u w:val="none"/>
                      <w:lang w:val="en-US" w:eastAsia="zh-CN" w:bidi="ar"/>
                    </w:rPr>
                    <w:t>液压油</w:t>
                  </w:r>
                </w:p>
              </w:tc>
              <w:tc>
                <w:tcPr>
                  <w:tcW w:w="1259" w:type="dxa"/>
                  <w:shd w:val="clear" w:color="auto" w:fill="auto"/>
                  <w:noWrap w:val="0"/>
                  <w:vAlign w:val="center"/>
                </w:tcPr>
                <w:p w14:paraId="625DD9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液态</w:t>
                  </w:r>
                </w:p>
              </w:tc>
              <w:tc>
                <w:tcPr>
                  <w:tcW w:w="1133" w:type="dxa"/>
                  <w:shd w:val="clear" w:color="auto" w:fill="auto"/>
                  <w:noWrap w:val="0"/>
                  <w:vAlign w:val="center"/>
                </w:tcPr>
                <w:p w14:paraId="749DF9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718" w:type="dxa"/>
                  <w:noWrap w:val="0"/>
                  <w:vAlign w:val="center"/>
                </w:tcPr>
                <w:p w14:paraId="051FD3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b w:val="0"/>
                      <w:bCs w:val="0"/>
                      <w:caps w:val="0"/>
                      <w:color w:val="auto"/>
                      <w:spacing w:val="0"/>
                      <w:w w:val="100"/>
                      <w:kern w:val="0"/>
                      <w:position w:val="0"/>
                      <w:sz w:val="21"/>
                      <w:szCs w:val="21"/>
                      <w:vertAlign w:val="baseline"/>
                      <w:lang w:val="en-US" w:eastAsia="zh-CN" w:bidi="ar-SA"/>
                    </w:rPr>
                    <w:t>0.1</w:t>
                  </w:r>
                </w:p>
              </w:tc>
              <w:tc>
                <w:tcPr>
                  <w:tcW w:w="1111" w:type="dxa"/>
                  <w:shd w:val="clear" w:color="auto" w:fill="auto"/>
                  <w:noWrap w:val="0"/>
                  <w:vAlign w:val="center"/>
                </w:tcPr>
                <w:p w14:paraId="2BB4F2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t>桶装</w:t>
                  </w:r>
                </w:p>
              </w:tc>
              <w:tc>
                <w:tcPr>
                  <w:tcW w:w="1259" w:type="dxa"/>
                  <w:vMerge w:val="continue"/>
                  <w:noWrap w:val="0"/>
                  <w:vAlign w:val="center"/>
                </w:tcPr>
                <w:p w14:paraId="6A9F69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p>
              </w:tc>
            </w:tr>
            <w:tr w14:paraId="18445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99" w:type="dxa"/>
                  <w:shd w:val="clear" w:color="auto" w:fill="auto"/>
                  <w:noWrap w:val="0"/>
                  <w:vAlign w:val="center"/>
                </w:tcPr>
                <w:p w14:paraId="7CA72D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caps w:val="0"/>
                      <w:color w:val="auto"/>
                      <w:spacing w:val="0"/>
                      <w:w w:val="100"/>
                      <w:kern w:val="0"/>
                      <w:position w:val="0"/>
                      <w:sz w:val="21"/>
                      <w:szCs w:val="21"/>
                      <w:vertAlign w:val="baseline"/>
                      <w:lang w:val="en-US" w:eastAsia="zh-CN" w:bidi="ar-SA"/>
                    </w:rPr>
                    <w:t>7</w:t>
                  </w:r>
                </w:p>
              </w:tc>
              <w:tc>
                <w:tcPr>
                  <w:tcW w:w="1617" w:type="dxa"/>
                  <w:shd w:val="clear" w:color="auto" w:fill="auto"/>
                  <w:noWrap w:val="0"/>
                  <w:vAlign w:val="center"/>
                </w:tcPr>
                <w:p w14:paraId="319B128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废</w:t>
                  </w:r>
                  <w:r>
                    <w:rPr>
                      <w:rFonts w:hint="default" w:ascii="Times New Roman" w:hAnsi="Times New Roman" w:eastAsia="宋体" w:cs="Times New Roman"/>
                      <w:i w:val="0"/>
                      <w:iCs w:val="0"/>
                      <w:caps w:val="0"/>
                      <w:color w:val="auto"/>
                      <w:spacing w:val="0"/>
                      <w:kern w:val="0"/>
                      <w:sz w:val="21"/>
                      <w:szCs w:val="21"/>
                      <w:u w:val="none"/>
                      <w:lang w:val="en-US" w:eastAsia="zh-CN" w:bidi="ar"/>
                    </w:rPr>
                    <w:t>润滑油</w:t>
                  </w:r>
                </w:p>
              </w:tc>
              <w:tc>
                <w:tcPr>
                  <w:tcW w:w="1259" w:type="dxa"/>
                  <w:noWrap w:val="0"/>
                  <w:vAlign w:val="center"/>
                </w:tcPr>
                <w:p w14:paraId="51F918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液态</w:t>
                  </w:r>
                </w:p>
              </w:tc>
              <w:tc>
                <w:tcPr>
                  <w:tcW w:w="1133" w:type="dxa"/>
                  <w:noWrap w:val="0"/>
                  <w:vAlign w:val="center"/>
                </w:tcPr>
                <w:p w14:paraId="04D286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718" w:type="dxa"/>
                  <w:shd w:val="clear" w:color="auto" w:fill="auto"/>
                  <w:noWrap w:val="0"/>
                  <w:vAlign w:val="center"/>
                </w:tcPr>
                <w:p w14:paraId="1E0784A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i w:val="0"/>
                      <w:iCs w:val="0"/>
                      <w:caps w:val="0"/>
                      <w:color w:val="auto"/>
                      <w:spacing w:val="0"/>
                      <w:kern w:val="2"/>
                      <w:sz w:val="21"/>
                      <w:szCs w:val="21"/>
                      <w:u w:val="none"/>
                      <w:lang w:val="en-US" w:eastAsia="zh-CN" w:bidi="ar-SA"/>
                    </w:rPr>
                  </w:pPr>
                  <w:r>
                    <w:rPr>
                      <w:rFonts w:hint="default" w:ascii="Times New Roman" w:hAnsi="Times New Roman" w:eastAsia="宋体" w:cs="Times New Roman"/>
                      <w:i w:val="0"/>
                      <w:iCs w:val="0"/>
                      <w:caps w:val="0"/>
                      <w:color w:val="auto"/>
                      <w:spacing w:val="0"/>
                      <w:kern w:val="0"/>
                      <w:sz w:val="21"/>
                      <w:szCs w:val="21"/>
                      <w:u w:val="none"/>
                      <w:vertAlign w:val="baseline"/>
                      <w:lang w:val="en-US" w:eastAsia="zh-CN" w:bidi="ar"/>
                    </w:rPr>
                    <w:t>0.</w:t>
                  </w:r>
                  <w:r>
                    <w:rPr>
                      <w:rFonts w:hint="default" w:ascii="Times New Roman" w:hAnsi="Times New Roman" w:cs="Times New Roman"/>
                      <w:i w:val="0"/>
                      <w:iCs w:val="0"/>
                      <w:caps w:val="0"/>
                      <w:color w:val="auto"/>
                      <w:spacing w:val="0"/>
                      <w:kern w:val="0"/>
                      <w:sz w:val="21"/>
                      <w:szCs w:val="21"/>
                      <w:u w:val="none"/>
                      <w:vertAlign w:val="baseline"/>
                      <w:lang w:val="en-US" w:eastAsia="zh-CN" w:bidi="ar"/>
                    </w:rPr>
                    <w:t>16</w:t>
                  </w:r>
                </w:p>
              </w:tc>
              <w:tc>
                <w:tcPr>
                  <w:tcW w:w="1111" w:type="dxa"/>
                  <w:noWrap w:val="0"/>
                  <w:vAlign w:val="center"/>
                </w:tcPr>
                <w:p w14:paraId="0CEFCF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t>桶装</w:t>
                  </w:r>
                </w:p>
              </w:tc>
              <w:tc>
                <w:tcPr>
                  <w:tcW w:w="1259" w:type="dxa"/>
                  <w:vMerge w:val="restart"/>
                  <w:noWrap w:val="0"/>
                  <w:vAlign w:val="center"/>
                </w:tcPr>
                <w:p w14:paraId="38821D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val="0"/>
                      <w:bCs w:val="0"/>
                      <w:caps w:val="0"/>
                      <w:color w:val="auto"/>
                      <w:spacing w:val="0"/>
                      <w:w w:val="100"/>
                      <w:kern w:val="0"/>
                      <w:position w:val="0"/>
                      <w:sz w:val="21"/>
                      <w:szCs w:val="21"/>
                      <w:vertAlign w:val="baseline"/>
                      <w:lang w:val="en-US" w:eastAsia="zh-CN" w:bidi="ar-SA"/>
                    </w:rPr>
                    <w:t>危废库</w:t>
                  </w:r>
                </w:p>
              </w:tc>
            </w:tr>
            <w:tr w14:paraId="3FB34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899" w:type="dxa"/>
                  <w:shd w:val="clear" w:color="auto" w:fill="auto"/>
                  <w:noWrap w:val="0"/>
                  <w:vAlign w:val="center"/>
                </w:tcPr>
                <w:p w14:paraId="527941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caps w:val="0"/>
                      <w:color w:val="auto"/>
                      <w:spacing w:val="0"/>
                      <w:w w:val="100"/>
                      <w:kern w:val="0"/>
                      <w:position w:val="0"/>
                      <w:sz w:val="21"/>
                      <w:szCs w:val="21"/>
                      <w:vertAlign w:val="baseline"/>
                      <w:lang w:val="en-US" w:eastAsia="zh-CN" w:bidi="ar-SA"/>
                    </w:rPr>
                    <w:t>8</w:t>
                  </w:r>
                </w:p>
              </w:tc>
              <w:tc>
                <w:tcPr>
                  <w:tcW w:w="1617" w:type="dxa"/>
                  <w:shd w:val="clear" w:color="auto" w:fill="auto"/>
                  <w:noWrap w:val="0"/>
                  <w:vAlign w:val="center"/>
                </w:tcPr>
                <w:p w14:paraId="44A4305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废</w:t>
                  </w:r>
                  <w:r>
                    <w:rPr>
                      <w:rFonts w:hint="default" w:ascii="Times New Roman" w:hAnsi="Times New Roman" w:eastAsia="宋体" w:cs="Times New Roman"/>
                      <w:i w:val="0"/>
                      <w:iCs w:val="0"/>
                      <w:caps w:val="0"/>
                      <w:color w:val="auto"/>
                      <w:spacing w:val="0"/>
                      <w:kern w:val="0"/>
                      <w:sz w:val="21"/>
                      <w:szCs w:val="21"/>
                      <w:u w:val="none"/>
                      <w:lang w:val="en-US" w:eastAsia="zh-CN" w:bidi="ar"/>
                    </w:rPr>
                    <w:t>液压油</w:t>
                  </w:r>
                </w:p>
              </w:tc>
              <w:tc>
                <w:tcPr>
                  <w:tcW w:w="1259" w:type="dxa"/>
                  <w:noWrap w:val="0"/>
                  <w:vAlign w:val="center"/>
                </w:tcPr>
                <w:p w14:paraId="0904FC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液态</w:t>
                  </w:r>
                </w:p>
              </w:tc>
              <w:tc>
                <w:tcPr>
                  <w:tcW w:w="1133" w:type="dxa"/>
                  <w:noWrap w:val="0"/>
                  <w:vAlign w:val="center"/>
                </w:tcPr>
                <w:p w14:paraId="07CA48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718" w:type="dxa"/>
                  <w:shd w:val="clear" w:color="auto" w:fill="auto"/>
                  <w:noWrap w:val="0"/>
                  <w:vAlign w:val="center"/>
                </w:tcPr>
                <w:p w14:paraId="0B6D764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aps w:val="0"/>
                      <w:color w:val="auto"/>
                      <w:spacing w:val="0"/>
                      <w:kern w:val="0"/>
                      <w:sz w:val="21"/>
                      <w:szCs w:val="21"/>
                      <w:u w:val="none"/>
                      <w:vertAlign w:val="baseline"/>
                      <w:lang w:val="en-US" w:eastAsia="zh-CN" w:bidi="ar"/>
                    </w:rPr>
                  </w:pPr>
                  <w:r>
                    <w:rPr>
                      <w:rFonts w:hint="default" w:ascii="Times New Roman" w:hAnsi="Times New Roman" w:cs="Times New Roman"/>
                      <w:i w:val="0"/>
                      <w:iCs w:val="0"/>
                      <w:caps w:val="0"/>
                      <w:color w:val="auto"/>
                      <w:spacing w:val="0"/>
                      <w:kern w:val="0"/>
                      <w:sz w:val="21"/>
                      <w:szCs w:val="21"/>
                      <w:u w:val="none"/>
                      <w:vertAlign w:val="baseline"/>
                      <w:lang w:val="en-US" w:eastAsia="zh-CN" w:bidi="ar"/>
                    </w:rPr>
                    <w:t>0.8</w:t>
                  </w:r>
                </w:p>
              </w:tc>
              <w:tc>
                <w:tcPr>
                  <w:tcW w:w="1111" w:type="dxa"/>
                  <w:noWrap w:val="0"/>
                  <w:vAlign w:val="center"/>
                </w:tcPr>
                <w:p w14:paraId="5CC5A5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桶装</w:t>
                  </w:r>
                </w:p>
              </w:tc>
              <w:tc>
                <w:tcPr>
                  <w:tcW w:w="1259" w:type="dxa"/>
                  <w:vMerge w:val="continue"/>
                  <w:noWrap w:val="0"/>
                  <w:vAlign w:val="center"/>
                </w:tcPr>
                <w:p w14:paraId="4A997E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p>
              </w:tc>
            </w:tr>
            <w:tr w14:paraId="0DBE2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996" w:type="dxa"/>
                  <w:gridSpan w:val="7"/>
                  <w:noWrap w:val="0"/>
                  <w:vAlign w:val="center"/>
                </w:tcPr>
                <w:p w14:paraId="5B7E7B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注：（1）热解油按8个中转油罐和1个储油罐</w:t>
                  </w:r>
                  <w:r>
                    <w:rPr>
                      <w:rFonts w:hint="eastAsia" w:cs="Times New Roman"/>
                      <w:caps w:val="0"/>
                      <w:color w:val="auto"/>
                      <w:spacing w:val="0"/>
                      <w:w w:val="100"/>
                      <w:kern w:val="0"/>
                      <w:position w:val="0"/>
                      <w:sz w:val="21"/>
                      <w:szCs w:val="21"/>
                      <w:vertAlign w:val="baseline"/>
                      <w:lang w:val="en-US" w:eastAsia="zh-CN" w:bidi="ar-SA"/>
                    </w:rPr>
                    <w:t>85%装填系数</w:t>
                  </w: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计算。（2）不凝气按日产出最大气量计，约0.8t/d，其临界量参照天然气临界量。</w:t>
                  </w:r>
                </w:p>
              </w:tc>
            </w:tr>
          </w:tbl>
          <w:p w14:paraId="48BB2ECA">
            <w:pPr>
              <w:keepNext w:val="0"/>
              <w:keepLines w:val="0"/>
              <w:pageBreakBefore w:val="0"/>
              <w:widowControl/>
              <w:kinsoku/>
              <w:wordWrap/>
              <w:overflowPunct/>
              <w:topLinePunct w:val="0"/>
              <w:autoSpaceDE/>
              <w:autoSpaceDN/>
              <w:bidi w:val="0"/>
              <w:adjustRightInd w:val="0"/>
              <w:snapToGrid w:val="0"/>
              <w:spacing w:line="480" w:lineRule="atLeast"/>
              <w:ind w:left="0" w:leftChars="0" w:firstLine="422" w:firstLineChars="200"/>
              <w:jc w:val="center"/>
              <w:textAlignment w:val="auto"/>
              <w:rPr>
                <w:rFonts w:hint="default" w:ascii="Times New Roman" w:hAnsi="Times New Roman" w:cs="Times New Roman"/>
                <w:b/>
                <w:bCs/>
                <w:caps w:val="0"/>
                <w:smallCaps w:val="0"/>
                <w:color w:val="auto"/>
                <w:spacing w:val="0"/>
                <w:w w:val="100"/>
                <w:kern w:val="0"/>
                <w:position w:val="0"/>
                <w:sz w:val="21"/>
                <w:szCs w:val="21"/>
                <w:highlight w:val="none"/>
                <w:lang w:val="en-US" w:eastAsia="zh-CN"/>
              </w:rPr>
            </w:pPr>
            <w:r>
              <w:rPr>
                <w:rFonts w:hint="default" w:ascii="Times New Roman" w:hAnsi="Times New Roman" w:cs="Times New Roman"/>
                <w:b/>
                <w:bCs/>
                <w:caps w:val="0"/>
                <w:smallCaps w:val="0"/>
                <w:color w:val="auto"/>
                <w:spacing w:val="0"/>
                <w:w w:val="100"/>
                <w:kern w:val="0"/>
                <w:position w:val="0"/>
                <w:sz w:val="21"/>
                <w:szCs w:val="21"/>
                <w:highlight w:val="none"/>
                <w:lang w:val="en-US" w:eastAsia="zh-CN"/>
              </w:rPr>
              <w:t>表</w:t>
            </w:r>
            <w:r>
              <w:rPr>
                <w:rFonts w:hint="eastAsia" w:cs="Times New Roman"/>
                <w:b/>
                <w:bCs/>
                <w:caps w:val="0"/>
                <w:smallCaps w:val="0"/>
                <w:color w:val="auto"/>
                <w:spacing w:val="0"/>
                <w:w w:val="100"/>
                <w:kern w:val="0"/>
                <w:position w:val="0"/>
                <w:sz w:val="21"/>
                <w:szCs w:val="21"/>
                <w:highlight w:val="none"/>
                <w:lang w:val="en-US" w:eastAsia="zh-CN"/>
              </w:rPr>
              <w:t>4-38</w:t>
            </w:r>
            <w:r>
              <w:rPr>
                <w:rFonts w:hint="default" w:ascii="Times New Roman" w:hAnsi="Times New Roman" w:cs="Times New Roman"/>
                <w:b/>
                <w:bCs/>
                <w:caps w:val="0"/>
                <w:smallCaps w:val="0"/>
                <w:color w:val="auto"/>
                <w:spacing w:val="0"/>
                <w:w w:val="100"/>
                <w:kern w:val="0"/>
                <w:position w:val="0"/>
                <w:sz w:val="21"/>
                <w:szCs w:val="21"/>
                <w:highlight w:val="none"/>
                <w:lang w:val="en-US" w:eastAsia="zh-CN"/>
              </w:rPr>
              <w:t xml:space="preserve">  建设项目Q值确定表</w:t>
            </w:r>
          </w:p>
          <w:tbl>
            <w:tblPr>
              <w:tblStyle w:val="26"/>
              <w:tblW w:w="8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70"/>
              <w:gridCol w:w="2310"/>
              <w:gridCol w:w="1948"/>
              <w:gridCol w:w="2239"/>
              <w:gridCol w:w="1610"/>
            </w:tblGrid>
            <w:tr w14:paraId="15F57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70" w:type="dxa"/>
                  <w:tcBorders>
                    <w:tl2br w:val="nil"/>
                    <w:tr2bl w:val="nil"/>
                  </w:tcBorders>
                  <w:noWrap w:val="0"/>
                  <w:vAlign w:val="center"/>
                </w:tcPr>
                <w:p w14:paraId="45C8A025">
                  <w:pPr>
                    <w:keepNext w:val="0"/>
                    <w:keepLines w:val="0"/>
                    <w:pageBreakBefore w:val="0"/>
                    <w:widowControl w:val="0"/>
                    <w:kinsoku/>
                    <w:wordWrap/>
                    <w:overflowPunct/>
                    <w:topLinePunct w:val="0"/>
                    <w:autoSpaceDE/>
                    <w:autoSpaceDN/>
                    <w:bidi w:val="0"/>
                    <w:adjustRightInd w:val="0"/>
                    <w:snapToGrid w:val="0"/>
                    <w:spacing w:before="0" w:after="0" w:line="240" w:lineRule="auto"/>
                    <w:ind w:left="0" w:right="0"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lang w:val="en-US" w:eastAsia="en-US" w:bidi="ar-SA"/>
                    </w:rPr>
                  </w:pPr>
                  <w:r>
                    <w:rPr>
                      <w:rFonts w:hint="default" w:ascii="Times New Roman" w:hAnsi="Times New Roman" w:eastAsia="宋体" w:cs="Times New Roman"/>
                      <w:b/>
                      <w:bCs/>
                      <w:caps w:val="0"/>
                      <w:color w:val="auto"/>
                      <w:spacing w:val="0"/>
                      <w:w w:val="100"/>
                      <w:kern w:val="0"/>
                      <w:position w:val="0"/>
                      <w:sz w:val="21"/>
                      <w:szCs w:val="21"/>
                      <w:lang w:val="en-US" w:eastAsia="en-US" w:bidi="ar-SA"/>
                    </w:rPr>
                    <w:t>序号</w:t>
                  </w:r>
                </w:p>
              </w:tc>
              <w:tc>
                <w:tcPr>
                  <w:tcW w:w="2310" w:type="dxa"/>
                  <w:tcBorders>
                    <w:tl2br w:val="nil"/>
                    <w:tr2bl w:val="nil"/>
                  </w:tcBorders>
                  <w:noWrap w:val="0"/>
                  <w:vAlign w:val="center"/>
                </w:tcPr>
                <w:p w14:paraId="75CFDF69">
                  <w:pPr>
                    <w:keepNext w:val="0"/>
                    <w:keepLines w:val="0"/>
                    <w:pageBreakBefore w:val="0"/>
                    <w:widowControl w:val="0"/>
                    <w:kinsoku/>
                    <w:wordWrap/>
                    <w:overflowPunct/>
                    <w:topLinePunct w:val="0"/>
                    <w:autoSpaceDE/>
                    <w:autoSpaceDN/>
                    <w:bidi w:val="0"/>
                    <w:adjustRightInd w:val="0"/>
                    <w:snapToGrid w:val="0"/>
                    <w:spacing w:before="0" w:after="0" w:line="240" w:lineRule="auto"/>
                    <w:ind w:left="0" w:right="0"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lang w:val="en-US" w:eastAsia="en-US" w:bidi="ar-SA"/>
                    </w:rPr>
                  </w:pPr>
                  <w:r>
                    <w:rPr>
                      <w:rFonts w:hint="default" w:ascii="Times New Roman" w:hAnsi="Times New Roman" w:eastAsia="宋体" w:cs="Times New Roman"/>
                      <w:b/>
                      <w:bCs/>
                      <w:caps w:val="0"/>
                      <w:color w:val="auto"/>
                      <w:spacing w:val="0"/>
                      <w:w w:val="100"/>
                      <w:kern w:val="0"/>
                      <w:position w:val="0"/>
                      <w:sz w:val="21"/>
                      <w:szCs w:val="21"/>
                      <w:lang w:val="en-US" w:eastAsia="en-US" w:bidi="ar-SA"/>
                    </w:rPr>
                    <w:t>危险物质名称</w:t>
                  </w:r>
                </w:p>
              </w:tc>
              <w:tc>
                <w:tcPr>
                  <w:tcW w:w="1948" w:type="dxa"/>
                  <w:tcBorders>
                    <w:tl2br w:val="nil"/>
                    <w:tr2bl w:val="nil"/>
                  </w:tcBorders>
                  <w:noWrap w:val="0"/>
                  <w:vAlign w:val="center"/>
                </w:tcPr>
                <w:p w14:paraId="38B28DC4">
                  <w:pPr>
                    <w:keepNext w:val="0"/>
                    <w:keepLines w:val="0"/>
                    <w:pageBreakBefore w:val="0"/>
                    <w:widowControl w:val="0"/>
                    <w:kinsoku/>
                    <w:wordWrap/>
                    <w:overflowPunct/>
                    <w:topLinePunct w:val="0"/>
                    <w:autoSpaceDE/>
                    <w:autoSpaceDN/>
                    <w:bidi w:val="0"/>
                    <w:adjustRightInd w:val="0"/>
                    <w:snapToGrid w:val="0"/>
                    <w:spacing w:before="0" w:after="0" w:line="240" w:lineRule="auto"/>
                    <w:ind w:left="0" w:right="0"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lang w:val="en-US" w:eastAsia="en-US" w:bidi="ar-SA"/>
                    </w:rPr>
                  </w:pPr>
                  <w:r>
                    <w:rPr>
                      <w:rFonts w:hint="default" w:ascii="Times New Roman" w:hAnsi="Times New Roman" w:eastAsia="宋体" w:cs="Times New Roman"/>
                      <w:b/>
                      <w:bCs/>
                      <w:caps w:val="0"/>
                      <w:color w:val="auto"/>
                      <w:spacing w:val="0"/>
                      <w:w w:val="100"/>
                      <w:kern w:val="0"/>
                      <w:position w:val="0"/>
                      <w:sz w:val="21"/>
                      <w:szCs w:val="21"/>
                      <w:lang w:val="en-US" w:eastAsia="en-US" w:bidi="ar-SA"/>
                    </w:rPr>
                    <w:t>最大</w:t>
                  </w:r>
                  <w:r>
                    <w:rPr>
                      <w:rFonts w:hint="eastAsia" w:ascii="Times New Roman" w:hAnsi="Times New Roman" w:eastAsia="宋体" w:cs="Times New Roman"/>
                      <w:b/>
                      <w:bCs/>
                      <w:caps w:val="0"/>
                      <w:color w:val="auto"/>
                      <w:spacing w:val="0"/>
                      <w:w w:val="100"/>
                      <w:kern w:val="0"/>
                      <w:position w:val="0"/>
                      <w:sz w:val="21"/>
                      <w:szCs w:val="21"/>
                      <w:lang w:val="en-US" w:eastAsia="zh-CN" w:bidi="ar-SA"/>
                    </w:rPr>
                    <w:t>存在</w:t>
                  </w:r>
                  <w:r>
                    <w:rPr>
                      <w:rFonts w:hint="default" w:ascii="Times New Roman" w:hAnsi="Times New Roman" w:eastAsia="宋体" w:cs="Times New Roman"/>
                      <w:b/>
                      <w:bCs/>
                      <w:caps w:val="0"/>
                      <w:color w:val="auto"/>
                      <w:spacing w:val="0"/>
                      <w:w w:val="100"/>
                      <w:kern w:val="0"/>
                      <w:position w:val="0"/>
                      <w:sz w:val="21"/>
                      <w:szCs w:val="21"/>
                      <w:lang w:val="en-US" w:eastAsia="en-US" w:bidi="ar-SA"/>
                    </w:rPr>
                    <w:t>量 t</w:t>
                  </w:r>
                </w:p>
              </w:tc>
              <w:tc>
                <w:tcPr>
                  <w:tcW w:w="2239" w:type="dxa"/>
                  <w:tcBorders>
                    <w:tl2br w:val="nil"/>
                    <w:tr2bl w:val="nil"/>
                  </w:tcBorders>
                  <w:noWrap w:val="0"/>
                  <w:vAlign w:val="center"/>
                </w:tcPr>
                <w:p w14:paraId="61D9E7F5">
                  <w:pPr>
                    <w:keepNext w:val="0"/>
                    <w:keepLines w:val="0"/>
                    <w:pageBreakBefore w:val="0"/>
                    <w:widowControl w:val="0"/>
                    <w:kinsoku/>
                    <w:wordWrap/>
                    <w:overflowPunct/>
                    <w:topLinePunct w:val="0"/>
                    <w:autoSpaceDE/>
                    <w:autoSpaceDN/>
                    <w:bidi w:val="0"/>
                    <w:adjustRightInd w:val="0"/>
                    <w:snapToGrid w:val="0"/>
                    <w:spacing w:before="0" w:after="0" w:line="240" w:lineRule="auto"/>
                    <w:ind w:left="0" w:right="0"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lang w:val="en-US" w:eastAsia="en-US" w:bidi="ar-SA"/>
                    </w:rPr>
                  </w:pPr>
                  <w:r>
                    <w:rPr>
                      <w:rFonts w:hint="default" w:ascii="Times New Roman" w:hAnsi="Times New Roman" w:eastAsia="宋体" w:cs="Times New Roman"/>
                      <w:b/>
                      <w:bCs/>
                      <w:caps w:val="0"/>
                      <w:color w:val="auto"/>
                      <w:spacing w:val="0"/>
                      <w:w w:val="100"/>
                      <w:kern w:val="0"/>
                      <w:position w:val="0"/>
                      <w:sz w:val="21"/>
                      <w:szCs w:val="21"/>
                      <w:lang w:val="en-US" w:eastAsia="en-US" w:bidi="ar-SA"/>
                    </w:rPr>
                    <w:t>临界量 t</w:t>
                  </w:r>
                </w:p>
              </w:tc>
              <w:tc>
                <w:tcPr>
                  <w:tcW w:w="1610" w:type="dxa"/>
                  <w:tcBorders>
                    <w:tl2br w:val="nil"/>
                    <w:tr2bl w:val="nil"/>
                  </w:tcBorders>
                  <w:noWrap w:val="0"/>
                  <w:vAlign w:val="center"/>
                </w:tcPr>
                <w:p w14:paraId="60637E47">
                  <w:pPr>
                    <w:keepNext w:val="0"/>
                    <w:keepLines w:val="0"/>
                    <w:pageBreakBefore w:val="0"/>
                    <w:widowControl w:val="0"/>
                    <w:kinsoku/>
                    <w:wordWrap/>
                    <w:overflowPunct/>
                    <w:topLinePunct w:val="0"/>
                    <w:autoSpaceDE/>
                    <w:autoSpaceDN/>
                    <w:bidi w:val="0"/>
                    <w:adjustRightInd w:val="0"/>
                    <w:snapToGrid w:val="0"/>
                    <w:spacing w:before="0" w:after="0" w:line="240" w:lineRule="auto"/>
                    <w:ind w:left="0" w:right="0"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lang w:val="en-US" w:eastAsia="en-US" w:bidi="ar-SA"/>
                    </w:rPr>
                  </w:pPr>
                  <w:r>
                    <w:rPr>
                      <w:rFonts w:hint="default" w:ascii="Times New Roman" w:hAnsi="Times New Roman" w:eastAsia="宋体" w:cs="Times New Roman"/>
                      <w:b/>
                      <w:bCs/>
                      <w:caps w:val="0"/>
                      <w:color w:val="auto"/>
                      <w:spacing w:val="0"/>
                      <w:w w:val="100"/>
                      <w:kern w:val="0"/>
                      <w:position w:val="0"/>
                      <w:sz w:val="21"/>
                      <w:szCs w:val="21"/>
                      <w:lang w:val="en-US" w:eastAsia="en-US" w:bidi="ar-SA"/>
                    </w:rPr>
                    <w:t>qi/Qi</w:t>
                  </w:r>
                </w:p>
              </w:tc>
            </w:tr>
            <w:tr w14:paraId="0B200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70" w:type="dxa"/>
                  <w:tcBorders>
                    <w:tl2br w:val="nil"/>
                    <w:tr2bl w:val="nil"/>
                  </w:tcBorders>
                  <w:shd w:val="clear" w:color="auto" w:fill="auto"/>
                  <w:noWrap w:val="0"/>
                  <w:vAlign w:val="center"/>
                </w:tcPr>
                <w:p w14:paraId="197DBE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1</w:t>
                  </w:r>
                </w:p>
              </w:tc>
              <w:tc>
                <w:tcPr>
                  <w:tcW w:w="2310" w:type="dxa"/>
                  <w:tcBorders>
                    <w:tl2br w:val="nil"/>
                    <w:tr2bl w:val="nil"/>
                  </w:tcBorders>
                  <w:shd w:val="clear" w:color="auto" w:fill="auto"/>
                  <w:noWrap w:val="0"/>
                  <w:vAlign w:val="center"/>
                </w:tcPr>
                <w:p w14:paraId="53940AB9">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aps w:val="0"/>
                      <w:color w:val="auto"/>
                      <w:spacing w:val="0"/>
                      <w:kern w:val="2"/>
                      <w:position w:val="0"/>
                      <w:sz w:val="21"/>
                      <w:szCs w:val="21"/>
                      <w:lang w:val="en-US" w:eastAsia="zh-CN" w:bidi="ar-SA"/>
                    </w:rPr>
                  </w:pPr>
                  <w:r>
                    <w:rPr>
                      <w:rFonts w:hint="eastAsia" w:ascii="Times New Roman" w:hAnsi="Times New Roman" w:eastAsia="宋体" w:cs="Times New Roman"/>
                      <w:caps w:val="0"/>
                      <w:color w:val="auto"/>
                      <w:spacing w:val="0"/>
                      <w:kern w:val="2"/>
                      <w:position w:val="0"/>
                      <w:sz w:val="21"/>
                      <w:szCs w:val="21"/>
                      <w:lang w:val="en-US" w:eastAsia="zh-CN" w:bidi="ar-SA"/>
                    </w:rPr>
                    <w:t>片碱</w:t>
                  </w:r>
                </w:p>
              </w:tc>
              <w:tc>
                <w:tcPr>
                  <w:tcW w:w="1948" w:type="dxa"/>
                  <w:tcBorders>
                    <w:tl2br w:val="nil"/>
                    <w:tr2bl w:val="nil"/>
                  </w:tcBorders>
                  <w:shd w:val="clear" w:color="auto" w:fill="auto"/>
                  <w:noWrap w:val="0"/>
                  <w:vAlign w:val="center"/>
                </w:tcPr>
                <w:p w14:paraId="27870F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3</w:t>
                  </w:r>
                </w:p>
              </w:tc>
              <w:tc>
                <w:tcPr>
                  <w:tcW w:w="2239" w:type="dxa"/>
                  <w:tcBorders>
                    <w:tl2br w:val="nil"/>
                    <w:tr2bl w:val="nil"/>
                  </w:tcBorders>
                  <w:shd w:val="clear" w:color="auto" w:fill="auto"/>
                  <w:noWrap w:val="0"/>
                  <w:vAlign w:val="center"/>
                </w:tcPr>
                <w:p w14:paraId="3FEC8F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100</w:t>
                  </w:r>
                </w:p>
              </w:tc>
              <w:tc>
                <w:tcPr>
                  <w:tcW w:w="1610" w:type="dxa"/>
                  <w:tcBorders>
                    <w:tl2br w:val="nil"/>
                    <w:tr2bl w:val="nil"/>
                  </w:tcBorders>
                  <w:shd w:val="clear" w:color="auto" w:fill="auto"/>
                  <w:noWrap w:val="0"/>
                  <w:vAlign w:val="center"/>
                </w:tcPr>
                <w:p w14:paraId="4895A2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0.03</w:t>
                  </w:r>
                </w:p>
              </w:tc>
            </w:tr>
            <w:tr w14:paraId="70A95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70" w:type="dxa"/>
                  <w:tcBorders>
                    <w:tl2br w:val="nil"/>
                    <w:tr2bl w:val="nil"/>
                  </w:tcBorders>
                  <w:shd w:val="clear" w:color="auto" w:fill="auto"/>
                  <w:noWrap w:val="0"/>
                  <w:vAlign w:val="center"/>
                </w:tcPr>
                <w:p w14:paraId="765C2F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2</w:t>
                  </w:r>
                </w:p>
              </w:tc>
              <w:tc>
                <w:tcPr>
                  <w:tcW w:w="2310" w:type="dxa"/>
                  <w:tcBorders>
                    <w:tl2br w:val="nil"/>
                    <w:tr2bl w:val="nil"/>
                  </w:tcBorders>
                  <w:shd w:val="clear" w:color="auto" w:fill="auto"/>
                  <w:noWrap w:val="0"/>
                  <w:vAlign w:val="center"/>
                </w:tcPr>
                <w:p w14:paraId="47279301">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aps w:val="0"/>
                      <w:color w:val="auto"/>
                      <w:spacing w:val="0"/>
                      <w:kern w:val="2"/>
                      <w:position w:val="0"/>
                      <w:sz w:val="21"/>
                      <w:szCs w:val="21"/>
                      <w:lang w:val="en-US" w:eastAsia="zh-CN" w:bidi="ar-SA"/>
                    </w:rPr>
                  </w:pPr>
                  <w:r>
                    <w:rPr>
                      <w:rFonts w:hint="eastAsia" w:ascii="Times New Roman" w:hAnsi="Times New Roman" w:eastAsia="宋体" w:cs="Times New Roman"/>
                      <w:caps w:val="0"/>
                      <w:color w:val="auto"/>
                      <w:spacing w:val="0"/>
                      <w:kern w:val="2"/>
                      <w:position w:val="0"/>
                      <w:sz w:val="21"/>
                      <w:szCs w:val="21"/>
                      <w:lang w:val="en-US" w:eastAsia="zh-CN" w:bidi="ar-SA"/>
                    </w:rPr>
                    <w:t>双氧水</w:t>
                  </w:r>
                </w:p>
              </w:tc>
              <w:tc>
                <w:tcPr>
                  <w:tcW w:w="1948" w:type="dxa"/>
                  <w:tcBorders>
                    <w:tl2br w:val="nil"/>
                    <w:tr2bl w:val="nil"/>
                  </w:tcBorders>
                  <w:shd w:val="clear" w:color="auto" w:fill="auto"/>
                  <w:noWrap w:val="0"/>
                  <w:vAlign w:val="center"/>
                </w:tcPr>
                <w:p w14:paraId="189644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0.05</w:t>
                  </w:r>
                </w:p>
              </w:tc>
              <w:tc>
                <w:tcPr>
                  <w:tcW w:w="2239" w:type="dxa"/>
                  <w:tcBorders>
                    <w:tl2br w:val="nil"/>
                    <w:tr2bl w:val="nil"/>
                  </w:tcBorders>
                  <w:shd w:val="clear" w:color="auto" w:fill="auto"/>
                  <w:noWrap w:val="0"/>
                  <w:vAlign w:val="center"/>
                </w:tcPr>
                <w:p w14:paraId="24441C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100</w:t>
                  </w:r>
                </w:p>
              </w:tc>
              <w:tc>
                <w:tcPr>
                  <w:tcW w:w="1610" w:type="dxa"/>
                  <w:tcBorders>
                    <w:tl2br w:val="nil"/>
                    <w:tr2bl w:val="nil"/>
                  </w:tcBorders>
                  <w:shd w:val="clear" w:color="auto" w:fill="auto"/>
                  <w:noWrap w:val="0"/>
                  <w:vAlign w:val="center"/>
                </w:tcPr>
                <w:p w14:paraId="516039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0.0005</w:t>
                  </w:r>
                </w:p>
              </w:tc>
            </w:tr>
            <w:tr w14:paraId="752B7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70" w:type="dxa"/>
                  <w:tcBorders>
                    <w:tl2br w:val="nil"/>
                    <w:tr2bl w:val="nil"/>
                  </w:tcBorders>
                  <w:shd w:val="clear" w:color="auto" w:fill="auto"/>
                  <w:noWrap w:val="0"/>
                  <w:vAlign w:val="center"/>
                </w:tcPr>
                <w:p w14:paraId="61132F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3</w:t>
                  </w:r>
                </w:p>
              </w:tc>
              <w:tc>
                <w:tcPr>
                  <w:tcW w:w="2310" w:type="dxa"/>
                  <w:tcBorders>
                    <w:tl2br w:val="nil"/>
                    <w:tr2bl w:val="nil"/>
                  </w:tcBorders>
                  <w:shd w:val="clear" w:color="auto" w:fill="auto"/>
                  <w:noWrap w:val="0"/>
                  <w:vAlign w:val="center"/>
                </w:tcPr>
                <w:p w14:paraId="62F782AF">
                  <w:pPr>
                    <w:keepNext w:val="0"/>
                    <w:keepLines w:val="0"/>
                    <w:widowControl/>
                    <w:suppressLineNumbers w:val="0"/>
                    <w:adjustRightInd/>
                    <w:snapToGrid/>
                    <w:spacing w:line="240" w:lineRule="auto"/>
                    <w:ind w:firstLine="0" w:firstLineChars="0"/>
                    <w:jc w:val="center"/>
                    <w:textAlignment w:val="center"/>
                    <w:rPr>
                      <w:rFonts w:hint="default" w:ascii="Times New Roman" w:hAnsi="Times New Roman" w:eastAsia="宋体" w:cs="Times New Roman"/>
                      <w:i w:val="0"/>
                      <w:iCs w:val="0"/>
                      <w:caps w:val="0"/>
                      <w:color w:val="auto"/>
                      <w:spacing w:val="0"/>
                      <w:kern w:val="0"/>
                      <w:sz w:val="21"/>
                      <w:szCs w:val="21"/>
                      <w:u w:val="none"/>
                      <w:lang w:val="en-US" w:eastAsia="zh-CN" w:bidi="ar"/>
                    </w:rPr>
                  </w:pPr>
                  <w:r>
                    <w:rPr>
                      <w:rFonts w:hint="eastAsia" w:ascii="Times New Roman" w:hAnsi="Times New Roman" w:eastAsia="宋体" w:cs="Times New Roman"/>
                      <w:i w:val="0"/>
                      <w:iCs w:val="0"/>
                      <w:caps w:val="0"/>
                      <w:color w:val="auto"/>
                      <w:spacing w:val="0"/>
                      <w:kern w:val="0"/>
                      <w:sz w:val="21"/>
                      <w:szCs w:val="21"/>
                      <w:u w:val="none"/>
                      <w:lang w:val="en-US" w:eastAsia="zh-CN" w:bidi="ar"/>
                    </w:rPr>
                    <w:t>热解油</w:t>
                  </w:r>
                </w:p>
              </w:tc>
              <w:tc>
                <w:tcPr>
                  <w:tcW w:w="1948" w:type="dxa"/>
                  <w:tcBorders>
                    <w:tl2br w:val="nil"/>
                    <w:tr2bl w:val="nil"/>
                  </w:tcBorders>
                  <w:shd w:val="clear" w:color="auto" w:fill="auto"/>
                  <w:noWrap w:val="0"/>
                  <w:vAlign w:val="center"/>
                </w:tcPr>
                <w:p w14:paraId="2EA1A0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74.97</w:t>
                  </w:r>
                </w:p>
              </w:tc>
              <w:tc>
                <w:tcPr>
                  <w:tcW w:w="2239" w:type="dxa"/>
                  <w:tcBorders>
                    <w:tl2br w:val="nil"/>
                    <w:tr2bl w:val="nil"/>
                  </w:tcBorders>
                  <w:shd w:val="clear" w:color="auto" w:fill="auto"/>
                  <w:noWrap w:val="0"/>
                  <w:vAlign w:val="center"/>
                </w:tcPr>
                <w:p w14:paraId="1561EB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610" w:type="dxa"/>
                  <w:tcBorders>
                    <w:tl2br w:val="nil"/>
                    <w:tr2bl w:val="nil"/>
                  </w:tcBorders>
                  <w:shd w:val="clear" w:color="auto" w:fill="auto"/>
                  <w:noWrap w:val="0"/>
                  <w:vAlign w:val="center"/>
                </w:tcPr>
                <w:p w14:paraId="5E9CC0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 xml:space="preserve">0.0300 </w:t>
                  </w:r>
                </w:p>
              </w:tc>
            </w:tr>
            <w:tr w14:paraId="08BCD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70" w:type="dxa"/>
                  <w:tcBorders>
                    <w:tl2br w:val="nil"/>
                    <w:tr2bl w:val="nil"/>
                  </w:tcBorders>
                  <w:shd w:val="clear" w:color="auto" w:fill="auto"/>
                  <w:noWrap w:val="0"/>
                  <w:vAlign w:val="center"/>
                </w:tcPr>
                <w:p w14:paraId="7904E9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4</w:t>
                  </w:r>
                </w:p>
              </w:tc>
              <w:tc>
                <w:tcPr>
                  <w:tcW w:w="2310" w:type="dxa"/>
                  <w:tcBorders>
                    <w:tl2br w:val="nil"/>
                    <w:tr2bl w:val="nil"/>
                  </w:tcBorders>
                  <w:shd w:val="clear" w:color="auto" w:fill="auto"/>
                  <w:noWrap w:val="0"/>
                  <w:vAlign w:val="center"/>
                </w:tcPr>
                <w:p w14:paraId="394BE75F">
                  <w:pPr>
                    <w:keepNext w:val="0"/>
                    <w:keepLines w:val="0"/>
                    <w:widowControl/>
                    <w:suppressLineNumbers w:val="0"/>
                    <w:adjustRightInd/>
                    <w:snapToGrid/>
                    <w:spacing w:line="240" w:lineRule="auto"/>
                    <w:ind w:firstLine="0" w:firstLineChars="0"/>
                    <w:jc w:val="center"/>
                    <w:textAlignment w:val="center"/>
                    <w:rPr>
                      <w:rFonts w:hint="eastAsia" w:ascii="Times New Roman" w:hAnsi="Times New Roman" w:eastAsia="宋体" w:cs="Times New Roman"/>
                      <w:i w:val="0"/>
                      <w:iCs w:val="0"/>
                      <w:caps w:val="0"/>
                      <w:color w:val="auto"/>
                      <w:spacing w:val="0"/>
                      <w:kern w:val="0"/>
                      <w:sz w:val="21"/>
                      <w:szCs w:val="21"/>
                      <w:u w:val="none"/>
                      <w:lang w:val="en-US" w:eastAsia="zh-CN" w:bidi="ar"/>
                    </w:rPr>
                  </w:pPr>
                  <w:r>
                    <w:rPr>
                      <w:rFonts w:hint="eastAsia" w:cs="Times New Roman"/>
                      <w:i w:val="0"/>
                      <w:iCs w:val="0"/>
                      <w:caps w:val="0"/>
                      <w:color w:val="auto"/>
                      <w:spacing w:val="0"/>
                      <w:kern w:val="0"/>
                      <w:sz w:val="21"/>
                      <w:szCs w:val="21"/>
                      <w:u w:val="none"/>
                      <w:lang w:val="en-US" w:eastAsia="zh-CN" w:bidi="ar"/>
                    </w:rPr>
                    <w:t>不凝气</w:t>
                  </w:r>
                </w:p>
              </w:tc>
              <w:tc>
                <w:tcPr>
                  <w:tcW w:w="1948" w:type="dxa"/>
                  <w:tcBorders>
                    <w:tl2br w:val="nil"/>
                    <w:tr2bl w:val="nil"/>
                  </w:tcBorders>
                  <w:shd w:val="clear" w:color="auto" w:fill="auto"/>
                  <w:noWrap w:val="0"/>
                  <w:vAlign w:val="center"/>
                </w:tcPr>
                <w:p w14:paraId="0076D8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0.8</w:t>
                  </w:r>
                </w:p>
              </w:tc>
              <w:tc>
                <w:tcPr>
                  <w:tcW w:w="2239" w:type="dxa"/>
                  <w:tcBorders>
                    <w:tl2br w:val="nil"/>
                    <w:tr2bl w:val="nil"/>
                  </w:tcBorders>
                  <w:shd w:val="clear" w:color="auto" w:fill="auto"/>
                  <w:noWrap w:val="0"/>
                  <w:vAlign w:val="center"/>
                </w:tcPr>
                <w:p w14:paraId="2CB62A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10</w:t>
                  </w:r>
                </w:p>
              </w:tc>
              <w:tc>
                <w:tcPr>
                  <w:tcW w:w="1610" w:type="dxa"/>
                  <w:tcBorders>
                    <w:tl2br w:val="nil"/>
                    <w:tr2bl w:val="nil"/>
                  </w:tcBorders>
                  <w:shd w:val="clear" w:color="auto" w:fill="auto"/>
                  <w:noWrap w:val="0"/>
                  <w:vAlign w:val="center"/>
                </w:tcPr>
                <w:p w14:paraId="301C2E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0.08</w:t>
                  </w:r>
                </w:p>
              </w:tc>
            </w:tr>
            <w:tr w14:paraId="022D2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870" w:type="dxa"/>
                  <w:tcBorders>
                    <w:tl2br w:val="nil"/>
                    <w:tr2bl w:val="nil"/>
                  </w:tcBorders>
                  <w:shd w:val="clear" w:color="auto" w:fill="auto"/>
                  <w:noWrap w:val="0"/>
                  <w:vAlign w:val="center"/>
                </w:tcPr>
                <w:p w14:paraId="2313CD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t>5</w:t>
                  </w:r>
                </w:p>
              </w:tc>
              <w:tc>
                <w:tcPr>
                  <w:tcW w:w="2310" w:type="dxa"/>
                  <w:tcBorders>
                    <w:tl2br w:val="nil"/>
                    <w:tr2bl w:val="nil"/>
                  </w:tcBorders>
                  <w:shd w:val="clear" w:color="auto" w:fill="auto"/>
                  <w:noWrap w:val="0"/>
                  <w:vAlign w:val="center"/>
                </w:tcPr>
                <w:p w14:paraId="1837F8CA">
                  <w:pPr>
                    <w:keepNext w:val="0"/>
                    <w:keepLines w:val="0"/>
                    <w:widowControl/>
                    <w:suppressLineNumbers w:val="0"/>
                    <w:adjustRightInd/>
                    <w:snapToGrid/>
                    <w:spacing w:line="240" w:lineRule="auto"/>
                    <w:ind w:firstLine="0" w:firstLineChars="0"/>
                    <w:jc w:val="center"/>
                    <w:textAlignment w:val="cente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i w:val="0"/>
                      <w:iCs w:val="0"/>
                      <w:caps w:val="0"/>
                      <w:color w:val="auto"/>
                      <w:spacing w:val="0"/>
                      <w:kern w:val="0"/>
                      <w:sz w:val="21"/>
                      <w:szCs w:val="21"/>
                      <w:u w:val="none"/>
                      <w:lang w:val="en-US" w:eastAsia="zh-CN" w:bidi="ar"/>
                    </w:rPr>
                    <w:t>润滑油</w:t>
                  </w:r>
                </w:p>
              </w:tc>
              <w:tc>
                <w:tcPr>
                  <w:tcW w:w="1948" w:type="dxa"/>
                  <w:tcBorders>
                    <w:tl2br w:val="nil"/>
                    <w:tr2bl w:val="nil"/>
                  </w:tcBorders>
                  <w:shd w:val="clear" w:color="auto" w:fill="auto"/>
                  <w:noWrap w:val="0"/>
                  <w:vAlign w:val="center"/>
                </w:tcPr>
                <w:p w14:paraId="139551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0.02</w:t>
                  </w:r>
                </w:p>
              </w:tc>
              <w:tc>
                <w:tcPr>
                  <w:tcW w:w="2239" w:type="dxa"/>
                  <w:tcBorders>
                    <w:tl2br w:val="nil"/>
                    <w:tr2bl w:val="nil"/>
                  </w:tcBorders>
                  <w:shd w:val="clear" w:color="auto" w:fill="auto"/>
                  <w:noWrap w:val="0"/>
                  <w:vAlign w:val="center"/>
                </w:tcPr>
                <w:p w14:paraId="42C2F7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610" w:type="dxa"/>
                  <w:tcBorders>
                    <w:tl2br w:val="nil"/>
                    <w:tr2bl w:val="nil"/>
                  </w:tcBorders>
                  <w:shd w:val="clear" w:color="auto" w:fill="auto"/>
                  <w:noWrap w:val="0"/>
                  <w:vAlign w:val="center"/>
                </w:tcPr>
                <w:p w14:paraId="45C040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0.000008</w:t>
                  </w:r>
                </w:p>
              </w:tc>
            </w:tr>
            <w:tr w14:paraId="43AA7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70" w:type="dxa"/>
                  <w:tcBorders>
                    <w:tl2br w:val="nil"/>
                    <w:tr2bl w:val="nil"/>
                  </w:tcBorders>
                  <w:shd w:val="clear" w:color="auto" w:fill="auto"/>
                  <w:noWrap w:val="0"/>
                  <w:vAlign w:val="center"/>
                </w:tcPr>
                <w:p w14:paraId="76436A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caps w:val="0"/>
                      <w:color w:val="auto"/>
                      <w:spacing w:val="0"/>
                      <w:w w:val="100"/>
                      <w:kern w:val="0"/>
                      <w:position w:val="0"/>
                      <w:sz w:val="21"/>
                      <w:szCs w:val="21"/>
                      <w:vertAlign w:val="baseline"/>
                      <w:lang w:val="en-US" w:eastAsia="zh-CN" w:bidi="ar-SA"/>
                    </w:rPr>
                    <w:t>6</w:t>
                  </w:r>
                </w:p>
              </w:tc>
              <w:tc>
                <w:tcPr>
                  <w:tcW w:w="2310" w:type="dxa"/>
                  <w:tcBorders>
                    <w:tl2br w:val="nil"/>
                    <w:tr2bl w:val="nil"/>
                  </w:tcBorders>
                  <w:shd w:val="clear" w:color="auto" w:fill="auto"/>
                  <w:noWrap w:val="0"/>
                  <w:vAlign w:val="center"/>
                </w:tcPr>
                <w:p w14:paraId="6BB91A17">
                  <w:pPr>
                    <w:keepNext w:val="0"/>
                    <w:keepLines w:val="0"/>
                    <w:widowControl/>
                    <w:suppressLineNumbers w:val="0"/>
                    <w:adjustRightInd/>
                    <w:snapToGrid/>
                    <w:spacing w:line="240" w:lineRule="auto"/>
                    <w:ind w:firstLine="0" w:firstLineChars="0"/>
                    <w:jc w:val="center"/>
                    <w:textAlignment w:val="cente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i w:val="0"/>
                      <w:iCs w:val="0"/>
                      <w:caps w:val="0"/>
                      <w:color w:val="auto"/>
                      <w:spacing w:val="0"/>
                      <w:kern w:val="0"/>
                      <w:sz w:val="21"/>
                      <w:szCs w:val="21"/>
                      <w:u w:val="none"/>
                      <w:lang w:val="en-US" w:eastAsia="zh-CN" w:bidi="ar"/>
                    </w:rPr>
                    <w:t>液压油</w:t>
                  </w:r>
                </w:p>
              </w:tc>
              <w:tc>
                <w:tcPr>
                  <w:tcW w:w="1948" w:type="dxa"/>
                  <w:tcBorders>
                    <w:tl2br w:val="nil"/>
                    <w:tr2bl w:val="nil"/>
                  </w:tcBorders>
                  <w:shd w:val="clear" w:color="auto" w:fill="auto"/>
                  <w:noWrap w:val="0"/>
                  <w:vAlign w:val="center"/>
                </w:tcPr>
                <w:p w14:paraId="191024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0.1</w:t>
                  </w:r>
                </w:p>
              </w:tc>
              <w:tc>
                <w:tcPr>
                  <w:tcW w:w="2239" w:type="dxa"/>
                  <w:tcBorders>
                    <w:tl2br w:val="nil"/>
                    <w:tr2bl w:val="nil"/>
                  </w:tcBorders>
                  <w:shd w:val="clear" w:color="auto" w:fill="auto"/>
                  <w:noWrap w:val="0"/>
                  <w:vAlign w:val="center"/>
                </w:tcPr>
                <w:p w14:paraId="3B7B737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610" w:type="dxa"/>
                  <w:tcBorders>
                    <w:tl2br w:val="nil"/>
                    <w:tr2bl w:val="nil"/>
                  </w:tcBorders>
                  <w:shd w:val="clear" w:color="auto" w:fill="auto"/>
                  <w:noWrap w:val="0"/>
                  <w:vAlign w:val="center"/>
                </w:tcPr>
                <w:p w14:paraId="45D9BA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0.00004</w:t>
                  </w:r>
                </w:p>
              </w:tc>
            </w:tr>
            <w:tr w14:paraId="388E1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70" w:type="dxa"/>
                  <w:tcBorders>
                    <w:tl2br w:val="nil"/>
                    <w:tr2bl w:val="nil"/>
                  </w:tcBorders>
                  <w:shd w:val="clear" w:color="auto" w:fill="auto"/>
                  <w:noWrap w:val="0"/>
                  <w:vAlign w:val="center"/>
                </w:tcPr>
                <w:p w14:paraId="0E5F17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caps w:val="0"/>
                      <w:color w:val="auto"/>
                      <w:spacing w:val="0"/>
                      <w:w w:val="100"/>
                      <w:kern w:val="0"/>
                      <w:position w:val="0"/>
                      <w:sz w:val="21"/>
                      <w:szCs w:val="21"/>
                      <w:vertAlign w:val="baseline"/>
                      <w:lang w:val="en-US" w:eastAsia="zh-CN" w:bidi="ar-SA"/>
                    </w:rPr>
                    <w:t>7</w:t>
                  </w:r>
                </w:p>
              </w:tc>
              <w:tc>
                <w:tcPr>
                  <w:tcW w:w="2310" w:type="dxa"/>
                  <w:tcBorders>
                    <w:tl2br w:val="nil"/>
                    <w:tr2bl w:val="nil"/>
                  </w:tcBorders>
                  <w:shd w:val="clear" w:color="auto" w:fill="auto"/>
                  <w:noWrap w:val="0"/>
                  <w:vAlign w:val="center"/>
                </w:tcPr>
                <w:p w14:paraId="773B2EB4">
                  <w:pPr>
                    <w:keepNext w:val="0"/>
                    <w:keepLines w:val="0"/>
                    <w:widowControl/>
                    <w:suppressLineNumbers w:val="0"/>
                    <w:adjustRightInd/>
                    <w:snapToGrid/>
                    <w:spacing w:line="240" w:lineRule="auto"/>
                    <w:ind w:firstLine="0" w:firstLineChars="0"/>
                    <w:jc w:val="center"/>
                    <w:textAlignment w:val="cente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废</w:t>
                  </w:r>
                  <w:r>
                    <w:rPr>
                      <w:rFonts w:hint="default" w:ascii="Times New Roman" w:hAnsi="Times New Roman" w:eastAsia="宋体" w:cs="Times New Roman"/>
                      <w:i w:val="0"/>
                      <w:iCs w:val="0"/>
                      <w:caps w:val="0"/>
                      <w:color w:val="auto"/>
                      <w:spacing w:val="0"/>
                      <w:kern w:val="0"/>
                      <w:sz w:val="21"/>
                      <w:szCs w:val="21"/>
                      <w:u w:val="none"/>
                      <w:lang w:val="en-US" w:eastAsia="zh-CN" w:bidi="ar"/>
                    </w:rPr>
                    <w:t>润滑油</w:t>
                  </w:r>
                </w:p>
              </w:tc>
              <w:tc>
                <w:tcPr>
                  <w:tcW w:w="1948" w:type="dxa"/>
                  <w:tcBorders>
                    <w:tl2br w:val="nil"/>
                    <w:tr2bl w:val="nil"/>
                  </w:tcBorders>
                  <w:shd w:val="clear" w:color="auto" w:fill="auto"/>
                  <w:noWrap w:val="0"/>
                  <w:vAlign w:val="center"/>
                </w:tcPr>
                <w:p w14:paraId="74FF5B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0.16</w:t>
                  </w:r>
                </w:p>
              </w:tc>
              <w:tc>
                <w:tcPr>
                  <w:tcW w:w="2239" w:type="dxa"/>
                  <w:tcBorders>
                    <w:tl2br w:val="nil"/>
                    <w:tr2bl w:val="nil"/>
                  </w:tcBorders>
                  <w:shd w:val="clear" w:color="auto" w:fill="auto"/>
                  <w:noWrap w:val="0"/>
                  <w:vAlign w:val="center"/>
                </w:tcPr>
                <w:p w14:paraId="7B5BDC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610" w:type="dxa"/>
                  <w:tcBorders>
                    <w:tl2br w:val="nil"/>
                    <w:tr2bl w:val="nil"/>
                  </w:tcBorders>
                  <w:shd w:val="clear" w:color="auto" w:fill="auto"/>
                  <w:noWrap w:val="0"/>
                  <w:vAlign w:val="center"/>
                </w:tcPr>
                <w:p w14:paraId="0A7078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0.000064</w:t>
                  </w:r>
                </w:p>
              </w:tc>
            </w:tr>
            <w:tr w14:paraId="70241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70" w:type="dxa"/>
                  <w:tcBorders>
                    <w:tl2br w:val="nil"/>
                    <w:tr2bl w:val="nil"/>
                  </w:tcBorders>
                  <w:shd w:val="clear" w:color="auto" w:fill="auto"/>
                  <w:noWrap w:val="0"/>
                  <w:vAlign w:val="center"/>
                </w:tcPr>
                <w:p w14:paraId="05EBF4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eastAsia" w:cs="Times New Roman"/>
                      <w:caps w:val="0"/>
                      <w:color w:val="auto"/>
                      <w:spacing w:val="0"/>
                      <w:w w:val="100"/>
                      <w:kern w:val="0"/>
                      <w:position w:val="0"/>
                      <w:sz w:val="21"/>
                      <w:szCs w:val="21"/>
                      <w:vertAlign w:val="baseline"/>
                      <w:lang w:val="en-US" w:eastAsia="zh-CN" w:bidi="ar-SA"/>
                    </w:rPr>
                    <w:t>8</w:t>
                  </w:r>
                </w:p>
              </w:tc>
              <w:tc>
                <w:tcPr>
                  <w:tcW w:w="2310" w:type="dxa"/>
                  <w:tcBorders>
                    <w:tl2br w:val="nil"/>
                    <w:tr2bl w:val="nil"/>
                  </w:tcBorders>
                  <w:shd w:val="clear" w:color="auto" w:fill="auto"/>
                  <w:noWrap w:val="0"/>
                  <w:vAlign w:val="center"/>
                </w:tcPr>
                <w:p w14:paraId="6A7F7341">
                  <w:pPr>
                    <w:keepNext w:val="0"/>
                    <w:keepLines w:val="0"/>
                    <w:widowControl/>
                    <w:suppressLineNumbers w:val="0"/>
                    <w:adjustRightInd/>
                    <w:snapToGrid/>
                    <w:spacing w:line="240" w:lineRule="auto"/>
                    <w:ind w:firstLine="0" w:firstLineChars="0"/>
                    <w:jc w:val="center"/>
                    <w:textAlignment w:val="cente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废</w:t>
                  </w:r>
                  <w:r>
                    <w:rPr>
                      <w:rFonts w:hint="default" w:ascii="Times New Roman" w:hAnsi="Times New Roman" w:eastAsia="宋体" w:cs="Times New Roman"/>
                      <w:i w:val="0"/>
                      <w:iCs w:val="0"/>
                      <w:caps w:val="0"/>
                      <w:color w:val="auto"/>
                      <w:spacing w:val="0"/>
                      <w:kern w:val="0"/>
                      <w:sz w:val="21"/>
                      <w:szCs w:val="21"/>
                      <w:u w:val="none"/>
                      <w:lang w:val="en-US" w:eastAsia="zh-CN" w:bidi="ar"/>
                    </w:rPr>
                    <w:t>液压油</w:t>
                  </w:r>
                </w:p>
              </w:tc>
              <w:tc>
                <w:tcPr>
                  <w:tcW w:w="1948" w:type="dxa"/>
                  <w:tcBorders>
                    <w:tl2br w:val="nil"/>
                    <w:tr2bl w:val="nil"/>
                  </w:tcBorders>
                  <w:shd w:val="clear" w:color="auto" w:fill="auto"/>
                  <w:noWrap w:val="0"/>
                  <w:vAlign w:val="center"/>
                </w:tcPr>
                <w:p w14:paraId="164BAE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0.8</w:t>
                  </w:r>
                </w:p>
              </w:tc>
              <w:tc>
                <w:tcPr>
                  <w:tcW w:w="2239" w:type="dxa"/>
                  <w:tcBorders>
                    <w:tl2br w:val="nil"/>
                    <w:tr2bl w:val="nil"/>
                  </w:tcBorders>
                  <w:shd w:val="clear" w:color="auto" w:fill="auto"/>
                  <w:noWrap w:val="0"/>
                  <w:vAlign w:val="center"/>
                </w:tcPr>
                <w:p w14:paraId="656455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2500</w:t>
                  </w:r>
                </w:p>
              </w:tc>
              <w:tc>
                <w:tcPr>
                  <w:tcW w:w="1610" w:type="dxa"/>
                  <w:tcBorders>
                    <w:tl2br w:val="nil"/>
                    <w:tr2bl w:val="nil"/>
                  </w:tcBorders>
                  <w:shd w:val="clear" w:color="auto" w:fill="auto"/>
                  <w:noWrap w:val="0"/>
                  <w:vAlign w:val="center"/>
                </w:tcPr>
                <w:p w14:paraId="4E2E24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caps w:val="0"/>
                      <w:color w:val="auto"/>
                      <w:spacing w:val="0"/>
                      <w:w w:val="100"/>
                      <w:kern w:val="0"/>
                      <w:position w:val="0"/>
                      <w:sz w:val="21"/>
                      <w:szCs w:val="21"/>
                      <w:vertAlign w:val="baseline"/>
                      <w:lang w:val="en-US" w:eastAsia="zh-CN" w:bidi="ar-SA"/>
                    </w:rPr>
                    <w:t>0.00032</w:t>
                  </w:r>
                </w:p>
              </w:tc>
            </w:tr>
            <w:tr w14:paraId="50BE8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7367" w:type="dxa"/>
                  <w:gridSpan w:val="4"/>
                  <w:tcBorders>
                    <w:tl2br w:val="nil"/>
                    <w:tr2bl w:val="nil"/>
                  </w:tcBorders>
                  <w:shd w:val="clear" w:color="auto" w:fill="auto"/>
                  <w:noWrap w:val="0"/>
                  <w:vAlign w:val="center"/>
                </w:tcPr>
                <w:p w14:paraId="750487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aps w:val="0"/>
                      <w:color w:val="auto"/>
                      <w:spacing w:val="0"/>
                      <w:w w:val="100"/>
                      <w:kern w:val="0"/>
                      <w:position w:val="0"/>
                      <w:sz w:val="21"/>
                      <w:szCs w:val="21"/>
                      <w:vertAlign w:val="baseline"/>
                      <w:lang w:val="en-US" w:eastAsia="zh-CN" w:bidi="ar-SA"/>
                    </w:rPr>
                  </w:pPr>
                  <w:r>
                    <w:rPr>
                      <w:rFonts w:hint="eastAsia" w:ascii="Times New Roman" w:hAnsi="Times New Roman" w:eastAsia="宋体" w:cs="Times New Roman"/>
                      <w:b/>
                      <w:bCs/>
                      <w:caps w:val="0"/>
                      <w:color w:val="auto"/>
                      <w:spacing w:val="0"/>
                      <w:w w:val="100"/>
                      <w:kern w:val="0"/>
                      <w:position w:val="0"/>
                      <w:sz w:val="21"/>
                      <w:szCs w:val="21"/>
                      <w:vertAlign w:val="baseline"/>
                      <w:lang w:val="en-US" w:eastAsia="zh-CN" w:bidi="ar-SA"/>
                    </w:rPr>
                    <w:t>合计</w:t>
                  </w:r>
                </w:p>
              </w:tc>
              <w:tc>
                <w:tcPr>
                  <w:tcW w:w="1610" w:type="dxa"/>
                  <w:tcBorders>
                    <w:tl2br w:val="nil"/>
                    <w:tr2bl w:val="nil"/>
                  </w:tcBorders>
                  <w:shd w:val="clear" w:color="auto" w:fill="auto"/>
                  <w:noWrap w:val="0"/>
                  <w:vAlign w:val="center"/>
                </w:tcPr>
                <w:p w14:paraId="7FF33FD3">
                  <w:pPr>
                    <w:keepNext w:val="0"/>
                    <w:keepLines w:val="0"/>
                    <w:widowControl/>
                    <w:suppressLineNumbers w:val="0"/>
                    <w:adjustRightInd/>
                    <w:snapToGrid/>
                    <w:spacing w:line="240" w:lineRule="auto"/>
                    <w:ind w:firstLine="0" w:firstLineChars="0"/>
                    <w:jc w:val="center"/>
                    <w:textAlignment w:val="center"/>
                    <w:rPr>
                      <w:rFonts w:hint="default" w:ascii="Times New Roman" w:hAnsi="Times New Roman" w:eastAsia="宋体" w:cs="Times New Roman"/>
                      <w:b/>
                      <w:bCs/>
                      <w:i w:val="0"/>
                      <w:iCs w:val="0"/>
                      <w:caps w:val="0"/>
                      <w:color w:val="auto"/>
                      <w:spacing w:val="0"/>
                      <w:kern w:val="0"/>
                      <w:sz w:val="21"/>
                      <w:szCs w:val="21"/>
                      <w:u w:val="none"/>
                      <w:lang w:val="en-US" w:eastAsia="zh-CN" w:bidi="ar"/>
                    </w:rPr>
                  </w:pPr>
                  <w:r>
                    <w:rPr>
                      <w:rFonts w:hint="eastAsia" w:cs="Times New Roman"/>
                      <w:b/>
                      <w:bCs/>
                      <w:i w:val="0"/>
                      <w:iCs w:val="0"/>
                      <w:caps w:val="0"/>
                      <w:color w:val="auto"/>
                      <w:spacing w:val="0"/>
                      <w:kern w:val="0"/>
                      <w:sz w:val="21"/>
                      <w:szCs w:val="21"/>
                      <w:u w:val="none"/>
                      <w:lang w:val="en-US" w:eastAsia="zh-CN" w:bidi="ar"/>
                    </w:rPr>
                    <w:t>0.141</w:t>
                  </w:r>
                </w:p>
              </w:tc>
            </w:tr>
          </w:tbl>
          <w:p w14:paraId="0C27A043">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b w:val="0"/>
                <w:bCs w:val="0"/>
                <w:caps w:val="0"/>
                <w:smallCaps w:val="0"/>
                <w:color w:val="auto"/>
                <w:spacing w:val="0"/>
                <w:w w:val="100"/>
                <w:kern w:val="0"/>
                <w:position w:val="0"/>
                <w:sz w:val="24"/>
                <w:szCs w:val="24"/>
                <w:lang w:val="en-US" w:eastAsia="zh-CN"/>
              </w:rPr>
            </w:pPr>
            <w:r>
              <w:rPr>
                <w:rFonts w:hint="default" w:ascii="Times New Roman" w:hAnsi="Times New Roman" w:eastAsia="宋体" w:cs="Times New Roman"/>
                <w:b w:val="0"/>
                <w:bCs w:val="0"/>
                <w:caps w:val="0"/>
                <w:smallCaps w:val="0"/>
                <w:color w:val="auto"/>
                <w:spacing w:val="0"/>
                <w:w w:val="100"/>
                <w:kern w:val="0"/>
                <w:position w:val="0"/>
                <w:sz w:val="24"/>
                <w:szCs w:val="24"/>
                <w:lang w:val="en-US" w:eastAsia="zh-CN"/>
              </w:rPr>
              <w:t>根据上表，项目Q=</w:t>
            </w:r>
            <w:r>
              <w:rPr>
                <w:rFonts w:hint="eastAsia" w:cs="Times New Roman"/>
                <w:b w:val="0"/>
                <w:bCs w:val="0"/>
                <w:caps w:val="0"/>
                <w:smallCaps w:val="0"/>
                <w:color w:val="auto"/>
                <w:spacing w:val="0"/>
                <w:w w:val="100"/>
                <w:kern w:val="0"/>
                <w:position w:val="0"/>
                <w:sz w:val="24"/>
                <w:szCs w:val="24"/>
                <w:lang w:val="en-US" w:eastAsia="zh-CN"/>
              </w:rPr>
              <w:t>0.141</w:t>
            </w:r>
            <w:r>
              <w:rPr>
                <w:rFonts w:hint="default" w:ascii="Times New Roman" w:hAnsi="Times New Roman" w:eastAsia="宋体" w:cs="Times New Roman"/>
                <w:b w:val="0"/>
                <w:bCs w:val="0"/>
                <w:caps w:val="0"/>
                <w:smallCaps w:val="0"/>
                <w:color w:val="auto"/>
                <w:spacing w:val="0"/>
                <w:w w:val="100"/>
                <w:kern w:val="0"/>
                <w:position w:val="0"/>
                <w:sz w:val="24"/>
                <w:szCs w:val="24"/>
                <w:lang w:val="en-US" w:eastAsia="zh-CN"/>
              </w:rPr>
              <w:t>。</w:t>
            </w:r>
          </w:p>
          <w:p w14:paraId="2219BBF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Times New Roman" w:hAnsi="Times New Roman" w:eastAsia="宋体"/>
                <w:b/>
                <w:caps w:val="0"/>
                <w:color w:val="auto"/>
                <w:sz w:val="24"/>
              </w:rPr>
            </w:pPr>
            <w:r>
              <w:rPr>
                <w:rFonts w:hint="eastAsia" w:ascii="Times New Roman" w:hAnsi="Times New Roman" w:eastAsia="宋体"/>
                <w:bCs/>
                <w:caps w:val="0"/>
                <w:color w:val="auto"/>
                <w:sz w:val="24"/>
              </w:rPr>
              <w:t>环境风险评价工作等级划分为一级、二级、三级。根据建设项目涉及的物质及工艺系统危险性和所在地的环境敏感性确定环境风险潜势，按照下表确定评价工作等级。风险潜势为Ⅳ及以上，进行一级评价；风险潜势为Ⅲ，进行二级评价；风险潜势为Ⅱ，进行三级评价；风险潜势为Ⅰ，可开展简单分析。</w:t>
            </w:r>
          </w:p>
          <w:p w14:paraId="098B2B61">
            <w:pPr>
              <w:spacing w:line="460" w:lineRule="exact"/>
              <w:jc w:val="center"/>
              <w:rPr>
                <w:rFonts w:hint="eastAsia" w:ascii="Times New Roman" w:hAnsi="Times New Roman" w:eastAsia="宋体"/>
                <w:b/>
                <w:caps w:val="0"/>
                <w:color w:val="auto"/>
                <w:sz w:val="21"/>
                <w:szCs w:val="21"/>
              </w:rPr>
            </w:pPr>
            <w:r>
              <w:rPr>
                <w:rFonts w:hint="eastAsia" w:ascii="Times New Roman" w:hAnsi="Times New Roman" w:eastAsia="宋体"/>
                <w:b/>
                <w:caps w:val="0"/>
                <w:color w:val="auto"/>
                <w:sz w:val="21"/>
                <w:szCs w:val="21"/>
              </w:rPr>
              <w:t>表</w:t>
            </w:r>
            <w:r>
              <w:rPr>
                <w:rFonts w:hint="eastAsia" w:ascii="Times New Roman" w:hAnsi="Times New Roman"/>
                <w:b/>
                <w:caps w:val="0"/>
                <w:color w:val="auto"/>
                <w:sz w:val="21"/>
                <w:szCs w:val="21"/>
                <w:lang w:val="en-US" w:eastAsia="zh-CN"/>
              </w:rPr>
              <w:t>4-39</w:t>
            </w:r>
            <w:r>
              <w:rPr>
                <w:rFonts w:hint="eastAsia" w:ascii="Times New Roman" w:hAnsi="Times New Roman" w:eastAsia="宋体"/>
                <w:b/>
                <w:caps w:val="0"/>
                <w:color w:val="auto"/>
                <w:sz w:val="21"/>
                <w:szCs w:val="21"/>
              </w:rPr>
              <w:t xml:space="preserve">  评价工作等级划分</w:t>
            </w:r>
          </w:p>
          <w:tbl>
            <w:tblPr>
              <w:tblStyle w:val="26"/>
              <w:tblW w:w="4999" w:type="pct"/>
              <w:jc w:val="center"/>
              <w:tblLayout w:type="autofit"/>
              <w:tblCellMar>
                <w:top w:w="0" w:type="dxa"/>
                <w:left w:w="108" w:type="dxa"/>
                <w:bottom w:w="0" w:type="dxa"/>
                <w:right w:w="108" w:type="dxa"/>
              </w:tblCellMar>
            </w:tblPr>
            <w:tblGrid>
              <w:gridCol w:w="1855"/>
              <w:gridCol w:w="1856"/>
              <w:gridCol w:w="1856"/>
              <w:gridCol w:w="1856"/>
              <w:gridCol w:w="1865"/>
            </w:tblGrid>
            <w:tr w14:paraId="30D150A8">
              <w:tblPrEx>
                <w:tblCellMar>
                  <w:top w:w="0" w:type="dxa"/>
                  <w:left w:w="108" w:type="dxa"/>
                  <w:bottom w:w="0" w:type="dxa"/>
                  <w:right w:w="108" w:type="dxa"/>
                </w:tblCellMar>
              </w:tblPrEx>
              <w:trPr>
                <w:trHeight w:val="310" w:hRule="atLeast"/>
                <w:jc w:val="center"/>
              </w:trPr>
              <w:tc>
                <w:tcPr>
                  <w:tcW w:w="9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1AF0ACB">
                  <w:pPr>
                    <w:spacing w:line="340" w:lineRule="exact"/>
                    <w:ind w:left="-108" w:right="-108"/>
                    <w:jc w:val="center"/>
                    <w:rPr>
                      <w:rFonts w:hint="default" w:ascii="Times New Roman" w:hAnsi="Times New Roman" w:eastAsia="宋体" w:cs="Times New Roman"/>
                      <w:b/>
                      <w:bCs/>
                      <w:caps w:val="0"/>
                      <w:color w:val="auto"/>
                      <w:sz w:val="21"/>
                      <w:szCs w:val="21"/>
                      <w:lang w:val="en-US" w:eastAsia="zh-CN"/>
                    </w:rPr>
                  </w:pPr>
                  <w:r>
                    <w:rPr>
                      <w:rFonts w:hint="default" w:ascii="Times New Roman" w:hAnsi="Times New Roman" w:eastAsia="宋体" w:cs="Times New Roman"/>
                      <w:b/>
                      <w:bCs/>
                      <w:caps w:val="0"/>
                      <w:color w:val="auto"/>
                      <w:sz w:val="21"/>
                      <w:szCs w:val="21"/>
                      <w:lang w:val="en-US" w:eastAsia="zh-CN"/>
                    </w:rPr>
                    <w:t>环境风险潜势</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7883FAE">
                  <w:pPr>
                    <w:spacing w:line="340" w:lineRule="exact"/>
                    <w:ind w:left="-108" w:right="-108"/>
                    <w:jc w:val="center"/>
                    <w:rPr>
                      <w:rFonts w:hint="default" w:ascii="Times New Roman" w:hAnsi="Times New Roman" w:eastAsia="宋体" w:cs="Times New Roman"/>
                      <w:b/>
                      <w:bCs/>
                      <w:caps w:val="0"/>
                      <w:color w:val="auto"/>
                      <w:sz w:val="21"/>
                      <w:szCs w:val="21"/>
                      <w:lang w:val="en-US" w:eastAsia="zh-CN"/>
                    </w:rPr>
                  </w:pPr>
                  <w:r>
                    <w:rPr>
                      <w:rFonts w:hint="default" w:ascii="Times New Roman" w:hAnsi="Times New Roman" w:eastAsia="宋体" w:cs="Times New Roman"/>
                      <w:b/>
                      <w:bCs/>
                      <w:caps w:val="0"/>
                      <w:color w:val="auto"/>
                      <w:sz w:val="21"/>
                      <w:szCs w:val="21"/>
                      <w:lang w:val="en-US" w:eastAsia="zh-CN"/>
                    </w:rPr>
                    <w:t>Ⅳ、Ⅳ+</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0686FB9">
                  <w:pPr>
                    <w:spacing w:line="340" w:lineRule="exact"/>
                    <w:ind w:left="-108" w:right="-108"/>
                    <w:jc w:val="center"/>
                    <w:rPr>
                      <w:rFonts w:hint="default" w:ascii="Times New Roman" w:hAnsi="Times New Roman" w:eastAsia="宋体" w:cs="Times New Roman"/>
                      <w:b/>
                      <w:bCs/>
                      <w:caps w:val="0"/>
                      <w:color w:val="auto"/>
                      <w:sz w:val="21"/>
                      <w:szCs w:val="21"/>
                      <w:lang w:val="en-US" w:eastAsia="zh-CN"/>
                    </w:rPr>
                  </w:pPr>
                  <w:r>
                    <w:rPr>
                      <w:rFonts w:hint="default" w:ascii="Times New Roman" w:hAnsi="Times New Roman" w:eastAsia="宋体" w:cs="Times New Roman"/>
                      <w:b/>
                      <w:bCs/>
                      <w:caps w:val="0"/>
                      <w:color w:val="auto"/>
                      <w:sz w:val="21"/>
                      <w:szCs w:val="21"/>
                      <w:lang w:val="en-US" w:eastAsia="zh-CN"/>
                    </w:rPr>
                    <w:t>Ⅲ</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B41611">
                  <w:pPr>
                    <w:spacing w:line="340" w:lineRule="exact"/>
                    <w:ind w:left="-108" w:right="-108"/>
                    <w:jc w:val="center"/>
                    <w:rPr>
                      <w:rFonts w:hint="default" w:ascii="Times New Roman" w:hAnsi="Times New Roman" w:eastAsia="宋体" w:cs="Times New Roman"/>
                      <w:b/>
                      <w:bCs/>
                      <w:caps w:val="0"/>
                      <w:color w:val="auto"/>
                      <w:sz w:val="21"/>
                      <w:szCs w:val="21"/>
                      <w:lang w:val="en-US" w:eastAsia="zh-CN"/>
                    </w:rPr>
                  </w:pPr>
                  <w:r>
                    <w:rPr>
                      <w:rFonts w:hint="default" w:ascii="Times New Roman" w:hAnsi="Times New Roman" w:eastAsia="宋体" w:cs="Times New Roman"/>
                      <w:b/>
                      <w:bCs/>
                      <w:caps w:val="0"/>
                      <w:color w:val="auto"/>
                      <w:sz w:val="21"/>
                      <w:szCs w:val="21"/>
                      <w:lang w:val="en-US" w:eastAsia="zh-CN"/>
                    </w:rPr>
                    <w:t>Ⅱ</w:t>
                  </w:r>
                </w:p>
              </w:tc>
              <w:tc>
                <w:tcPr>
                  <w:tcW w:w="1001"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7A740472">
                  <w:pPr>
                    <w:spacing w:line="340" w:lineRule="exact"/>
                    <w:ind w:left="-108" w:right="-108"/>
                    <w:jc w:val="center"/>
                    <w:rPr>
                      <w:rFonts w:hint="default" w:ascii="Times New Roman" w:hAnsi="Times New Roman" w:eastAsia="宋体" w:cs="Times New Roman"/>
                      <w:b/>
                      <w:bCs/>
                      <w:caps w:val="0"/>
                      <w:color w:val="auto"/>
                      <w:sz w:val="21"/>
                      <w:szCs w:val="21"/>
                      <w:lang w:val="en-US" w:eastAsia="zh-CN"/>
                    </w:rPr>
                  </w:pPr>
                  <w:r>
                    <w:rPr>
                      <w:rFonts w:hint="default" w:ascii="Times New Roman" w:hAnsi="Times New Roman" w:eastAsia="宋体" w:cs="Times New Roman"/>
                      <w:b/>
                      <w:bCs/>
                      <w:caps w:val="0"/>
                      <w:color w:val="auto"/>
                      <w:sz w:val="21"/>
                      <w:szCs w:val="21"/>
                      <w:lang w:val="en-US" w:eastAsia="zh-CN"/>
                    </w:rPr>
                    <w:t>Ⅰ</w:t>
                  </w:r>
                </w:p>
              </w:tc>
            </w:tr>
            <w:tr w14:paraId="14DA4719">
              <w:tblPrEx>
                <w:tblCellMar>
                  <w:top w:w="0" w:type="dxa"/>
                  <w:left w:w="108" w:type="dxa"/>
                  <w:bottom w:w="0" w:type="dxa"/>
                  <w:right w:w="108" w:type="dxa"/>
                </w:tblCellMar>
              </w:tblPrEx>
              <w:trPr>
                <w:trHeight w:val="310" w:hRule="atLeast"/>
                <w:jc w:val="center"/>
              </w:trPr>
              <w:tc>
                <w:tcPr>
                  <w:tcW w:w="9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9511A4">
                  <w:pPr>
                    <w:spacing w:line="340" w:lineRule="exact"/>
                    <w:ind w:left="-108" w:right="-108"/>
                    <w:jc w:val="center"/>
                    <w:rPr>
                      <w:rFonts w:hint="default" w:ascii="Times New Roman" w:hAnsi="Times New Roman" w:eastAsia="宋体" w:cs="Times New Roman"/>
                      <w:caps w:val="0"/>
                      <w:color w:val="auto"/>
                      <w:sz w:val="21"/>
                      <w:szCs w:val="21"/>
                      <w:lang w:val="en-US" w:eastAsia="zh-CN"/>
                    </w:rPr>
                  </w:pPr>
                  <w:r>
                    <w:rPr>
                      <w:rFonts w:hint="default" w:ascii="Times New Roman" w:hAnsi="Times New Roman" w:eastAsia="宋体" w:cs="Times New Roman"/>
                      <w:caps w:val="0"/>
                      <w:color w:val="auto"/>
                      <w:sz w:val="21"/>
                      <w:szCs w:val="21"/>
                      <w:lang w:val="en-US" w:eastAsia="zh-CN"/>
                    </w:rPr>
                    <w:t>评价工作等级</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682DF1">
                  <w:pPr>
                    <w:spacing w:line="340" w:lineRule="exact"/>
                    <w:ind w:left="-108" w:right="-108"/>
                    <w:jc w:val="center"/>
                    <w:rPr>
                      <w:rFonts w:hint="default" w:ascii="Times New Roman" w:hAnsi="Times New Roman" w:eastAsia="宋体" w:cs="Times New Roman"/>
                      <w:caps w:val="0"/>
                      <w:color w:val="auto"/>
                      <w:sz w:val="21"/>
                      <w:szCs w:val="21"/>
                      <w:lang w:val="en-US" w:eastAsia="zh-CN"/>
                    </w:rPr>
                  </w:pPr>
                  <w:r>
                    <w:rPr>
                      <w:rFonts w:hint="default" w:ascii="Times New Roman" w:hAnsi="Times New Roman" w:eastAsia="宋体" w:cs="Times New Roman"/>
                      <w:caps w:val="0"/>
                      <w:color w:val="auto"/>
                      <w:sz w:val="21"/>
                      <w:szCs w:val="21"/>
                      <w:lang w:val="en-US" w:eastAsia="zh-CN"/>
                    </w:rPr>
                    <w:t>一</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FC84A3">
                  <w:pPr>
                    <w:spacing w:line="340" w:lineRule="exact"/>
                    <w:ind w:left="-108" w:right="-108"/>
                    <w:jc w:val="center"/>
                    <w:rPr>
                      <w:rFonts w:hint="default" w:ascii="Times New Roman" w:hAnsi="Times New Roman" w:eastAsia="宋体" w:cs="Times New Roman"/>
                      <w:caps w:val="0"/>
                      <w:color w:val="auto"/>
                      <w:sz w:val="21"/>
                      <w:szCs w:val="21"/>
                      <w:lang w:val="en-US" w:eastAsia="zh-CN"/>
                    </w:rPr>
                  </w:pPr>
                  <w:r>
                    <w:rPr>
                      <w:rFonts w:hint="default" w:ascii="Times New Roman" w:hAnsi="Times New Roman" w:eastAsia="宋体" w:cs="Times New Roman"/>
                      <w:caps w:val="0"/>
                      <w:color w:val="auto"/>
                      <w:sz w:val="21"/>
                      <w:szCs w:val="21"/>
                      <w:lang w:val="en-US" w:eastAsia="zh-CN"/>
                    </w:rPr>
                    <w:t>二</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3A7EF70">
                  <w:pPr>
                    <w:spacing w:line="340" w:lineRule="exact"/>
                    <w:ind w:left="-108" w:right="-108"/>
                    <w:jc w:val="center"/>
                    <w:rPr>
                      <w:rFonts w:hint="default" w:ascii="Times New Roman" w:hAnsi="Times New Roman" w:eastAsia="宋体" w:cs="Times New Roman"/>
                      <w:caps w:val="0"/>
                      <w:color w:val="auto"/>
                      <w:sz w:val="21"/>
                      <w:szCs w:val="21"/>
                      <w:lang w:val="en-US" w:eastAsia="zh-CN"/>
                    </w:rPr>
                  </w:pPr>
                  <w:r>
                    <w:rPr>
                      <w:rFonts w:hint="default" w:ascii="Times New Roman" w:hAnsi="Times New Roman" w:eastAsia="宋体" w:cs="Times New Roman"/>
                      <w:caps w:val="0"/>
                      <w:color w:val="auto"/>
                      <w:sz w:val="21"/>
                      <w:szCs w:val="21"/>
                      <w:lang w:val="en-US" w:eastAsia="zh-CN"/>
                    </w:rPr>
                    <w:t>三</w:t>
                  </w:r>
                </w:p>
              </w:tc>
              <w:tc>
                <w:tcPr>
                  <w:tcW w:w="1001"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78716409">
                  <w:pPr>
                    <w:spacing w:line="340" w:lineRule="exact"/>
                    <w:ind w:left="-108" w:right="-108"/>
                    <w:jc w:val="center"/>
                    <w:rPr>
                      <w:rFonts w:hint="default" w:ascii="Times New Roman" w:hAnsi="Times New Roman" w:eastAsia="宋体" w:cs="Times New Roman"/>
                      <w:caps w:val="0"/>
                      <w:color w:val="auto"/>
                      <w:sz w:val="21"/>
                      <w:szCs w:val="21"/>
                      <w:lang w:val="en-US" w:eastAsia="zh-CN"/>
                    </w:rPr>
                  </w:pPr>
                  <w:r>
                    <w:rPr>
                      <w:rFonts w:hint="default" w:ascii="Times New Roman" w:hAnsi="Times New Roman" w:eastAsia="宋体" w:cs="Times New Roman"/>
                      <w:caps w:val="0"/>
                      <w:color w:val="auto"/>
                      <w:sz w:val="21"/>
                      <w:szCs w:val="21"/>
                      <w:lang w:val="en-US" w:eastAsia="zh-CN"/>
                    </w:rPr>
                    <w:t>简单分析a</w:t>
                  </w:r>
                </w:p>
              </w:tc>
            </w:tr>
            <w:tr w14:paraId="33FC7A6F">
              <w:tblPrEx>
                <w:tblCellMar>
                  <w:top w:w="0" w:type="dxa"/>
                  <w:left w:w="108" w:type="dxa"/>
                  <w:bottom w:w="0" w:type="dxa"/>
                  <w:right w:w="108" w:type="dxa"/>
                </w:tblCellMar>
              </w:tblPrEx>
              <w:trPr>
                <w:trHeight w:val="496"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016DB2DA">
                  <w:pPr>
                    <w:spacing w:line="340" w:lineRule="exact"/>
                    <w:ind w:left="-108" w:right="-108"/>
                    <w:jc w:val="center"/>
                    <w:rPr>
                      <w:rFonts w:hint="default" w:ascii="Times New Roman" w:hAnsi="Times New Roman" w:eastAsia="宋体" w:cs="Times New Roman"/>
                      <w:caps w:val="0"/>
                      <w:color w:val="auto"/>
                      <w:sz w:val="21"/>
                      <w:szCs w:val="21"/>
                      <w:lang w:val="en-US" w:eastAsia="zh-CN"/>
                    </w:rPr>
                  </w:pPr>
                  <w:r>
                    <w:rPr>
                      <w:rFonts w:hint="default" w:ascii="Times New Roman" w:hAnsi="Times New Roman" w:eastAsia="宋体" w:cs="Times New Roman"/>
                      <w:caps w:val="0"/>
                      <w:color w:val="auto"/>
                      <w:sz w:val="21"/>
                      <w:szCs w:val="21"/>
                      <w:lang w:val="en-US" w:eastAsia="zh-CN"/>
                    </w:rPr>
                    <w:t>a是相对于详细评价工作内容而言，在描述危险物质、环境影响途径、环境危害后果、风险防范措施等方面给出定性的说明。见附录A。</w:t>
                  </w:r>
                </w:p>
              </w:tc>
            </w:tr>
          </w:tbl>
          <w:p w14:paraId="1801D603">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bCs/>
                <w:caps w:val="0"/>
                <w:color w:val="auto"/>
                <w:sz w:val="24"/>
                <w:szCs w:val="24"/>
              </w:rPr>
            </w:pPr>
            <w:r>
              <w:rPr>
                <w:rFonts w:hint="default" w:ascii="Times New Roman" w:hAnsi="Times New Roman" w:eastAsia="宋体" w:cs="Times New Roman"/>
                <w:bCs/>
                <w:caps w:val="0"/>
                <w:color w:val="auto"/>
                <w:sz w:val="24"/>
                <w:szCs w:val="24"/>
              </w:rPr>
              <w:t>根据前文分析，项目风险潜势为Ⅰ，开展简单分析即可。</w:t>
            </w:r>
          </w:p>
          <w:p w14:paraId="5A431F9D">
            <w:pPr>
              <w:pStyle w:val="5"/>
              <w:pageBreakBefore w:val="0"/>
              <w:kinsoku/>
              <w:wordWrap/>
              <w:overflowPunct/>
              <w:topLinePunct w:val="0"/>
              <w:autoSpaceDE/>
              <w:autoSpaceDN/>
              <w:bidi w:val="0"/>
              <w:adjustRightInd w:val="0"/>
              <w:snapToGrid/>
              <w:spacing w:before="0" w:after="0" w:line="360" w:lineRule="auto"/>
              <w:textAlignment w:val="baseline"/>
              <w:rPr>
                <w:rFonts w:hint="default" w:ascii="Times New Roman" w:hAnsi="Times New Roman" w:eastAsia="宋体" w:cs="Times New Roman"/>
                <w:color w:val="auto"/>
                <w:sz w:val="24"/>
                <w:szCs w:val="24"/>
              </w:rPr>
            </w:pPr>
            <w:r>
              <w:rPr>
                <w:rFonts w:hint="eastAsia" w:cs="Times New Roman"/>
                <w:b/>
                <w:bCs/>
                <w:color w:val="auto"/>
                <w:spacing w:val="0"/>
                <w:position w:val="0"/>
                <w:sz w:val="24"/>
                <w:szCs w:val="24"/>
                <w:lang w:val="en-US" w:eastAsia="zh-CN"/>
              </w:rPr>
              <w:t>4.</w:t>
            </w:r>
            <w:r>
              <w:rPr>
                <w:rFonts w:hint="default" w:ascii="Times New Roman" w:hAnsi="Times New Roman" w:eastAsia="宋体" w:cs="Times New Roman"/>
                <w:b/>
                <w:bCs/>
                <w:color w:val="auto"/>
                <w:spacing w:val="0"/>
                <w:position w:val="0"/>
                <w:sz w:val="24"/>
                <w:szCs w:val="24"/>
                <w:lang w:val="en-US" w:eastAsia="zh-CN"/>
              </w:rPr>
              <w:t>6.2</w:t>
            </w:r>
            <w:r>
              <w:rPr>
                <w:rFonts w:hint="default" w:ascii="Times New Roman" w:hAnsi="Times New Roman" w:eastAsia="宋体" w:cs="Times New Roman"/>
                <w:color w:val="auto"/>
                <w:sz w:val="24"/>
                <w:szCs w:val="24"/>
              </w:rPr>
              <w:t>环境风险防范措施</w:t>
            </w:r>
          </w:p>
          <w:p w14:paraId="117D8813">
            <w:pPr>
              <w:pStyle w:val="6"/>
              <w:pageBreakBefore w:val="0"/>
              <w:tabs>
                <w:tab w:val="left" w:pos="0"/>
                <w:tab w:val="left" w:pos="710"/>
              </w:tabs>
              <w:kinsoku/>
              <w:wordWrap/>
              <w:overflowPunct/>
              <w:topLinePunct w:val="0"/>
              <w:autoSpaceDE/>
              <w:autoSpaceDN/>
              <w:bidi w:val="0"/>
              <w:snapToGrid/>
              <w:spacing w:before="0" w:after="0" w:line="36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4.6.2.1</w:t>
            </w:r>
            <w:r>
              <w:rPr>
                <w:rFonts w:hint="default" w:ascii="Times New Roman" w:hAnsi="Times New Roman" w:eastAsia="宋体" w:cs="Times New Roman"/>
                <w:sz w:val="24"/>
                <w:szCs w:val="24"/>
                <w:lang w:val="en-US" w:eastAsia="zh-CN"/>
              </w:rPr>
              <w:t>化学品贮存风险防范措施</w:t>
            </w:r>
          </w:p>
          <w:p w14:paraId="12051EDC">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项目化学品主要为片碱。碱采用袋装贮存在片碱库内。提出如下风险防范措施：</w:t>
            </w:r>
          </w:p>
          <w:p w14:paraId="3F592DAA">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①片碱库</w:t>
            </w:r>
            <w:r>
              <w:rPr>
                <w:rFonts w:hint="default" w:ascii="Times New Roman" w:hAnsi="Times New Roman" w:eastAsia="宋体" w:cs="Times New Roman"/>
                <w:sz w:val="24"/>
                <w:szCs w:val="24"/>
              </w:rPr>
              <w:t>门口设置墁坡高于室内地面100mm，形成内封闭系统，并在库内设置与事故应急池连通的管道，防止液体流散。</w:t>
            </w:r>
          </w:p>
          <w:p w14:paraId="55BDD244">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②仓库周围设置收集消防废水的管道，并做好防渗漏措施。</w:t>
            </w:r>
          </w:p>
          <w:p w14:paraId="57AA5625">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③仓库地面为不燃烧、撞击不发火花地面，并采取防静电措施。</w:t>
            </w:r>
          </w:p>
          <w:p w14:paraId="3B36C579">
            <w:pPr>
              <w:pStyle w:val="6"/>
              <w:pageBreakBefore w:val="0"/>
              <w:tabs>
                <w:tab w:val="left" w:pos="0"/>
                <w:tab w:val="left" w:pos="710"/>
              </w:tabs>
              <w:kinsoku/>
              <w:wordWrap/>
              <w:overflowPunct/>
              <w:topLinePunct w:val="0"/>
              <w:autoSpaceDE/>
              <w:autoSpaceDN/>
              <w:bidi w:val="0"/>
              <w:snapToGrid/>
              <w:spacing w:before="0" w:after="0" w:line="36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4.6.2.2</w:t>
            </w:r>
            <w:r>
              <w:rPr>
                <w:rFonts w:hint="default" w:ascii="Times New Roman" w:hAnsi="Times New Roman" w:eastAsia="宋体" w:cs="Times New Roman"/>
                <w:sz w:val="24"/>
                <w:szCs w:val="24"/>
                <w:lang w:val="en-US" w:eastAsia="zh-CN"/>
              </w:rPr>
              <w:t>大气风险防范措施</w:t>
            </w:r>
          </w:p>
          <w:p w14:paraId="75A71DB6">
            <w:pPr>
              <w:pStyle w:val="7"/>
              <w:pageBreakBefore w:val="0"/>
              <w:widowControl w:val="0"/>
              <w:numPr>
                <w:ilvl w:val="4"/>
                <w:numId w:val="0"/>
              </w:numPr>
              <w:kinsoku/>
              <w:wordWrap/>
              <w:overflowPunct/>
              <w:topLinePunct w:val="0"/>
              <w:autoSpaceDE/>
              <w:autoSpaceDN/>
              <w:bidi w:val="0"/>
              <w:adjustRightInd/>
              <w:snapToGrid/>
              <w:spacing w:beforeLines="0" w:afterLines="0" w:line="360" w:lineRule="auto"/>
              <w:ind w:leftChars="0" w:firstLine="482"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一、</w:t>
            </w:r>
            <w:r>
              <w:rPr>
                <w:rFonts w:hint="eastAsia" w:ascii="宋体" w:hAnsi="宋体" w:eastAsia="宋体" w:cs="宋体"/>
                <w:sz w:val="24"/>
                <w:szCs w:val="24"/>
              </w:rPr>
              <w:t>废气处理设施事故排放防范与管理</w:t>
            </w:r>
          </w:p>
          <w:p w14:paraId="1CEB937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生产过程中产生的生产废气有良好的治理对策和措施，从技术上分析是可行的。但由于某些意外情况或管理不善也会出现事故排放，如废气的处理设施抽风机发生故障，则会造成车间的污染物无法及时抽出车间，进而影响车间的操作人员的健康。在现实许多企业由于设备长期运行失效而出现环保事故排放可以说是屡见不鲜。故建设单位应认真做好设备的保养，定期维护、保修工作，使处理设施达到预期效果。为确保不发生事故性废气排放，建设单位</w:t>
            </w:r>
            <w:r>
              <w:rPr>
                <w:rFonts w:hint="eastAsia" w:ascii="宋体" w:hAnsi="宋体" w:eastAsia="宋体" w:cs="宋体"/>
                <w:sz w:val="24"/>
                <w:szCs w:val="24"/>
                <w:lang w:val="en-US" w:eastAsia="zh-CN"/>
              </w:rPr>
              <w:t>应</w:t>
            </w:r>
            <w:r>
              <w:rPr>
                <w:rFonts w:hint="eastAsia" w:ascii="宋体" w:hAnsi="宋体" w:eastAsia="宋体" w:cs="宋体"/>
                <w:sz w:val="24"/>
                <w:szCs w:val="24"/>
              </w:rPr>
              <w:t>采取如下的事故性防范保护措施：</w:t>
            </w:r>
          </w:p>
          <w:p w14:paraId="1EF8696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（1）各生产环节严格执行生产管理的有关规定，加强设备的检修及保养，提高管理人员素质，并设置机器事故应急措施及管理制度，确保设备长期处于良好状态，使设备达到预期的处理效果。</w:t>
            </w:r>
          </w:p>
          <w:p w14:paraId="6480868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现场作业人员定时记录废气处理状况，如对废气处理设施抽风机等设备进行点检工作，并派专人巡视，遇不良工作状况立即停止车间相关作业，维修正常后再开始作业，杜绝事故性废气直排，并及时呈报单位主管。待检修完毕再通知生产车间相关工序。</w:t>
            </w:r>
          </w:p>
          <w:p w14:paraId="797500F7">
            <w:pPr>
              <w:pStyle w:val="7"/>
              <w:pageBreakBefore w:val="0"/>
              <w:widowControl w:val="0"/>
              <w:numPr>
                <w:ilvl w:val="4"/>
                <w:numId w:val="0"/>
              </w:numPr>
              <w:kinsoku/>
              <w:wordWrap/>
              <w:overflowPunct/>
              <w:topLinePunct w:val="0"/>
              <w:autoSpaceDE/>
              <w:autoSpaceDN/>
              <w:bidi w:val="0"/>
              <w:adjustRightInd/>
              <w:snapToGrid/>
              <w:spacing w:beforeLines="0" w:afterLines="0" w:line="360" w:lineRule="auto"/>
              <w:ind w:leftChars="0"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二、事故泄露情况下大气风险防范措施</w:t>
            </w:r>
          </w:p>
          <w:p w14:paraId="2834216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根据预测结果可知，项目最大可信事故的大气环境风险最远影响距离在企业风险管控范围，发生突发环境风险事故时，</w:t>
            </w:r>
            <w:r>
              <w:rPr>
                <w:rFonts w:hint="eastAsia" w:ascii="宋体" w:hAnsi="宋体" w:eastAsia="宋体" w:cs="宋体"/>
                <w:sz w:val="24"/>
                <w:szCs w:val="24"/>
                <w:lang w:val="en-US" w:eastAsia="zh-CN"/>
              </w:rPr>
              <w:t>建设单位应</w:t>
            </w:r>
            <w:r>
              <w:rPr>
                <w:rFonts w:hint="eastAsia" w:ascii="宋体" w:hAnsi="宋体" w:eastAsia="宋体" w:cs="宋体"/>
                <w:sz w:val="24"/>
                <w:szCs w:val="24"/>
              </w:rPr>
              <w:t>启动突发环境事件应急预案，立即开展现场处置，防止事故扩大而超出企业风险管控范围。</w:t>
            </w:r>
            <w:r>
              <w:rPr>
                <w:rFonts w:hint="eastAsia" w:ascii="宋体" w:hAnsi="宋体" w:eastAsia="宋体" w:cs="宋体"/>
                <w:sz w:val="24"/>
                <w:szCs w:val="24"/>
                <w:lang w:val="en-US" w:eastAsia="zh-CN"/>
              </w:rPr>
              <w:t>建设单位</w:t>
            </w:r>
            <w:r>
              <w:rPr>
                <w:rFonts w:hint="eastAsia" w:ascii="宋体" w:hAnsi="宋体" w:eastAsia="宋体" w:cs="宋体"/>
                <w:sz w:val="24"/>
                <w:szCs w:val="24"/>
              </w:rPr>
              <w:t>做好自身防范，厂内人员撤离生产区，向厂内疏散点疏散。</w:t>
            </w:r>
          </w:p>
          <w:p w14:paraId="65F3F86C">
            <w:pPr>
              <w:pStyle w:val="6"/>
              <w:pageBreakBefore w:val="0"/>
              <w:tabs>
                <w:tab w:val="left" w:pos="0"/>
                <w:tab w:val="left" w:pos="710"/>
              </w:tabs>
              <w:kinsoku/>
              <w:wordWrap/>
              <w:overflowPunct/>
              <w:topLinePunct w:val="0"/>
              <w:autoSpaceDE/>
              <w:autoSpaceDN/>
              <w:bidi w:val="0"/>
              <w:snapToGrid/>
              <w:spacing w:before="0" w:after="0" w:line="36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4.6.2.3</w:t>
            </w:r>
            <w:r>
              <w:rPr>
                <w:rFonts w:hint="default" w:ascii="Times New Roman" w:hAnsi="Times New Roman" w:eastAsia="宋体" w:cs="Times New Roman"/>
                <w:sz w:val="24"/>
                <w:szCs w:val="24"/>
                <w:lang w:val="en-US" w:eastAsia="zh-CN"/>
              </w:rPr>
              <w:t>地表水风险防范措施</w:t>
            </w:r>
          </w:p>
          <w:p w14:paraId="15B3BF1C">
            <w:pPr>
              <w:pStyle w:val="7"/>
              <w:pageBreakBefore w:val="0"/>
              <w:numPr>
                <w:ilvl w:val="4"/>
                <w:numId w:val="0"/>
              </w:numPr>
              <w:kinsoku/>
              <w:wordWrap/>
              <w:overflowPunct/>
              <w:topLinePunct w:val="0"/>
              <w:autoSpaceDE/>
              <w:autoSpaceDN/>
              <w:bidi w:val="0"/>
              <w:snapToGrid/>
              <w:spacing w:beforeLines="0" w:afterLines="0" w:line="360" w:lineRule="auto"/>
              <w:ind w:leftChars="0" w:firstLine="482"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一、事故应急池设置</w:t>
            </w:r>
          </w:p>
          <w:p w14:paraId="13206624">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aps w:val="0"/>
                <w:color w:val="auto"/>
                <w:spacing w:val="0"/>
                <w:sz w:val="24"/>
                <w:szCs w:val="24"/>
              </w:rPr>
            </w:pPr>
            <w:r>
              <w:rPr>
                <w:rFonts w:hint="default" w:ascii="Times New Roman" w:hAnsi="Times New Roman" w:eastAsia="宋体" w:cs="Times New Roman"/>
                <w:caps w:val="0"/>
                <w:color w:val="auto"/>
                <w:spacing w:val="0"/>
                <w:sz w:val="24"/>
                <w:szCs w:val="24"/>
              </w:rPr>
              <w:t>通过风险识别和相关案例分析，本项目存在</w:t>
            </w:r>
            <w:r>
              <w:rPr>
                <w:rFonts w:hint="default" w:ascii="Times New Roman" w:hAnsi="Times New Roman" w:eastAsia="宋体" w:cs="Times New Roman"/>
                <w:caps w:val="0"/>
                <w:color w:val="auto"/>
                <w:spacing w:val="0"/>
                <w:sz w:val="24"/>
                <w:szCs w:val="24"/>
                <w:lang w:val="en-US" w:eastAsia="zh-CN"/>
              </w:rPr>
              <w:t>储油罐</w:t>
            </w:r>
            <w:r>
              <w:rPr>
                <w:rFonts w:hint="default" w:ascii="Times New Roman" w:hAnsi="Times New Roman" w:eastAsia="宋体" w:cs="Times New Roman"/>
                <w:caps w:val="0"/>
                <w:color w:val="auto"/>
                <w:spacing w:val="0"/>
                <w:sz w:val="24"/>
                <w:szCs w:val="24"/>
              </w:rPr>
              <w:t>、</w:t>
            </w:r>
            <w:r>
              <w:rPr>
                <w:rFonts w:hint="default" w:ascii="Times New Roman" w:hAnsi="Times New Roman" w:eastAsia="宋体" w:cs="Times New Roman"/>
                <w:caps w:val="0"/>
                <w:color w:val="auto"/>
                <w:spacing w:val="0"/>
                <w:sz w:val="24"/>
                <w:szCs w:val="24"/>
                <w:lang w:val="en-US" w:eastAsia="zh-CN"/>
              </w:rPr>
              <w:t>酸库、</w:t>
            </w:r>
            <w:r>
              <w:rPr>
                <w:rFonts w:hint="default" w:ascii="Times New Roman" w:hAnsi="Times New Roman" w:eastAsia="宋体" w:cs="Times New Roman"/>
                <w:caps w:val="0"/>
                <w:color w:val="auto"/>
                <w:spacing w:val="0"/>
                <w:sz w:val="24"/>
                <w:szCs w:val="24"/>
              </w:rPr>
              <w:t>物料输送管道</w:t>
            </w:r>
            <w:r>
              <w:rPr>
                <w:rFonts w:hint="default" w:ascii="Times New Roman" w:hAnsi="Times New Roman" w:eastAsia="宋体" w:cs="Times New Roman"/>
                <w:caps w:val="0"/>
                <w:color w:val="auto"/>
                <w:spacing w:val="0"/>
                <w:sz w:val="24"/>
                <w:szCs w:val="24"/>
                <w:lang w:val="en-US" w:eastAsia="zh-CN"/>
              </w:rPr>
              <w:t>等</w:t>
            </w:r>
            <w:r>
              <w:rPr>
                <w:rFonts w:hint="default" w:ascii="Times New Roman" w:hAnsi="Times New Roman" w:eastAsia="宋体" w:cs="Times New Roman"/>
                <w:caps w:val="0"/>
                <w:color w:val="auto"/>
                <w:spacing w:val="0"/>
                <w:sz w:val="24"/>
                <w:szCs w:val="24"/>
              </w:rPr>
              <w:t>破裂造成物料泄漏的可能性，存在一定环境风险；在事故状态下，由于管理、失误操作等原因，可能会导致泄漏的物料、冲洗污染水和消防污水通过净下水（雨水）系统从雨水排口进入外部水体，存在污染地表水体的环境风险；以及发生事故时可能进入事故池的雨水。</w:t>
            </w:r>
          </w:p>
          <w:p w14:paraId="7D8611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lang w:eastAsia="zh-CN"/>
              </w:rPr>
            </w:pPr>
            <w:r>
              <w:rPr>
                <w:rFonts w:hint="default" w:ascii="Times New Roman" w:hAnsi="Times New Roman" w:eastAsia="宋体" w:cs="Times New Roman"/>
                <w:caps w:val="0"/>
                <w:smallCaps w:val="0"/>
                <w:color w:val="auto"/>
                <w:spacing w:val="0"/>
                <w:w w:val="100"/>
                <w:position w:val="0"/>
                <w:sz w:val="24"/>
                <w:szCs w:val="24"/>
              </w:rPr>
              <w:t>根据《水体污染防控紧急措施设计导则》</w:t>
            </w:r>
            <w:r>
              <w:rPr>
                <w:rFonts w:hint="default" w:ascii="Times New Roman" w:hAnsi="Times New Roman" w:eastAsia="宋体" w:cs="Times New Roman"/>
                <w:caps w:val="0"/>
                <w:smallCaps w:val="0"/>
                <w:color w:val="auto"/>
                <w:spacing w:val="0"/>
                <w:w w:val="100"/>
                <w:position w:val="0"/>
                <w:sz w:val="24"/>
                <w:szCs w:val="24"/>
                <w:lang w:eastAsia="zh-CN"/>
              </w:rPr>
              <w:t>（</w:t>
            </w:r>
            <w:r>
              <w:rPr>
                <w:rFonts w:hint="default" w:ascii="Times New Roman" w:hAnsi="Times New Roman" w:eastAsia="宋体" w:cs="Times New Roman"/>
                <w:caps w:val="0"/>
                <w:smallCaps w:val="0"/>
                <w:color w:val="auto"/>
                <w:spacing w:val="0"/>
                <w:w w:val="100"/>
                <w:position w:val="0"/>
                <w:sz w:val="24"/>
                <w:szCs w:val="24"/>
              </w:rPr>
              <w:t>中国石化建标[2006]43号</w:t>
            </w:r>
            <w:r>
              <w:rPr>
                <w:rFonts w:hint="default" w:ascii="Times New Roman" w:hAnsi="Times New Roman" w:eastAsia="宋体" w:cs="Times New Roman"/>
                <w:caps w:val="0"/>
                <w:smallCaps w:val="0"/>
                <w:color w:val="auto"/>
                <w:spacing w:val="0"/>
                <w:w w:val="100"/>
                <w:position w:val="0"/>
                <w:sz w:val="24"/>
                <w:szCs w:val="24"/>
                <w:lang w:eastAsia="zh-CN"/>
              </w:rPr>
              <w:t>）</w:t>
            </w:r>
            <w:r>
              <w:rPr>
                <w:rFonts w:hint="default" w:ascii="Times New Roman" w:hAnsi="Times New Roman" w:eastAsia="宋体" w:cs="Times New Roman"/>
                <w:caps w:val="0"/>
                <w:smallCaps w:val="0"/>
                <w:color w:val="auto"/>
                <w:spacing w:val="0"/>
                <w:w w:val="100"/>
                <w:position w:val="0"/>
                <w:sz w:val="24"/>
                <w:szCs w:val="24"/>
              </w:rPr>
              <w:t>，建设项目应设置能够储存事故排水的储存设施。储存设施包括</w:t>
            </w:r>
            <w:r>
              <w:rPr>
                <w:rFonts w:hint="default" w:ascii="Times New Roman" w:hAnsi="Times New Roman" w:eastAsia="宋体" w:cs="Times New Roman"/>
                <w:caps w:val="0"/>
                <w:smallCaps w:val="0"/>
                <w:color w:val="auto"/>
                <w:spacing w:val="0"/>
                <w:w w:val="100"/>
                <w:position w:val="0"/>
                <w:sz w:val="24"/>
                <w:szCs w:val="24"/>
                <w:lang w:eastAsia="zh-CN"/>
              </w:rPr>
              <w:t>事故应急池</w:t>
            </w:r>
            <w:r>
              <w:rPr>
                <w:rFonts w:hint="default" w:ascii="Times New Roman" w:hAnsi="Times New Roman" w:eastAsia="宋体" w:cs="Times New Roman"/>
                <w:caps w:val="0"/>
                <w:smallCaps w:val="0"/>
                <w:color w:val="auto"/>
                <w:spacing w:val="0"/>
                <w:w w:val="100"/>
                <w:position w:val="0"/>
                <w:sz w:val="24"/>
                <w:szCs w:val="24"/>
              </w:rPr>
              <w:t>、围堰等。根据《水体污染防控紧急措施设计导则》</w:t>
            </w:r>
            <w:r>
              <w:rPr>
                <w:rFonts w:hint="default" w:ascii="Times New Roman" w:hAnsi="Times New Roman" w:eastAsia="宋体" w:cs="Times New Roman"/>
                <w:caps w:val="0"/>
                <w:smallCaps w:val="0"/>
                <w:color w:val="auto"/>
                <w:spacing w:val="0"/>
                <w:w w:val="100"/>
                <w:position w:val="0"/>
                <w:sz w:val="24"/>
                <w:szCs w:val="24"/>
                <w:lang w:eastAsia="zh-CN"/>
              </w:rPr>
              <w:t>（</w:t>
            </w:r>
            <w:r>
              <w:rPr>
                <w:rFonts w:hint="default" w:ascii="Times New Roman" w:hAnsi="Times New Roman" w:eastAsia="宋体" w:cs="Times New Roman"/>
                <w:caps w:val="0"/>
                <w:smallCaps w:val="0"/>
                <w:color w:val="auto"/>
                <w:spacing w:val="0"/>
                <w:w w:val="100"/>
                <w:position w:val="0"/>
                <w:sz w:val="24"/>
                <w:szCs w:val="24"/>
              </w:rPr>
              <w:t>中国石化建标[2006]43号</w:t>
            </w:r>
            <w:r>
              <w:rPr>
                <w:rFonts w:hint="default" w:ascii="Times New Roman" w:hAnsi="Times New Roman" w:eastAsia="宋体" w:cs="Times New Roman"/>
                <w:caps w:val="0"/>
                <w:smallCaps w:val="0"/>
                <w:color w:val="auto"/>
                <w:spacing w:val="0"/>
                <w:w w:val="100"/>
                <w:position w:val="0"/>
                <w:sz w:val="24"/>
                <w:szCs w:val="24"/>
                <w:lang w:eastAsia="zh-CN"/>
              </w:rPr>
              <w:t>）</w:t>
            </w:r>
            <w:r>
              <w:rPr>
                <w:rFonts w:hint="default" w:ascii="Times New Roman" w:hAnsi="Times New Roman" w:eastAsia="宋体" w:cs="Times New Roman"/>
                <w:caps w:val="0"/>
                <w:smallCaps w:val="0"/>
                <w:color w:val="auto"/>
                <w:spacing w:val="0"/>
                <w:w w:val="100"/>
                <w:position w:val="0"/>
                <w:sz w:val="24"/>
                <w:szCs w:val="24"/>
              </w:rPr>
              <w:t>，事故储存设施总有效容积计算公式为</w:t>
            </w:r>
            <w:r>
              <w:rPr>
                <w:rFonts w:hint="default" w:ascii="Times New Roman" w:hAnsi="Times New Roman" w:eastAsia="宋体" w:cs="Times New Roman"/>
                <w:caps w:val="0"/>
                <w:smallCaps w:val="0"/>
                <w:color w:val="auto"/>
                <w:spacing w:val="0"/>
                <w:w w:val="100"/>
                <w:position w:val="0"/>
                <w:sz w:val="24"/>
                <w:szCs w:val="24"/>
                <w:lang w:eastAsia="zh-CN"/>
              </w:rPr>
              <w:t>：</w:t>
            </w:r>
          </w:p>
          <w:p w14:paraId="5F01BB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rPr>
              <w:drawing>
                <wp:inline distT="0" distB="0" distL="114300" distR="114300">
                  <wp:extent cx="1866900" cy="228600"/>
                  <wp:effectExtent l="0" t="0" r="762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41"/>
                          <a:stretch>
                            <a:fillRect/>
                          </a:stretch>
                        </pic:blipFill>
                        <pic:spPr>
                          <a:xfrm>
                            <a:off x="0" y="0"/>
                            <a:ext cx="1866900" cy="228600"/>
                          </a:xfrm>
                          <a:prstGeom prst="rect">
                            <a:avLst/>
                          </a:prstGeom>
                          <a:noFill/>
                          <a:ln>
                            <a:noFill/>
                          </a:ln>
                        </pic:spPr>
                      </pic:pic>
                    </a:graphicData>
                  </a:graphic>
                </wp:inline>
              </w:drawing>
            </w:r>
          </w:p>
          <w:p w14:paraId="2C2319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rPr>
              <w:t>其中：</w:t>
            </w:r>
            <w:r>
              <w:rPr>
                <w:rFonts w:hint="default" w:ascii="Times New Roman" w:hAnsi="Times New Roman" w:eastAsia="宋体" w:cs="Times New Roman"/>
                <w:caps w:val="0"/>
                <w:smallCaps w:val="0"/>
                <w:color w:val="auto"/>
                <w:spacing w:val="0"/>
                <w:w w:val="100"/>
                <w:position w:val="0"/>
                <w:sz w:val="24"/>
                <w:szCs w:val="24"/>
              </w:rPr>
              <w:drawing>
                <wp:inline distT="0" distB="0" distL="114300" distR="114300">
                  <wp:extent cx="990600" cy="228600"/>
                  <wp:effectExtent l="0" t="0" r="0" b="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42"/>
                          <a:stretch>
                            <a:fillRect/>
                          </a:stretch>
                        </pic:blipFill>
                        <pic:spPr>
                          <a:xfrm>
                            <a:off x="0" y="0"/>
                            <a:ext cx="990600" cy="228600"/>
                          </a:xfrm>
                          <a:prstGeom prst="rect">
                            <a:avLst/>
                          </a:prstGeom>
                          <a:noFill/>
                          <a:ln>
                            <a:noFill/>
                          </a:ln>
                        </pic:spPr>
                      </pic:pic>
                    </a:graphicData>
                  </a:graphic>
                </wp:inline>
              </w:drawing>
            </w:r>
            <w:r>
              <w:rPr>
                <w:rFonts w:hint="default" w:ascii="Times New Roman" w:hAnsi="Times New Roman" w:eastAsia="宋体" w:cs="Times New Roman"/>
                <w:caps w:val="0"/>
                <w:smallCaps w:val="0"/>
                <w:color w:val="auto"/>
                <w:spacing w:val="0"/>
                <w:w w:val="100"/>
                <w:position w:val="0"/>
                <w:sz w:val="24"/>
                <w:szCs w:val="24"/>
              </w:rPr>
              <w:t>是指对收集系统范围内不同罐组或装置分别计算V</w:t>
            </w:r>
            <w:r>
              <w:rPr>
                <w:rFonts w:hint="default" w:ascii="Times New Roman" w:hAnsi="Times New Roman" w:eastAsia="宋体" w:cs="Times New Roman"/>
                <w:caps w:val="0"/>
                <w:smallCaps w:val="0"/>
                <w:color w:val="auto"/>
                <w:spacing w:val="0"/>
                <w:w w:val="100"/>
                <w:position w:val="0"/>
                <w:sz w:val="24"/>
                <w:szCs w:val="24"/>
                <w:vertAlign w:val="subscript"/>
              </w:rPr>
              <w:t>1</w:t>
            </w:r>
            <w:r>
              <w:rPr>
                <w:rFonts w:hint="default" w:ascii="Times New Roman" w:hAnsi="Times New Roman" w:eastAsia="宋体" w:cs="Times New Roman"/>
                <w:caps w:val="0"/>
                <w:smallCaps w:val="0"/>
                <w:color w:val="auto"/>
                <w:spacing w:val="0"/>
                <w:w w:val="100"/>
                <w:position w:val="0"/>
                <w:sz w:val="24"/>
                <w:szCs w:val="24"/>
              </w:rPr>
              <w:t>+ V</w:t>
            </w:r>
            <w:r>
              <w:rPr>
                <w:rFonts w:hint="default" w:ascii="Times New Roman" w:hAnsi="Times New Roman" w:eastAsia="宋体" w:cs="Times New Roman"/>
                <w:caps w:val="0"/>
                <w:smallCaps w:val="0"/>
                <w:color w:val="auto"/>
                <w:spacing w:val="0"/>
                <w:w w:val="100"/>
                <w:position w:val="0"/>
                <w:sz w:val="24"/>
                <w:szCs w:val="24"/>
                <w:vertAlign w:val="subscript"/>
              </w:rPr>
              <w:t>2</w:t>
            </w:r>
            <w:r>
              <w:rPr>
                <w:rFonts w:hint="default" w:ascii="Times New Roman" w:hAnsi="Times New Roman" w:eastAsia="宋体" w:cs="Times New Roman"/>
                <w:caps w:val="0"/>
                <w:smallCaps w:val="0"/>
                <w:color w:val="auto"/>
                <w:spacing w:val="0"/>
                <w:w w:val="100"/>
                <w:position w:val="0"/>
                <w:sz w:val="24"/>
                <w:szCs w:val="24"/>
              </w:rPr>
              <w:t>-V</w:t>
            </w:r>
            <w:r>
              <w:rPr>
                <w:rFonts w:hint="default" w:ascii="Times New Roman" w:hAnsi="Times New Roman" w:eastAsia="宋体" w:cs="Times New Roman"/>
                <w:caps w:val="0"/>
                <w:smallCaps w:val="0"/>
                <w:color w:val="auto"/>
                <w:spacing w:val="0"/>
                <w:w w:val="100"/>
                <w:position w:val="0"/>
                <w:sz w:val="24"/>
                <w:szCs w:val="24"/>
                <w:vertAlign w:val="subscript"/>
              </w:rPr>
              <w:t>3</w:t>
            </w:r>
            <w:r>
              <w:rPr>
                <w:rFonts w:hint="default" w:ascii="Times New Roman" w:hAnsi="Times New Roman" w:eastAsia="宋体" w:cs="Times New Roman"/>
                <w:caps w:val="0"/>
                <w:smallCaps w:val="0"/>
                <w:color w:val="auto"/>
                <w:spacing w:val="0"/>
                <w:w w:val="100"/>
                <w:position w:val="0"/>
                <w:sz w:val="24"/>
                <w:szCs w:val="24"/>
              </w:rPr>
              <w:t>，取其中最大值。</w:t>
            </w:r>
          </w:p>
          <w:p w14:paraId="315135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t>V</w:t>
            </w:r>
            <w:r>
              <w:rPr>
                <w:rFonts w:hint="default" w:ascii="Times New Roman" w:hAnsi="Times New Roman" w:eastAsia="宋体" w:cs="Times New Roman"/>
                <w:caps w:val="0"/>
                <w:smallCaps w:val="0"/>
                <w:color w:val="auto"/>
                <w:spacing w:val="0"/>
                <w:w w:val="100"/>
                <w:position w:val="0"/>
                <w:sz w:val="24"/>
                <w:szCs w:val="24"/>
                <w:vertAlign w:val="subscript"/>
                <w:lang w:val="en-US" w:eastAsia="zh-CN"/>
              </w:rPr>
              <w:t>1</w:t>
            </w:r>
            <w:r>
              <w:rPr>
                <w:rFonts w:hint="default" w:ascii="Times New Roman" w:hAnsi="Times New Roman" w:eastAsia="宋体" w:cs="Times New Roman"/>
                <w:caps w:val="0"/>
                <w:smallCaps w:val="0"/>
                <w:color w:val="auto"/>
                <w:spacing w:val="0"/>
                <w:w w:val="100"/>
                <w:position w:val="0"/>
                <w:sz w:val="24"/>
                <w:szCs w:val="24"/>
              </w:rPr>
              <w:t>— 收集系统范围内发生事故的一个罐组或一套装置的物料量（注：储存相同物料的罐组按一个最大储罐计，装置物料量按存留最大物料量的一台反应器或中间储罐计）；</w:t>
            </w:r>
          </w:p>
          <w:p w14:paraId="26FCEF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t>V</w:t>
            </w:r>
            <w:r>
              <w:rPr>
                <w:rFonts w:hint="default" w:ascii="Times New Roman" w:hAnsi="Times New Roman" w:eastAsia="宋体" w:cs="Times New Roman"/>
                <w:caps w:val="0"/>
                <w:smallCaps w:val="0"/>
                <w:color w:val="auto"/>
                <w:spacing w:val="0"/>
                <w:w w:val="100"/>
                <w:position w:val="0"/>
                <w:sz w:val="24"/>
                <w:szCs w:val="24"/>
                <w:vertAlign w:val="subscript"/>
                <w:lang w:val="en-US" w:eastAsia="zh-CN"/>
              </w:rPr>
              <w:t>2</w:t>
            </w:r>
            <w:r>
              <w:rPr>
                <w:rFonts w:hint="default" w:ascii="Times New Roman" w:hAnsi="Times New Roman" w:eastAsia="宋体" w:cs="Times New Roman"/>
                <w:caps w:val="0"/>
                <w:smallCaps w:val="0"/>
                <w:color w:val="auto"/>
                <w:spacing w:val="0"/>
                <w:w w:val="100"/>
                <w:position w:val="0"/>
                <w:sz w:val="24"/>
                <w:szCs w:val="24"/>
              </w:rPr>
              <w:t>— 发生事故的储罐或装置的消防水量，m</w:t>
            </w:r>
            <w:r>
              <w:rPr>
                <w:rFonts w:hint="default" w:ascii="Times New Roman" w:hAnsi="Times New Roman" w:eastAsia="宋体" w:cs="Times New Roman"/>
                <w:caps w:val="0"/>
                <w:smallCaps w:val="0"/>
                <w:color w:val="auto"/>
                <w:spacing w:val="0"/>
                <w:w w:val="100"/>
                <w:position w:val="0"/>
                <w:sz w:val="24"/>
                <w:szCs w:val="24"/>
                <w:vertAlign w:val="superscript"/>
              </w:rPr>
              <w:t>3</w:t>
            </w:r>
            <w:r>
              <w:rPr>
                <w:rFonts w:hint="default" w:ascii="Times New Roman" w:hAnsi="Times New Roman" w:eastAsia="宋体" w:cs="Times New Roman"/>
                <w:caps w:val="0"/>
                <w:smallCaps w:val="0"/>
                <w:color w:val="auto"/>
                <w:spacing w:val="0"/>
                <w:w w:val="100"/>
                <w:position w:val="0"/>
                <w:sz w:val="24"/>
                <w:szCs w:val="24"/>
              </w:rPr>
              <w:t>；</w:t>
            </w:r>
          </w:p>
          <w:p w14:paraId="52421F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t>V</w:t>
            </w:r>
            <w:r>
              <w:rPr>
                <w:rFonts w:hint="default" w:ascii="Times New Roman" w:hAnsi="Times New Roman" w:eastAsia="宋体" w:cs="Times New Roman"/>
                <w:caps w:val="0"/>
                <w:smallCaps w:val="0"/>
                <w:color w:val="auto"/>
                <w:spacing w:val="0"/>
                <w:w w:val="100"/>
                <w:position w:val="0"/>
                <w:sz w:val="24"/>
                <w:szCs w:val="24"/>
                <w:vertAlign w:val="subscript"/>
                <w:lang w:val="en-US" w:eastAsia="zh-CN"/>
              </w:rPr>
              <w:t>3</w:t>
            </w:r>
            <w:r>
              <w:rPr>
                <w:rFonts w:hint="default" w:ascii="Times New Roman" w:hAnsi="Times New Roman" w:eastAsia="宋体" w:cs="Times New Roman"/>
                <w:caps w:val="0"/>
                <w:smallCaps w:val="0"/>
                <w:color w:val="auto"/>
                <w:spacing w:val="0"/>
                <w:w w:val="100"/>
                <w:position w:val="0"/>
                <w:sz w:val="24"/>
                <w:szCs w:val="24"/>
              </w:rPr>
              <w:t>— 发生事故时可以转输到其他储存或处理设施的物料量，m</w:t>
            </w:r>
            <w:r>
              <w:rPr>
                <w:rFonts w:hint="default" w:ascii="Times New Roman" w:hAnsi="Times New Roman" w:eastAsia="宋体" w:cs="Times New Roman"/>
                <w:caps w:val="0"/>
                <w:smallCaps w:val="0"/>
                <w:color w:val="auto"/>
                <w:spacing w:val="0"/>
                <w:w w:val="100"/>
                <w:position w:val="0"/>
                <w:sz w:val="24"/>
                <w:szCs w:val="24"/>
                <w:vertAlign w:val="superscript"/>
              </w:rPr>
              <w:t>3</w:t>
            </w:r>
            <w:r>
              <w:rPr>
                <w:rFonts w:hint="default" w:ascii="Times New Roman" w:hAnsi="Times New Roman" w:eastAsia="宋体" w:cs="Times New Roman"/>
                <w:caps w:val="0"/>
                <w:smallCaps w:val="0"/>
                <w:color w:val="auto"/>
                <w:spacing w:val="0"/>
                <w:w w:val="100"/>
                <w:position w:val="0"/>
                <w:sz w:val="24"/>
                <w:szCs w:val="24"/>
              </w:rPr>
              <w:t>；</w:t>
            </w:r>
          </w:p>
          <w:p w14:paraId="626C0F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t>V</w:t>
            </w:r>
            <w:r>
              <w:rPr>
                <w:rFonts w:hint="default" w:ascii="Times New Roman" w:hAnsi="Times New Roman" w:eastAsia="宋体" w:cs="Times New Roman"/>
                <w:caps w:val="0"/>
                <w:smallCaps w:val="0"/>
                <w:color w:val="auto"/>
                <w:spacing w:val="0"/>
                <w:w w:val="100"/>
                <w:position w:val="0"/>
                <w:sz w:val="24"/>
                <w:szCs w:val="24"/>
                <w:vertAlign w:val="subscript"/>
                <w:lang w:val="en-US" w:eastAsia="zh-CN"/>
              </w:rPr>
              <w:t>4</w:t>
            </w:r>
            <w:r>
              <w:rPr>
                <w:rFonts w:hint="default" w:ascii="Times New Roman" w:hAnsi="Times New Roman" w:eastAsia="宋体" w:cs="Times New Roman"/>
                <w:caps w:val="0"/>
                <w:smallCaps w:val="0"/>
                <w:color w:val="auto"/>
                <w:spacing w:val="0"/>
                <w:w w:val="100"/>
                <w:position w:val="0"/>
                <w:sz w:val="24"/>
                <w:szCs w:val="24"/>
              </w:rPr>
              <w:t>— 发生事故时仍必须进入该收集系统的生产废水量，m</w:t>
            </w:r>
            <w:r>
              <w:rPr>
                <w:rFonts w:hint="default" w:ascii="Times New Roman" w:hAnsi="Times New Roman" w:eastAsia="宋体" w:cs="Times New Roman"/>
                <w:caps w:val="0"/>
                <w:smallCaps w:val="0"/>
                <w:color w:val="auto"/>
                <w:spacing w:val="0"/>
                <w:w w:val="100"/>
                <w:position w:val="0"/>
                <w:sz w:val="24"/>
                <w:szCs w:val="24"/>
                <w:vertAlign w:val="superscript"/>
              </w:rPr>
              <w:t>3</w:t>
            </w:r>
            <w:r>
              <w:rPr>
                <w:rFonts w:hint="default" w:ascii="Times New Roman" w:hAnsi="Times New Roman" w:eastAsia="宋体" w:cs="Times New Roman"/>
                <w:caps w:val="0"/>
                <w:smallCaps w:val="0"/>
                <w:color w:val="auto"/>
                <w:spacing w:val="0"/>
                <w:w w:val="100"/>
                <w:position w:val="0"/>
                <w:sz w:val="24"/>
                <w:szCs w:val="24"/>
              </w:rPr>
              <w:t>；</w:t>
            </w:r>
          </w:p>
          <w:p w14:paraId="362265E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t>V</w:t>
            </w:r>
            <w:r>
              <w:rPr>
                <w:rFonts w:hint="default" w:ascii="Times New Roman" w:hAnsi="Times New Roman" w:eastAsia="宋体" w:cs="Times New Roman"/>
                <w:caps w:val="0"/>
                <w:smallCaps w:val="0"/>
                <w:color w:val="auto"/>
                <w:spacing w:val="0"/>
                <w:w w:val="100"/>
                <w:position w:val="0"/>
                <w:sz w:val="24"/>
                <w:szCs w:val="24"/>
                <w:vertAlign w:val="subscript"/>
                <w:lang w:val="en-US" w:eastAsia="zh-CN"/>
              </w:rPr>
              <w:t>5</w:t>
            </w:r>
            <w:r>
              <w:rPr>
                <w:rFonts w:hint="default" w:ascii="Times New Roman" w:hAnsi="Times New Roman" w:eastAsia="宋体" w:cs="Times New Roman"/>
                <w:caps w:val="0"/>
                <w:smallCaps w:val="0"/>
                <w:color w:val="auto"/>
                <w:spacing w:val="0"/>
                <w:w w:val="100"/>
                <w:position w:val="0"/>
                <w:sz w:val="24"/>
                <w:szCs w:val="24"/>
              </w:rPr>
              <w:t>— 发生事故时可能进入该收集系统的降雨量，m</w:t>
            </w:r>
            <w:r>
              <w:rPr>
                <w:rFonts w:hint="default" w:ascii="Times New Roman" w:hAnsi="Times New Roman" w:eastAsia="宋体" w:cs="Times New Roman"/>
                <w:caps w:val="0"/>
                <w:smallCaps w:val="0"/>
                <w:color w:val="auto"/>
                <w:spacing w:val="0"/>
                <w:w w:val="100"/>
                <w:position w:val="0"/>
                <w:sz w:val="24"/>
                <w:szCs w:val="24"/>
                <w:vertAlign w:val="superscript"/>
              </w:rPr>
              <w:t>3</w:t>
            </w:r>
            <w:r>
              <w:rPr>
                <w:rFonts w:hint="default" w:ascii="Times New Roman" w:hAnsi="Times New Roman" w:eastAsia="宋体" w:cs="Times New Roman"/>
                <w:caps w:val="0"/>
                <w:smallCaps w:val="0"/>
                <w:color w:val="auto"/>
                <w:spacing w:val="0"/>
                <w:w w:val="100"/>
                <w:position w:val="0"/>
                <w:sz w:val="24"/>
                <w:szCs w:val="24"/>
              </w:rPr>
              <w:t>。</w:t>
            </w:r>
          </w:p>
          <w:p w14:paraId="0986DCE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t>①</w:t>
            </w:r>
            <w:r>
              <w:rPr>
                <w:rFonts w:hint="default" w:ascii="Times New Roman" w:hAnsi="Times New Roman" w:eastAsia="宋体" w:cs="Times New Roman"/>
                <w:caps w:val="0"/>
                <w:smallCaps w:val="0"/>
                <w:color w:val="auto"/>
                <w:spacing w:val="0"/>
                <w:w w:val="100"/>
                <w:position w:val="0"/>
                <w:sz w:val="24"/>
                <w:szCs w:val="24"/>
              </w:rPr>
              <w:t>泄漏物料（V</w:t>
            </w:r>
            <w:r>
              <w:rPr>
                <w:rFonts w:hint="default" w:ascii="Times New Roman" w:hAnsi="Times New Roman" w:eastAsia="宋体" w:cs="Times New Roman"/>
                <w:caps w:val="0"/>
                <w:smallCaps w:val="0"/>
                <w:color w:val="auto"/>
                <w:spacing w:val="0"/>
                <w:w w:val="100"/>
                <w:position w:val="0"/>
                <w:sz w:val="24"/>
                <w:szCs w:val="24"/>
                <w:vertAlign w:val="subscript"/>
              </w:rPr>
              <w:t>1</w:t>
            </w:r>
            <w:r>
              <w:rPr>
                <w:rFonts w:hint="default" w:ascii="Times New Roman" w:hAnsi="Times New Roman" w:eastAsia="宋体" w:cs="Times New Roman"/>
                <w:caps w:val="0"/>
                <w:smallCaps w:val="0"/>
                <w:color w:val="auto"/>
                <w:spacing w:val="0"/>
                <w:w w:val="100"/>
                <w:position w:val="0"/>
                <w:sz w:val="24"/>
                <w:szCs w:val="24"/>
              </w:rPr>
              <w:t>）</w:t>
            </w:r>
          </w:p>
          <w:p w14:paraId="2FF9D2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lang w:val="en-US" w:eastAsia="zh-CN"/>
              </w:rPr>
            </w:pPr>
            <w:r>
              <w:rPr>
                <w:rFonts w:hint="default" w:ascii="Times New Roman" w:hAnsi="Times New Roman" w:eastAsia="宋体" w:cs="Times New Roman"/>
                <w:caps w:val="0"/>
                <w:smallCaps w:val="0"/>
                <w:color w:val="auto"/>
                <w:spacing w:val="0"/>
                <w:w w:val="100"/>
                <w:position w:val="0"/>
                <w:sz w:val="24"/>
                <w:szCs w:val="24"/>
              </w:rPr>
              <w:t>项目最大的物料装置为</w:t>
            </w:r>
            <w:r>
              <w:rPr>
                <w:rFonts w:hint="default" w:ascii="Times New Roman" w:hAnsi="Times New Roman" w:eastAsia="宋体" w:cs="Times New Roman"/>
                <w:caps w:val="0"/>
                <w:smallCaps w:val="0"/>
                <w:color w:val="auto"/>
                <w:spacing w:val="0"/>
                <w:w w:val="100"/>
                <w:position w:val="0"/>
                <w:sz w:val="24"/>
                <w:szCs w:val="24"/>
                <w:lang w:val="en-US" w:eastAsia="zh-CN"/>
              </w:rPr>
              <w:t>储油罐</w:t>
            </w:r>
            <w:r>
              <w:rPr>
                <w:rFonts w:hint="default" w:ascii="Times New Roman" w:hAnsi="Times New Roman" w:eastAsia="宋体" w:cs="Times New Roman"/>
                <w:caps w:val="0"/>
                <w:smallCaps w:val="0"/>
                <w:color w:val="auto"/>
                <w:spacing w:val="0"/>
                <w:w w:val="100"/>
                <w:position w:val="0"/>
                <w:sz w:val="24"/>
                <w:szCs w:val="24"/>
              </w:rPr>
              <w:t>（尺寸φ3m，D7.5m</w:t>
            </w:r>
            <w:r>
              <w:rPr>
                <w:rFonts w:hint="default" w:ascii="Times New Roman" w:hAnsi="Times New Roman" w:eastAsia="宋体" w:cs="Times New Roman"/>
                <w:caps w:val="0"/>
                <w:smallCaps w:val="0"/>
                <w:color w:val="auto"/>
                <w:spacing w:val="0"/>
                <w:w w:val="100"/>
                <w:position w:val="0"/>
                <w:sz w:val="24"/>
                <w:szCs w:val="24"/>
                <w:lang w:eastAsia="zh-CN"/>
              </w:rPr>
              <w:t>）</w:t>
            </w:r>
            <w:r>
              <w:rPr>
                <w:rFonts w:hint="default" w:ascii="Times New Roman" w:hAnsi="Times New Roman" w:eastAsia="宋体" w:cs="Times New Roman"/>
                <w:caps w:val="0"/>
                <w:smallCaps w:val="0"/>
                <w:color w:val="auto"/>
                <w:spacing w:val="0"/>
                <w:w w:val="100"/>
                <w:position w:val="0"/>
                <w:sz w:val="24"/>
                <w:szCs w:val="24"/>
              </w:rPr>
              <w:t>，有效容积为</w:t>
            </w:r>
            <w:r>
              <w:rPr>
                <w:rFonts w:hint="default" w:ascii="Times New Roman" w:hAnsi="Times New Roman" w:eastAsia="宋体" w:cs="Times New Roman"/>
                <w:caps w:val="0"/>
                <w:smallCaps w:val="0"/>
                <w:color w:val="auto"/>
                <w:spacing w:val="0"/>
                <w:w w:val="100"/>
                <w:position w:val="0"/>
                <w:sz w:val="24"/>
                <w:szCs w:val="24"/>
                <w:lang w:val="en-US" w:eastAsia="zh-CN"/>
              </w:rPr>
              <w:t>50</w:t>
            </w:r>
            <w:r>
              <w:rPr>
                <w:rFonts w:hint="default" w:ascii="Times New Roman" w:hAnsi="Times New Roman" w:eastAsia="宋体" w:cs="Times New Roman"/>
                <w:caps w:val="0"/>
                <w:smallCaps w:val="0"/>
                <w:color w:val="auto"/>
                <w:spacing w:val="0"/>
                <w:w w:val="100"/>
                <w:position w:val="0"/>
                <w:sz w:val="24"/>
                <w:szCs w:val="24"/>
              </w:rPr>
              <w:t>m</w:t>
            </w:r>
            <w:r>
              <w:rPr>
                <w:rFonts w:hint="default" w:ascii="Times New Roman" w:hAnsi="Times New Roman" w:eastAsia="宋体" w:cs="Times New Roman"/>
                <w:caps w:val="0"/>
                <w:smallCaps w:val="0"/>
                <w:color w:val="auto"/>
                <w:spacing w:val="0"/>
                <w:w w:val="100"/>
                <w:position w:val="0"/>
                <w:sz w:val="24"/>
                <w:szCs w:val="24"/>
                <w:vertAlign w:val="superscript"/>
                <w:lang w:val="en-US" w:eastAsia="zh-CN"/>
              </w:rPr>
              <w:t>3</w:t>
            </w:r>
            <w:r>
              <w:rPr>
                <w:rFonts w:hint="default" w:ascii="Times New Roman" w:hAnsi="Times New Roman" w:eastAsia="宋体" w:cs="Times New Roman"/>
                <w:caps w:val="0"/>
                <w:smallCaps w:val="0"/>
                <w:color w:val="auto"/>
                <w:spacing w:val="0"/>
                <w:w w:val="100"/>
                <w:position w:val="0"/>
                <w:sz w:val="24"/>
                <w:szCs w:val="24"/>
              </w:rPr>
              <w:t>，因此，物料泄漏量V</w:t>
            </w:r>
            <w:r>
              <w:rPr>
                <w:rFonts w:hint="default" w:ascii="Times New Roman" w:hAnsi="Times New Roman" w:eastAsia="宋体" w:cs="Times New Roman"/>
                <w:caps w:val="0"/>
                <w:smallCaps w:val="0"/>
                <w:color w:val="auto"/>
                <w:spacing w:val="0"/>
                <w:w w:val="100"/>
                <w:position w:val="0"/>
                <w:sz w:val="24"/>
                <w:szCs w:val="24"/>
                <w:vertAlign w:val="subscript"/>
                <w:lang w:val="en-US" w:eastAsia="zh-CN"/>
              </w:rPr>
              <w:t>1</w:t>
            </w:r>
            <w:r>
              <w:rPr>
                <w:rFonts w:hint="default" w:ascii="Times New Roman" w:hAnsi="Times New Roman" w:eastAsia="宋体" w:cs="Times New Roman"/>
                <w:caps w:val="0"/>
                <w:smallCaps w:val="0"/>
                <w:color w:val="auto"/>
                <w:spacing w:val="0"/>
                <w:w w:val="100"/>
                <w:position w:val="0"/>
                <w:sz w:val="24"/>
                <w:szCs w:val="24"/>
              </w:rPr>
              <w:t>为</w:t>
            </w:r>
            <w:r>
              <w:rPr>
                <w:rFonts w:hint="default" w:ascii="Times New Roman" w:hAnsi="Times New Roman" w:eastAsia="宋体" w:cs="Times New Roman"/>
                <w:caps w:val="0"/>
                <w:smallCaps w:val="0"/>
                <w:color w:val="auto"/>
                <w:spacing w:val="0"/>
                <w:w w:val="100"/>
                <w:position w:val="0"/>
                <w:sz w:val="24"/>
                <w:szCs w:val="24"/>
                <w:lang w:val="en-US" w:eastAsia="zh-CN"/>
              </w:rPr>
              <w:t>50</w:t>
            </w:r>
            <w:r>
              <w:rPr>
                <w:rFonts w:hint="default" w:ascii="Times New Roman" w:hAnsi="Times New Roman" w:eastAsia="宋体" w:cs="Times New Roman"/>
                <w:caps w:val="0"/>
                <w:smallCaps w:val="0"/>
                <w:color w:val="auto"/>
                <w:spacing w:val="0"/>
                <w:w w:val="100"/>
                <w:position w:val="0"/>
                <w:sz w:val="24"/>
                <w:szCs w:val="24"/>
              </w:rPr>
              <w:t>m</w:t>
            </w:r>
            <w:r>
              <w:rPr>
                <w:rFonts w:hint="default" w:ascii="Times New Roman" w:hAnsi="Times New Roman" w:eastAsia="宋体" w:cs="Times New Roman"/>
                <w:caps w:val="0"/>
                <w:smallCaps w:val="0"/>
                <w:color w:val="auto"/>
                <w:spacing w:val="0"/>
                <w:w w:val="100"/>
                <w:position w:val="0"/>
                <w:sz w:val="24"/>
                <w:szCs w:val="24"/>
                <w:vertAlign w:val="superscript"/>
              </w:rPr>
              <w:t>3</w:t>
            </w:r>
            <w:r>
              <w:rPr>
                <w:rFonts w:hint="default" w:ascii="Times New Roman" w:hAnsi="Times New Roman" w:eastAsia="宋体" w:cs="Times New Roman"/>
                <w:caps w:val="0"/>
                <w:smallCaps w:val="0"/>
                <w:color w:val="auto"/>
                <w:spacing w:val="0"/>
                <w:w w:val="100"/>
                <w:position w:val="0"/>
                <w:sz w:val="24"/>
                <w:szCs w:val="24"/>
              </w:rPr>
              <w:t>。</w:t>
            </w:r>
          </w:p>
          <w:p w14:paraId="002820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eastAsia="zh-CN"/>
              </w:rPr>
              <w:t>②</w:t>
            </w:r>
            <w:r>
              <w:rPr>
                <w:rFonts w:hint="default" w:ascii="Times New Roman" w:hAnsi="Times New Roman" w:eastAsia="宋体" w:cs="Times New Roman"/>
                <w:caps w:val="0"/>
                <w:smallCaps w:val="0"/>
                <w:color w:val="auto"/>
                <w:spacing w:val="0"/>
                <w:w w:val="100"/>
                <w:position w:val="0"/>
                <w:sz w:val="24"/>
                <w:szCs w:val="24"/>
              </w:rPr>
              <w:t>消防废水（V</w:t>
            </w:r>
            <w:r>
              <w:rPr>
                <w:rFonts w:hint="default" w:ascii="Times New Roman" w:hAnsi="Times New Roman" w:eastAsia="宋体" w:cs="Times New Roman"/>
                <w:caps w:val="0"/>
                <w:smallCaps w:val="0"/>
                <w:color w:val="auto"/>
                <w:spacing w:val="0"/>
                <w:w w:val="100"/>
                <w:position w:val="0"/>
                <w:sz w:val="24"/>
                <w:szCs w:val="24"/>
                <w:vertAlign w:val="subscript"/>
              </w:rPr>
              <w:t>2</w:t>
            </w:r>
            <w:r>
              <w:rPr>
                <w:rFonts w:hint="default" w:ascii="Times New Roman" w:hAnsi="Times New Roman" w:eastAsia="宋体" w:cs="Times New Roman"/>
                <w:caps w:val="0"/>
                <w:smallCaps w:val="0"/>
                <w:color w:val="auto"/>
                <w:spacing w:val="0"/>
                <w:w w:val="100"/>
                <w:position w:val="0"/>
                <w:sz w:val="24"/>
                <w:szCs w:val="24"/>
              </w:rPr>
              <w:t>）</w:t>
            </w:r>
          </w:p>
          <w:p w14:paraId="6E140E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pacing w:val="0"/>
                <w:position w:val="0"/>
                <w:sz w:val="24"/>
                <w:szCs w:val="24"/>
                <w:lang w:eastAsia="zh-CN"/>
              </w:rPr>
            </w:pPr>
            <w:r>
              <w:rPr>
                <w:rFonts w:hint="default" w:ascii="Times New Roman" w:hAnsi="Times New Roman" w:eastAsia="宋体" w:cs="Times New Roman"/>
                <w:sz w:val="24"/>
                <w:szCs w:val="24"/>
              </w:rPr>
              <w:t>本项目厂房的防火级</w:t>
            </w:r>
            <w:r>
              <w:rPr>
                <w:rFonts w:hint="default" w:ascii="Times New Roman" w:hAnsi="Times New Roman" w:eastAsia="宋体" w:cs="Times New Roman"/>
                <w:spacing w:val="-2"/>
                <w:sz w:val="24"/>
                <w:szCs w:val="24"/>
              </w:rPr>
              <w:t>别为丙类</w:t>
            </w:r>
            <w:r>
              <w:rPr>
                <w:rFonts w:hint="default" w:ascii="Times New Roman" w:hAnsi="Times New Roman" w:eastAsia="宋体" w:cs="Times New Roman"/>
                <w:spacing w:val="-2"/>
                <w:sz w:val="24"/>
                <w:szCs w:val="24"/>
                <w:lang w:eastAsia="zh-CN"/>
              </w:rPr>
              <w:t>，</w:t>
            </w:r>
            <w:r>
              <w:rPr>
                <w:rFonts w:hint="default" w:ascii="Times New Roman" w:hAnsi="Times New Roman" w:eastAsia="宋体" w:cs="Times New Roman"/>
                <w:caps w:val="0"/>
                <w:smallCaps w:val="0"/>
                <w:color w:val="auto"/>
                <w:spacing w:val="0"/>
                <w:w w:val="100"/>
                <w:position w:val="0"/>
                <w:sz w:val="24"/>
                <w:szCs w:val="24"/>
                <w:lang w:val="en-US" w:eastAsia="zh-CN"/>
              </w:rPr>
              <w:t>依据《消防给水及消火栓系统技术规范》（GB50974-2014）规定：本工程同一时间火灾次数为1次，一次火灾消防用水量最大单体为生产车间，室外消火栓、室内消火栓消防用水量均为20L/s，火灾延续时间按2小时计，则一次火灾消防栓用水量为288m</w:t>
            </w:r>
            <w:r>
              <w:rPr>
                <w:rFonts w:hint="default" w:ascii="Times New Roman" w:hAnsi="Times New Roman" w:eastAsia="宋体" w:cs="Times New Roman"/>
                <w:caps w:val="0"/>
                <w:smallCaps w:val="0"/>
                <w:color w:val="auto"/>
                <w:spacing w:val="0"/>
                <w:w w:val="100"/>
                <w:position w:val="0"/>
                <w:sz w:val="24"/>
                <w:szCs w:val="24"/>
                <w:vertAlign w:val="superscript"/>
                <w:lang w:val="en-US" w:eastAsia="zh-CN"/>
              </w:rPr>
              <w:t>3</w:t>
            </w:r>
            <w:r>
              <w:rPr>
                <w:rFonts w:hint="default" w:ascii="Times New Roman" w:hAnsi="Times New Roman" w:eastAsia="宋体" w:cs="Times New Roman"/>
                <w:caps w:val="0"/>
                <w:smallCaps w:val="0"/>
                <w:color w:val="auto"/>
                <w:spacing w:val="0"/>
                <w:w w:val="100"/>
                <w:position w:val="0"/>
                <w:sz w:val="24"/>
                <w:szCs w:val="24"/>
                <w:lang w:val="en-US" w:eastAsia="zh-CN"/>
              </w:rPr>
              <w:t>，即V</w:t>
            </w:r>
            <w:r>
              <w:rPr>
                <w:rFonts w:hint="default" w:ascii="Times New Roman" w:hAnsi="Times New Roman" w:eastAsia="宋体" w:cs="Times New Roman"/>
                <w:caps w:val="0"/>
                <w:smallCaps w:val="0"/>
                <w:color w:val="auto"/>
                <w:spacing w:val="0"/>
                <w:w w:val="100"/>
                <w:position w:val="0"/>
                <w:sz w:val="24"/>
                <w:szCs w:val="24"/>
                <w:vertAlign w:val="subscript"/>
                <w:lang w:val="en-US" w:eastAsia="zh-CN"/>
              </w:rPr>
              <w:t>2</w:t>
            </w:r>
            <w:r>
              <w:rPr>
                <w:rFonts w:hint="default" w:ascii="Times New Roman" w:hAnsi="Times New Roman" w:eastAsia="宋体" w:cs="Times New Roman"/>
                <w:caps w:val="0"/>
                <w:smallCaps w:val="0"/>
                <w:color w:val="auto"/>
                <w:spacing w:val="0"/>
                <w:w w:val="100"/>
                <w:position w:val="0"/>
                <w:sz w:val="24"/>
                <w:szCs w:val="24"/>
                <w:lang w:val="en-US" w:eastAsia="zh-CN"/>
              </w:rPr>
              <w:t>为288m</w:t>
            </w:r>
            <w:r>
              <w:rPr>
                <w:rFonts w:hint="default" w:ascii="Times New Roman" w:hAnsi="Times New Roman" w:eastAsia="宋体" w:cs="Times New Roman"/>
                <w:caps w:val="0"/>
                <w:smallCaps w:val="0"/>
                <w:color w:val="auto"/>
                <w:spacing w:val="0"/>
                <w:w w:val="100"/>
                <w:position w:val="0"/>
                <w:sz w:val="24"/>
                <w:szCs w:val="24"/>
                <w:vertAlign w:val="superscript"/>
                <w:lang w:val="en-US" w:eastAsia="zh-CN"/>
              </w:rPr>
              <w:t>3</w:t>
            </w:r>
            <w:r>
              <w:rPr>
                <w:rFonts w:hint="default" w:ascii="Times New Roman" w:hAnsi="Times New Roman" w:eastAsia="宋体" w:cs="Times New Roman"/>
                <w:caps w:val="0"/>
                <w:smallCaps w:val="0"/>
                <w:color w:val="auto"/>
                <w:spacing w:val="0"/>
                <w:w w:val="100"/>
                <w:position w:val="0"/>
                <w:sz w:val="24"/>
                <w:szCs w:val="24"/>
                <w:lang w:val="en-US" w:eastAsia="zh-CN"/>
              </w:rPr>
              <w:t>。</w:t>
            </w:r>
          </w:p>
          <w:p w14:paraId="3B5E7991">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t>③</w:t>
            </w:r>
            <w:r>
              <w:rPr>
                <w:rFonts w:hint="default" w:ascii="Times New Roman" w:hAnsi="Times New Roman" w:eastAsia="宋体" w:cs="Times New Roman"/>
                <w:caps w:val="0"/>
                <w:smallCaps w:val="0"/>
                <w:color w:val="auto"/>
                <w:spacing w:val="0"/>
                <w:w w:val="100"/>
                <w:position w:val="0"/>
                <w:sz w:val="24"/>
                <w:szCs w:val="24"/>
              </w:rPr>
              <w:t>发生事故时可以转输到其他储存或处理设施的物料量（V</w:t>
            </w:r>
            <w:r>
              <w:rPr>
                <w:rFonts w:hint="default" w:ascii="Times New Roman" w:hAnsi="Times New Roman" w:eastAsia="宋体" w:cs="Times New Roman"/>
                <w:caps w:val="0"/>
                <w:smallCaps w:val="0"/>
                <w:color w:val="auto"/>
                <w:spacing w:val="0"/>
                <w:w w:val="100"/>
                <w:position w:val="0"/>
                <w:sz w:val="24"/>
                <w:szCs w:val="24"/>
                <w:vertAlign w:val="subscript"/>
              </w:rPr>
              <w:t>3</w:t>
            </w:r>
            <w:r>
              <w:rPr>
                <w:rFonts w:hint="default" w:ascii="Times New Roman" w:hAnsi="Times New Roman" w:eastAsia="宋体" w:cs="Times New Roman"/>
                <w:caps w:val="0"/>
                <w:smallCaps w:val="0"/>
                <w:color w:val="auto"/>
                <w:spacing w:val="0"/>
                <w:w w:val="100"/>
                <w:position w:val="0"/>
                <w:sz w:val="24"/>
                <w:szCs w:val="24"/>
              </w:rPr>
              <w:t>）</w:t>
            </w:r>
          </w:p>
          <w:p w14:paraId="3969EF6D">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color w:val="auto"/>
                <w:spacing w:val="0"/>
                <w:sz w:val="24"/>
                <w:szCs w:val="24"/>
              </w:rPr>
              <w:t>V3取0</w:t>
            </w:r>
            <w:r>
              <w:rPr>
                <w:rFonts w:hint="default" w:ascii="Times New Roman" w:hAnsi="Times New Roman" w:eastAsia="宋体" w:cs="Times New Roman"/>
                <w:caps w:val="0"/>
                <w:smallCaps w:val="0"/>
                <w:color w:val="auto"/>
                <w:spacing w:val="0"/>
                <w:w w:val="100"/>
                <w:position w:val="0"/>
                <w:sz w:val="24"/>
                <w:szCs w:val="24"/>
              </w:rPr>
              <w:t>。</w:t>
            </w:r>
          </w:p>
          <w:p w14:paraId="0D64C6FF">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fldChar w:fldCharType="begin"/>
            </w:r>
            <w:r>
              <w:rPr>
                <w:rFonts w:hint="default" w:ascii="Times New Roman" w:hAnsi="Times New Roman" w:eastAsia="宋体" w:cs="Times New Roman"/>
                <w:caps w:val="0"/>
                <w:smallCaps w:val="0"/>
                <w:color w:val="auto"/>
                <w:spacing w:val="0"/>
                <w:w w:val="100"/>
                <w:position w:val="0"/>
                <w:sz w:val="24"/>
                <w:szCs w:val="24"/>
                <w:lang w:val="en-US" w:eastAsia="zh-CN"/>
              </w:rPr>
              <w:instrText xml:space="preserve"> = 4 \* GB3 \* MERGEFORMAT </w:instrText>
            </w:r>
            <w:r>
              <w:rPr>
                <w:rFonts w:hint="default" w:ascii="Times New Roman" w:hAnsi="Times New Roman" w:eastAsia="宋体" w:cs="Times New Roman"/>
                <w:caps w:val="0"/>
                <w:smallCaps w:val="0"/>
                <w:color w:val="auto"/>
                <w:spacing w:val="0"/>
                <w:w w:val="100"/>
                <w:position w:val="0"/>
                <w:sz w:val="24"/>
                <w:szCs w:val="24"/>
                <w:lang w:val="en-US" w:eastAsia="zh-CN"/>
              </w:rPr>
              <w:fldChar w:fldCharType="separate"/>
            </w:r>
            <w:r>
              <w:rPr>
                <w:rFonts w:hint="default" w:ascii="Times New Roman" w:hAnsi="Times New Roman" w:eastAsia="宋体" w:cs="Times New Roman"/>
                <w:caps w:val="0"/>
                <w:smallCaps w:val="0"/>
                <w:color w:val="auto"/>
                <w:spacing w:val="0"/>
                <w:w w:val="100"/>
                <w:position w:val="0"/>
                <w:sz w:val="24"/>
                <w:szCs w:val="24"/>
              </w:rPr>
              <w:t>④</w:t>
            </w:r>
            <w:r>
              <w:rPr>
                <w:rFonts w:hint="default" w:ascii="Times New Roman" w:hAnsi="Times New Roman" w:eastAsia="宋体" w:cs="Times New Roman"/>
                <w:caps w:val="0"/>
                <w:smallCaps w:val="0"/>
                <w:color w:val="auto"/>
                <w:spacing w:val="0"/>
                <w:w w:val="100"/>
                <w:position w:val="0"/>
                <w:sz w:val="24"/>
                <w:szCs w:val="24"/>
                <w:lang w:val="en-US" w:eastAsia="zh-CN"/>
              </w:rPr>
              <w:fldChar w:fldCharType="end"/>
            </w:r>
            <w:r>
              <w:rPr>
                <w:rFonts w:hint="default" w:ascii="Times New Roman" w:hAnsi="Times New Roman" w:eastAsia="宋体" w:cs="Times New Roman"/>
                <w:caps w:val="0"/>
                <w:smallCaps w:val="0"/>
                <w:color w:val="auto"/>
                <w:spacing w:val="0"/>
                <w:w w:val="100"/>
                <w:position w:val="0"/>
                <w:sz w:val="24"/>
                <w:szCs w:val="24"/>
              </w:rPr>
              <w:t>发生事故时仍必须进入该收集系统的生产废水量（V</w:t>
            </w:r>
            <w:r>
              <w:rPr>
                <w:rFonts w:hint="default" w:ascii="Times New Roman" w:hAnsi="Times New Roman" w:eastAsia="宋体" w:cs="Times New Roman"/>
                <w:caps w:val="0"/>
                <w:smallCaps w:val="0"/>
                <w:color w:val="auto"/>
                <w:spacing w:val="0"/>
                <w:w w:val="100"/>
                <w:position w:val="0"/>
                <w:sz w:val="24"/>
                <w:szCs w:val="24"/>
                <w:vertAlign w:val="subscript"/>
              </w:rPr>
              <w:t>4</w:t>
            </w:r>
            <w:r>
              <w:rPr>
                <w:rFonts w:hint="default" w:ascii="Times New Roman" w:hAnsi="Times New Roman" w:eastAsia="宋体" w:cs="Times New Roman"/>
                <w:caps w:val="0"/>
                <w:smallCaps w:val="0"/>
                <w:color w:val="auto"/>
                <w:spacing w:val="0"/>
                <w:w w:val="100"/>
                <w:position w:val="0"/>
                <w:sz w:val="24"/>
                <w:szCs w:val="24"/>
              </w:rPr>
              <w:t>）</w:t>
            </w:r>
          </w:p>
          <w:p w14:paraId="3D16C258">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V4=</w:t>
            </w:r>
            <w:r>
              <w:rPr>
                <w:rFonts w:hint="eastAsia" w:cs="Times New Roman"/>
                <w:sz w:val="24"/>
                <w:szCs w:val="24"/>
                <w:lang w:val="en-US" w:eastAsia="zh-CN"/>
              </w:rPr>
              <w:t>0</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w:t>
            </w:r>
          </w:p>
          <w:p w14:paraId="5D527BB8">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fldChar w:fldCharType="begin"/>
            </w:r>
            <w:r>
              <w:rPr>
                <w:rFonts w:hint="default" w:ascii="Times New Roman" w:hAnsi="Times New Roman" w:eastAsia="宋体" w:cs="Times New Roman"/>
                <w:caps w:val="0"/>
                <w:smallCaps w:val="0"/>
                <w:color w:val="auto"/>
                <w:spacing w:val="0"/>
                <w:w w:val="100"/>
                <w:position w:val="0"/>
                <w:sz w:val="24"/>
                <w:szCs w:val="24"/>
                <w:lang w:val="en-US" w:eastAsia="zh-CN"/>
              </w:rPr>
              <w:instrText xml:space="preserve"> = 5 \* GB3 \* MERGEFORMAT </w:instrText>
            </w:r>
            <w:r>
              <w:rPr>
                <w:rFonts w:hint="default" w:ascii="Times New Roman" w:hAnsi="Times New Roman" w:eastAsia="宋体" w:cs="Times New Roman"/>
                <w:caps w:val="0"/>
                <w:smallCaps w:val="0"/>
                <w:color w:val="auto"/>
                <w:spacing w:val="0"/>
                <w:w w:val="100"/>
                <w:position w:val="0"/>
                <w:sz w:val="24"/>
                <w:szCs w:val="24"/>
                <w:lang w:val="en-US" w:eastAsia="zh-CN"/>
              </w:rPr>
              <w:fldChar w:fldCharType="separate"/>
            </w:r>
            <w:r>
              <w:rPr>
                <w:rFonts w:hint="default" w:ascii="Times New Roman" w:hAnsi="Times New Roman" w:eastAsia="宋体" w:cs="Times New Roman"/>
                <w:caps w:val="0"/>
                <w:smallCaps w:val="0"/>
                <w:color w:val="auto"/>
                <w:spacing w:val="0"/>
                <w:w w:val="100"/>
                <w:position w:val="0"/>
                <w:sz w:val="24"/>
                <w:szCs w:val="24"/>
              </w:rPr>
              <w:t>⑤</w:t>
            </w:r>
            <w:r>
              <w:rPr>
                <w:rFonts w:hint="default" w:ascii="Times New Roman" w:hAnsi="Times New Roman" w:eastAsia="宋体" w:cs="Times New Roman"/>
                <w:caps w:val="0"/>
                <w:smallCaps w:val="0"/>
                <w:color w:val="auto"/>
                <w:spacing w:val="0"/>
                <w:w w:val="100"/>
                <w:position w:val="0"/>
                <w:sz w:val="24"/>
                <w:szCs w:val="24"/>
                <w:lang w:val="en-US" w:eastAsia="zh-CN"/>
              </w:rPr>
              <w:fldChar w:fldCharType="end"/>
            </w:r>
            <w:r>
              <w:rPr>
                <w:rFonts w:hint="default" w:ascii="Times New Roman" w:hAnsi="Times New Roman" w:eastAsia="宋体" w:cs="Times New Roman"/>
                <w:caps w:val="0"/>
                <w:smallCaps w:val="0"/>
                <w:color w:val="auto"/>
                <w:spacing w:val="0"/>
                <w:w w:val="100"/>
                <w:position w:val="0"/>
                <w:sz w:val="24"/>
                <w:szCs w:val="24"/>
              </w:rPr>
              <w:t>发生事故时可能进入该收集系统的降雨量（V</w:t>
            </w:r>
            <w:r>
              <w:rPr>
                <w:rFonts w:hint="default" w:ascii="Times New Roman" w:hAnsi="Times New Roman" w:eastAsia="宋体" w:cs="Times New Roman"/>
                <w:caps w:val="0"/>
                <w:smallCaps w:val="0"/>
                <w:color w:val="auto"/>
                <w:spacing w:val="0"/>
                <w:w w:val="100"/>
                <w:position w:val="0"/>
                <w:sz w:val="24"/>
                <w:szCs w:val="24"/>
                <w:vertAlign w:val="subscript"/>
              </w:rPr>
              <w:t>5</w:t>
            </w:r>
            <w:r>
              <w:rPr>
                <w:rFonts w:hint="default" w:ascii="Times New Roman" w:hAnsi="Times New Roman" w:eastAsia="宋体" w:cs="Times New Roman"/>
                <w:caps w:val="0"/>
                <w:smallCaps w:val="0"/>
                <w:color w:val="auto"/>
                <w:spacing w:val="0"/>
                <w:w w:val="100"/>
                <w:position w:val="0"/>
                <w:sz w:val="24"/>
                <w:szCs w:val="24"/>
              </w:rPr>
              <w:t>）</w:t>
            </w:r>
          </w:p>
          <w:p w14:paraId="18F7CBEE">
            <w:pPr>
              <w:pageBreakBefore w:val="0"/>
              <w:kinsoku/>
              <w:wordWrap/>
              <w:overflowPunct/>
              <w:topLinePunct w:val="0"/>
              <w:autoSpaceDE/>
              <w:autoSpaceDN/>
              <w:bidi w:val="0"/>
              <w:snapToGrid/>
              <w:spacing w:line="360" w:lineRule="auto"/>
              <w:ind w:firstLine="480" w:firstLineChars="20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V</w:t>
            </w:r>
            <w:r>
              <w:rPr>
                <w:rFonts w:hint="default" w:ascii="Times New Roman" w:hAnsi="Times New Roman" w:eastAsia="宋体" w:cs="Times New Roman"/>
                <w:sz w:val="24"/>
                <w:szCs w:val="24"/>
                <w:vertAlign w:val="subscript"/>
              </w:rPr>
              <w:t>5</w:t>
            </w:r>
            <w:r>
              <w:rPr>
                <w:rFonts w:hint="default" w:ascii="Times New Roman" w:hAnsi="Times New Roman" w:eastAsia="宋体" w:cs="Times New Roman"/>
                <w:sz w:val="24"/>
                <w:szCs w:val="24"/>
              </w:rPr>
              <w:t>=10qF</w:t>
            </w:r>
          </w:p>
          <w:p w14:paraId="461603C4">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q——降雨强度，mm；按平均日降雨量；</w:t>
            </w:r>
          </w:p>
          <w:p w14:paraId="25C202FE">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q=qa/n</w:t>
            </w:r>
          </w:p>
          <w:p w14:paraId="100E0A52">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qa——年平均降雨量，mm；（按</w:t>
            </w:r>
            <w:r>
              <w:rPr>
                <w:rFonts w:hint="default" w:ascii="Times New Roman" w:hAnsi="Times New Roman" w:eastAsia="宋体" w:cs="Times New Roman"/>
                <w:sz w:val="24"/>
                <w:szCs w:val="24"/>
                <w:lang w:val="en-US" w:eastAsia="zh-CN"/>
              </w:rPr>
              <w:t>1500</w:t>
            </w:r>
            <w:r>
              <w:rPr>
                <w:rFonts w:hint="default" w:ascii="Times New Roman" w:hAnsi="Times New Roman" w:eastAsia="宋体" w:cs="Times New Roman"/>
                <w:sz w:val="24"/>
                <w:szCs w:val="24"/>
              </w:rPr>
              <w:t>mm）</w:t>
            </w:r>
          </w:p>
          <w:p w14:paraId="00244B1F">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n——年平均降雨日数。（按1</w:t>
            </w:r>
            <w:r>
              <w:rPr>
                <w:rFonts w:hint="default" w:ascii="Times New Roman" w:hAnsi="Times New Roman" w:eastAsia="宋体" w:cs="Times New Roman"/>
                <w:sz w:val="24"/>
                <w:szCs w:val="24"/>
                <w:lang w:val="en-US" w:eastAsia="zh-CN"/>
              </w:rPr>
              <w:t>50</w:t>
            </w:r>
            <w:r>
              <w:rPr>
                <w:rFonts w:hint="default" w:ascii="Times New Roman" w:hAnsi="Times New Roman" w:eastAsia="宋体" w:cs="Times New Roman"/>
                <w:sz w:val="24"/>
                <w:szCs w:val="24"/>
              </w:rPr>
              <w:t>d）</w:t>
            </w:r>
          </w:p>
          <w:p w14:paraId="5F3886AC">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F——必须进入事故废水收集系统的雨水汇水面积，ha；</w:t>
            </w:r>
          </w:p>
          <w:p w14:paraId="05DE3219">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项目占地面积为</w:t>
            </w:r>
            <w:r>
              <w:rPr>
                <w:rFonts w:hint="default" w:ascii="Times New Roman" w:hAnsi="Times New Roman" w:eastAsia="宋体" w:cs="Times New Roman"/>
                <w:sz w:val="24"/>
                <w:szCs w:val="24"/>
                <w:lang w:val="en-US" w:eastAsia="zh-CN"/>
              </w:rPr>
              <w:t>4700</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，则 V</w:t>
            </w:r>
            <w:r>
              <w:rPr>
                <w:rFonts w:hint="default" w:ascii="Times New Roman" w:hAnsi="Times New Roman" w:eastAsia="宋体" w:cs="Times New Roman"/>
                <w:sz w:val="24"/>
                <w:szCs w:val="24"/>
                <w:vertAlign w:val="subscript"/>
              </w:rPr>
              <w:t>5</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47</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w:t>
            </w:r>
          </w:p>
          <w:p w14:paraId="534C516F">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fldChar w:fldCharType="begin"/>
            </w:r>
            <w:r>
              <w:rPr>
                <w:rFonts w:hint="default" w:ascii="Times New Roman" w:hAnsi="Times New Roman" w:eastAsia="宋体" w:cs="Times New Roman"/>
                <w:caps w:val="0"/>
                <w:smallCaps w:val="0"/>
                <w:color w:val="auto"/>
                <w:spacing w:val="0"/>
                <w:w w:val="100"/>
                <w:position w:val="0"/>
                <w:sz w:val="24"/>
                <w:szCs w:val="24"/>
                <w:lang w:val="en-US" w:eastAsia="zh-CN"/>
              </w:rPr>
              <w:instrText xml:space="preserve"> = 6 \* GB3 \* MERGEFORMAT </w:instrText>
            </w:r>
            <w:r>
              <w:rPr>
                <w:rFonts w:hint="default" w:ascii="Times New Roman" w:hAnsi="Times New Roman" w:eastAsia="宋体" w:cs="Times New Roman"/>
                <w:caps w:val="0"/>
                <w:smallCaps w:val="0"/>
                <w:color w:val="auto"/>
                <w:spacing w:val="0"/>
                <w:w w:val="100"/>
                <w:position w:val="0"/>
                <w:sz w:val="24"/>
                <w:szCs w:val="24"/>
                <w:lang w:val="en-US" w:eastAsia="zh-CN"/>
              </w:rPr>
              <w:fldChar w:fldCharType="separate"/>
            </w:r>
            <w:r>
              <w:rPr>
                <w:rFonts w:hint="default" w:ascii="Times New Roman" w:hAnsi="Times New Roman" w:eastAsia="宋体" w:cs="Times New Roman"/>
                <w:caps w:val="0"/>
                <w:smallCaps w:val="0"/>
                <w:color w:val="auto"/>
                <w:spacing w:val="0"/>
                <w:w w:val="100"/>
                <w:position w:val="0"/>
                <w:sz w:val="24"/>
                <w:szCs w:val="24"/>
              </w:rPr>
              <w:t>⑥</w:t>
            </w:r>
            <w:r>
              <w:rPr>
                <w:rFonts w:hint="default" w:ascii="Times New Roman" w:hAnsi="Times New Roman" w:eastAsia="宋体" w:cs="Times New Roman"/>
                <w:caps w:val="0"/>
                <w:smallCaps w:val="0"/>
                <w:color w:val="auto"/>
                <w:spacing w:val="0"/>
                <w:w w:val="100"/>
                <w:position w:val="0"/>
                <w:sz w:val="24"/>
                <w:szCs w:val="24"/>
                <w:lang w:val="en-US" w:eastAsia="zh-CN"/>
              </w:rPr>
              <w:fldChar w:fldCharType="end"/>
            </w:r>
            <w:r>
              <w:rPr>
                <w:rFonts w:hint="default" w:ascii="Times New Roman" w:hAnsi="Times New Roman" w:eastAsia="宋体" w:cs="Times New Roman"/>
                <w:caps w:val="0"/>
                <w:smallCaps w:val="0"/>
                <w:color w:val="auto"/>
                <w:spacing w:val="0"/>
                <w:w w:val="100"/>
                <w:position w:val="0"/>
                <w:sz w:val="24"/>
                <w:szCs w:val="24"/>
              </w:rPr>
              <w:t>V</w:t>
            </w:r>
            <w:r>
              <w:rPr>
                <w:rFonts w:hint="default" w:ascii="Times New Roman" w:hAnsi="Times New Roman" w:eastAsia="宋体" w:cs="Times New Roman"/>
                <w:caps w:val="0"/>
                <w:smallCaps w:val="0"/>
                <w:color w:val="auto"/>
                <w:spacing w:val="0"/>
                <w:w w:val="100"/>
                <w:position w:val="0"/>
                <w:sz w:val="24"/>
                <w:szCs w:val="24"/>
                <w:vertAlign w:val="subscript"/>
              </w:rPr>
              <w:t>总</w:t>
            </w:r>
            <w:r>
              <w:rPr>
                <w:rFonts w:hint="default" w:ascii="Times New Roman" w:hAnsi="Times New Roman" w:eastAsia="宋体" w:cs="Times New Roman"/>
                <w:caps w:val="0"/>
                <w:smallCaps w:val="0"/>
                <w:color w:val="auto"/>
                <w:spacing w:val="0"/>
                <w:w w:val="100"/>
                <w:position w:val="0"/>
                <w:sz w:val="24"/>
                <w:szCs w:val="24"/>
              </w:rPr>
              <w:t>计算</w:t>
            </w:r>
          </w:p>
          <w:p w14:paraId="2E45F1E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position w:val="0"/>
                <w:sz w:val="24"/>
                <w:szCs w:val="24"/>
                <w:lang w:eastAsia="zh-CN"/>
              </w:rPr>
            </w:pPr>
            <w:r>
              <w:rPr>
                <w:rFonts w:hint="default" w:ascii="Times New Roman" w:hAnsi="Times New Roman" w:eastAsia="宋体" w:cs="Times New Roman"/>
                <w:caps w:val="0"/>
                <w:smallCaps w:val="0"/>
                <w:color w:val="auto"/>
                <w:spacing w:val="0"/>
                <w:w w:val="100"/>
                <w:position w:val="0"/>
                <w:sz w:val="24"/>
                <w:szCs w:val="24"/>
              </w:rPr>
              <w:t>由上述分析计算V</w:t>
            </w:r>
            <w:r>
              <w:rPr>
                <w:rFonts w:hint="default" w:ascii="Times New Roman" w:hAnsi="Times New Roman" w:eastAsia="宋体" w:cs="Times New Roman"/>
                <w:caps w:val="0"/>
                <w:smallCaps w:val="0"/>
                <w:color w:val="auto"/>
                <w:spacing w:val="0"/>
                <w:w w:val="100"/>
                <w:position w:val="0"/>
                <w:sz w:val="24"/>
                <w:szCs w:val="24"/>
                <w:vertAlign w:val="subscript"/>
              </w:rPr>
              <w:t>总</w:t>
            </w:r>
            <w:r>
              <w:rPr>
                <w:rFonts w:hint="default" w:ascii="Times New Roman" w:hAnsi="Times New Roman" w:eastAsia="宋体" w:cs="Times New Roman"/>
                <w:caps w:val="0"/>
                <w:smallCaps w:val="0"/>
                <w:color w:val="auto"/>
                <w:spacing w:val="0"/>
                <w:w w:val="100"/>
                <w:position w:val="0"/>
                <w:sz w:val="24"/>
                <w:szCs w:val="24"/>
              </w:rPr>
              <w:t>=（</w:t>
            </w:r>
            <w:r>
              <w:rPr>
                <w:rFonts w:hint="default" w:ascii="Times New Roman" w:hAnsi="Times New Roman" w:eastAsia="宋体" w:cs="Times New Roman"/>
                <w:caps w:val="0"/>
                <w:smallCaps w:val="0"/>
                <w:color w:val="auto"/>
                <w:spacing w:val="0"/>
                <w:w w:val="100"/>
                <w:position w:val="0"/>
                <w:sz w:val="24"/>
                <w:szCs w:val="24"/>
                <w:lang w:val="en-US" w:eastAsia="zh-CN"/>
              </w:rPr>
              <w:t>50</w:t>
            </w:r>
            <w:r>
              <w:rPr>
                <w:rFonts w:hint="default" w:ascii="Times New Roman" w:hAnsi="Times New Roman" w:eastAsia="宋体" w:cs="Times New Roman"/>
                <w:caps w:val="0"/>
                <w:smallCaps w:val="0"/>
                <w:color w:val="auto"/>
                <w:spacing w:val="0"/>
                <w:w w:val="100"/>
                <w:position w:val="0"/>
                <w:sz w:val="24"/>
                <w:szCs w:val="24"/>
              </w:rPr>
              <w:t>+</w:t>
            </w:r>
            <w:r>
              <w:rPr>
                <w:rFonts w:hint="default" w:ascii="Times New Roman" w:hAnsi="Times New Roman" w:eastAsia="宋体" w:cs="Times New Roman"/>
                <w:caps w:val="0"/>
                <w:smallCaps w:val="0"/>
                <w:color w:val="auto"/>
                <w:spacing w:val="0"/>
                <w:w w:val="100"/>
                <w:position w:val="0"/>
                <w:sz w:val="24"/>
                <w:szCs w:val="24"/>
                <w:lang w:val="en-US" w:eastAsia="zh-CN"/>
              </w:rPr>
              <w:t>288</w:t>
            </w:r>
            <w:r>
              <w:rPr>
                <w:rFonts w:hint="default" w:ascii="Times New Roman" w:hAnsi="Times New Roman" w:eastAsia="宋体" w:cs="Times New Roman"/>
                <w:caps w:val="0"/>
                <w:smallCaps w:val="0"/>
                <w:color w:val="auto"/>
                <w:spacing w:val="0"/>
                <w:w w:val="100"/>
                <w:position w:val="0"/>
                <w:sz w:val="24"/>
                <w:szCs w:val="24"/>
              </w:rPr>
              <w:t>-0）+</w:t>
            </w:r>
            <w:r>
              <w:rPr>
                <w:rFonts w:hint="eastAsia" w:cs="Times New Roman"/>
                <w:caps w:val="0"/>
                <w:smallCaps w:val="0"/>
                <w:color w:val="auto"/>
                <w:spacing w:val="0"/>
                <w:w w:val="100"/>
                <w:position w:val="0"/>
                <w:sz w:val="24"/>
                <w:szCs w:val="24"/>
                <w:lang w:val="en-US" w:eastAsia="zh-CN"/>
              </w:rPr>
              <w:t>0</w:t>
            </w:r>
            <w:r>
              <w:rPr>
                <w:rFonts w:hint="default" w:ascii="Times New Roman" w:hAnsi="Times New Roman" w:eastAsia="宋体" w:cs="Times New Roman"/>
                <w:caps w:val="0"/>
                <w:smallCaps w:val="0"/>
                <w:color w:val="auto"/>
                <w:spacing w:val="0"/>
                <w:w w:val="100"/>
                <w:position w:val="0"/>
                <w:sz w:val="24"/>
                <w:szCs w:val="24"/>
                <w:lang w:val="en-US" w:eastAsia="zh-CN"/>
              </w:rPr>
              <w:t>+47</w:t>
            </w:r>
            <w:r>
              <w:rPr>
                <w:rFonts w:hint="default" w:ascii="Times New Roman" w:hAnsi="Times New Roman" w:eastAsia="宋体" w:cs="Times New Roman"/>
                <w:caps w:val="0"/>
                <w:smallCaps w:val="0"/>
                <w:color w:val="auto"/>
                <w:spacing w:val="0"/>
                <w:w w:val="100"/>
                <w:position w:val="0"/>
                <w:sz w:val="24"/>
                <w:szCs w:val="24"/>
              </w:rPr>
              <w:t>=</w:t>
            </w:r>
            <w:r>
              <w:rPr>
                <w:rFonts w:hint="default" w:ascii="Times New Roman" w:hAnsi="Times New Roman" w:eastAsia="宋体" w:cs="Times New Roman"/>
                <w:caps w:val="0"/>
                <w:smallCaps w:val="0"/>
                <w:color w:val="auto"/>
                <w:spacing w:val="0"/>
                <w:w w:val="100"/>
                <w:position w:val="0"/>
                <w:sz w:val="24"/>
                <w:szCs w:val="24"/>
                <w:lang w:val="en-US" w:eastAsia="zh-CN"/>
              </w:rPr>
              <w:t>38</w:t>
            </w:r>
            <w:r>
              <w:rPr>
                <w:rFonts w:hint="eastAsia" w:cs="Times New Roman"/>
                <w:caps w:val="0"/>
                <w:smallCaps w:val="0"/>
                <w:color w:val="auto"/>
                <w:spacing w:val="0"/>
                <w:w w:val="100"/>
                <w:position w:val="0"/>
                <w:sz w:val="24"/>
                <w:szCs w:val="24"/>
                <w:lang w:val="en-US" w:eastAsia="zh-CN"/>
              </w:rPr>
              <w:t>5</w:t>
            </w:r>
            <w:r>
              <w:rPr>
                <w:rFonts w:hint="default" w:ascii="Times New Roman" w:hAnsi="Times New Roman" w:eastAsia="宋体" w:cs="Times New Roman"/>
                <w:caps w:val="0"/>
                <w:smallCaps w:val="0"/>
                <w:color w:val="auto"/>
                <w:spacing w:val="0"/>
                <w:w w:val="100"/>
                <w:position w:val="0"/>
                <w:sz w:val="24"/>
                <w:szCs w:val="24"/>
              </w:rPr>
              <w:t>m</w:t>
            </w:r>
            <w:r>
              <w:rPr>
                <w:rFonts w:hint="default" w:ascii="Times New Roman" w:hAnsi="Times New Roman" w:eastAsia="宋体" w:cs="Times New Roman"/>
                <w:caps w:val="0"/>
                <w:smallCaps w:val="0"/>
                <w:color w:val="auto"/>
                <w:spacing w:val="0"/>
                <w:w w:val="100"/>
                <w:position w:val="0"/>
                <w:sz w:val="24"/>
                <w:szCs w:val="24"/>
                <w:vertAlign w:val="superscript"/>
              </w:rPr>
              <w:t>3</w:t>
            </w:r>
            <w:r>
              <w:rPr>
                <w:rFonts w:hint="default" w:ascii="Times New Roman" w:hAnsi="Times New Roman" w:eastAsia="宋体" w:cs="Times New Roman"/>
                <w:caps w:val="0"/>
                <w:smallCaps w:val="0"/>
                <w:color w:val="auto"/>
                <w:spacing w:val="0"/>
                <w:w w:val="100"/>
                <w:position w:val="0"/>
                <w:sz w:val="24"/>
                <w:szCs w:val="24"/>
                <w:lang w:eastAsia="zh-CN"/>
              </w:rPr>
              <w:t>。</w:t>
            </w:r>
          </w:p>
          <w:p w14:paraId="2637C549">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aps w:val="0"/>
                <w:color w:val="auto"/>
                <w:spacing w:val="0"/>
                <w:sz w:val="24"/>
                <w:szCs w:val="24"/>
              </w:rPr>
            </w:pPr>
            <w:r>
              <w:rPr>
                <w:rFonts w:hint="default" w:ascii="Times New Roman" w:hAnsi="Times New Roman" w:eastAsia="宋体" w:cs="Times New Roman"/>
                <w:caps w:val="0"/>
                <w:smallCaps w:val="0"/>
                <w:color w:val="auto"/>
                <w:spacing w:val="0"/>
                <w:w w:val="100"/>
                <w:position w:val="0"/>
                <w:sz w:val="24"/>
                <w:szCs w:val="24"/>
                <w:lang w:val="en-US" w:eastAsia="zh-CN"/>
              </w:rPr>
              <w:t>因此，本项目事故应急池容积应不低于38</w:t>
            </w:r>
            <w:r>
              <w:rPr>
                <w:rFonts w:hint="eastAsia" w:cs="Times New Roman"/>
                <w:caps w:val="0"/>
                <w:smallCaps w:val="0"/>
                <w:color w:val="auto"/>
                <w:spacing w:val="0"/>
                <w:w w:val="100"/>
                <w:position w:val="0"/>
                <w:sz w:val="24"/>
                <w:szCs w:val="24"/>
                <w:lang w:val="en-US" w:eastAsia="zh-CN"/>
              </w:rPr>
              <w:t>5</w:t>
            </w:r>
            <w:r>
              <w:rPr>
                <w:rFonts w:hint="default" w:ascii="Times New Roman" w:hAnsi="Times New Roman" w:eastAsia="宋体" w:cs="Times New Roman"/>
                <w:caps w:val="0"/>
                <w:smallCaps w:val="0"/>
                <w:color w:val="auto"/>
                <w:spacing w:val="0"/>
                <w:w w:val="100"/>
                <w:position w:val="0"/>
                <w:sz w:val="24"/>
                <w:szCs w:val="24"/>
                <w:lang w:val="en-US" w:eastAsia="zh-CN"/>
              </w:rPr>
              <w:t>m</w:t>
            </w:r>
            <w:r>
              <w:rPr>
                <w:rFonts w:hint="default" w:ascii="Times New Roman" w:hAnsi="Times New Roman" w:eastAsia="宋体" w:cs="Times New Roman"/>
                <w:caps w:val="0"/>
                <w:smallCaps w:val="0"/>
                <w:color w:val="auto"/>
                <w:spacing w:val="0"/>
                <w:w w:val="100"/>
                <w:position w:val="0"/>
                <w:sz w:val="24"/>
                <w:szCs w:val="24"/>
                <w:vertAlign w:val="superscript"/>
                <w:lang w:val="en-US" w:eastAsia="zh-CN"/>
              </w:rPr>
              <w:t>3</w:t>
            </w:r>
            <w:r>
              <w:rPr>
                <w:rFonts w:hint="default" w:ascii="Times New Roman" w:hAnsi="Times New Roman" w:eastAsia="宋体" w:cs="Times New Roman"/>
                <w:caps w:val="0"/>
                <w:smallCaps w:val="0"/>
                <w:color w:val="auto"/>
                <w:spacing w:val="0"/>
                <w:w w:val="100"/>
                <w:position w:val="0"/>
                <w:sz w:val="24"/>
                <w:szCs w:val="24"/>
                <w:lang w:val="en-US" w:eastAsia="zh-CN"/>
              </w:rPr>
              <w:t>。拟在生产车间西北侧建设事故应急池一座，容积400m</w:t>
            </w:r>
            <w:r>
              <w:rPr>
                <w:rFonts w:hint="default" w:ascii="Times New Roman" w:hAnsi="Times New Roman" w:eastAsia="宋体" w:cs="Times New Roman"/>
                <w:caps w:val="0"/>
                <w:smallCaps w:val="0"/>
                <w:color w:val="auto"/>
                <w:spacing w:val="0"/>
                <w:w w:val="100"/>
                <w:position w:val="0"/>
                <w:sz w:val="24"/>
                <w:szCs w:val="24"/>
                <w:vertAlign w:val="superscript"/>
                <w:lang w:val="en-US" w:eastAsia="zh-CN"/>
              </w:rPr>
              <w:t>3</w:t>
            </w:r>
            <w:r>
              <w:rPr>
                <w:rFonts w:hint="default" w:ascii="Times New Roman" w:hAnsi="Times New Roman" w:eastAsia="宋体" w:cs="Times New Roman"/>
                <w:color w:val="auto"/>
                <w:spacing w:val="0"/>
                <w:sz w:val="24"/>
                <w:szCs w:val="24"/>
                <w:lang w:val="en-US" w:eastAsia="zh-CN"/>
              </w:rPr>
              <w:t>，</w:t>
            </w:r>
            <w:r>
              <w:rPr>
                <w:rFonts w:hint="default" w:ascii="Times New Roman" w:hAnsi="Times New Roman" w:eastAsia="宋体" w:cs="Times New Roman"/>
                <w:caps w:val="0"/>
                <w:smallCaps w:val="0"/>
                <w:color w:val="auto"/>
                <w:spacing w:val="0"/>
                <w:w w:val="100"/>
                <w:position w:val="0"/>
                <w:sz w:val="24"/>
                <w:szCs w:val="24"/>
              </w:rPr>
              <w:t>可以满足事故状态下废水暂存需要</w:t>
            </w:r>
            <w:r>
              <w:rPr>
                <w:rFonts w:hint="default" w:ascii="Times New Roman" w:hAnsi="Times New Roman" w:eastAsia="宋体" w:cs="Times New Roman"/>
                <w:caps w:val="0"/>
                <w:smallCaps w:val="0"/>
                <w:color w:val="auto"/>
                <w:spacing w:val="0"/>
                <w:w w:val="100"/>
                <w:kern w:val="0"/>
                <w:position w:val="0"/>
                <w:sz w:val="24"/>
                <w:szCs w:val="24"/>
                <w:lang w:val="en-US" w:eastAsia="zh-CN" w:bidi="ar"/>
              </w:rPr>
              <w:t>。</w:t>
            </w:r>
            <w:r>
              <w:rPr>
                <w:rFonts w:hint="default" w:ascii="Times New Roman" w:hAnsi="Times New Roman" w:eastAsia="宋体" w:cs="Times New Roman"/>
                <w:color w:val="auto"/>
                <w:sz w:val="24"/>
                <w:szCs w:val="24"/>
              </w:rPr>
              <w:t>事故池采取防渗措施并配套三通阀门（手动+自动）。</w:t>
            </w:r>
          </w:p>
          <w:p w14:paraId="4F31A5EB">
            <w:pPr>
              <w:pStyle w:val="7"/>
              <w:pageBreakBefore w:val="0"/>
              <w:numPr>
                <w:ilvl w:val="4"/>
                <w:numId w:val="0"/>
              </w:numPr>
              <w:tabs>
                <w:tab w:val="left" w:pos="1002"/>
              </w:tabs>
              <w:kinsoku/>
              <w:wordWrap/>
              <w:overflowPunct/>
              <w:topLinePunct w:val="0"/>
              <w:autoSpaceDE/>
              <w:autoSpaceDN/>
              <w:bidi w:val="0"/>
              <w:snapToGrid/>
              <w:spacing w:beforeLines="0" w:afterLines="0" w:line="360" w:lineRule="auto"/>
              <w:ind w:leftChars="0" w:firstLine="482"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二、三级防控体系</w:t>
            </w:r>
          </w:p>
          <w:p w14:paraId="7F4E377C">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为防止事故废水对地表水体造成污染，</w:t>
            </w:r>
            <w:r>
              <w:rPr>
                <w:rFonts w:hint="default" w:ascii="Times New Roman" w:hAnsi="Times New Roman" w:eastAsia="宋体" w:cs="Times New Roman"/>
                <w:spacing w:val="0"/>
                <w:w w:val="100"/>
                <w:sz w:val="24"/>
                <w:szCs w:val="24"/>
              </w:rPr>
              <w:t>厂区事采取三级防控措施。</w:t>
            </w:r>
          </w:p>
          <w:p w14:paraId="4042718D">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pacing w:val="0"/>
                <w:w w:val="100"/>
                <w:sz w:val="24"/>
                <w:szCs w:val="24"/>
                <w:lang w:val="en-US" w:eastAsia="zh-CN"/>
              </w:rPr>
            </w:pPr>
            <w:r>
              <w:rPr>
                <w:rFonts w:hint="default" w:ascii="Times New Roman" w:hAnsi="Times New Roman" w:eastAsia="宋体" w:cs="Times New Roman"/>
                <w:spacing w:val="0"/>
                <w:w w:val="100"/>
                <w:sz w:val="24"/>
                <w:szCs w:val="24"/>
              </w:rPr>
              <w:t>一级防控措施：生产厂房和仓库等其他区域导流沟</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确保事故状态泄露物料有效收集；储罐全部露天布置</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设置防火堤和罐区围堰</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围堰均进行防渗漏处理</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管道穿越围堰处采用非燃烧材料严密封闭</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在围堰内雨水沟穿越处</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设防止物料流出堤外的措施。围堰内设有排水沟</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围堰外设有阀门井与围堰内排水沟相接</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正常时阀门井内阀门打开</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事故时阀门井内阀门关闭。易燃易爆及有毒有害物储存区的消防排水进入事故应急池。</w:t>
            </w:r>
          </w:p>
          <w:p w14:paraId="09DB1DC3">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pacing w:val="0"/>
                <w:w w:val="100"/>
                <w:sz w:val="24"/>
                <w:szCs w:val="24"/>
              </w:rPr>
            </w:pPr>
            <w:r>
              <w:rPr>
                <w:rFonts w:hint="default" w:ascii="Times New Roman" w:hAnsi="Times New Roman" w:eastAsia="宋体" w:cs="Times New Roman"/>
                <w:spacing w:val="0"/>
                <w:w w:val="100"/>
                <w:sz w:val="24"/>
                <w:szCs w:val="24"/>
              </w:rPr>
              <w:t>二级防控措施：厂区设置</w:t>
            </w:r>
            <w:r>
              <w:rPr>
                <w:rFonts w:hint="default" w:ascii="Times New Roman" w:hAnsi="Times New Roman" w:eastAsia="宋体" w:cs="Times New Roman"/>
                <w:spacing w:val="0"/>
                <w:w w:val="100"/>
                <w:sz w:val="24"/>
                <w:szCs w:val="24"/>
                <w:lang w:val="en-US" w:eastAsia="zh-CN"/>
              </w:rPr>
              <w:t>1</w:t>
            </w:r>
            <w:r>
              <w:rPr>
                <w:rFonts w:hint="default" w:ascii="Times New Roman" w:hAnsi="Times New Roman" w:eastAsia="宋体" w:cs="Times New Roman"/>
                <w:spacing w:val="0"/>
                <w:w w:val="100"/>
                <w:sz w:val="24"/>
                <w:szCs w:val="24"/>
              </w:rPr>
              <w:t>座容积</w:t>
            </w:r>
            <w:r>
              <w:rPr>
                <w:rFonts w:hint="default" w:ascii="Times New Roman" w:hAnsi="Times New Roman" w:eastAsia="宋体" w:cs="Times New Roman"/>
                <w:spacing w:val="0"/>
                <w:w w:val="100"/>
                <w:sz w:val="24"/>
                <w:szCs w:val="24"/>
                <w:lang w:val="en-US" w:eastAsia="zh-CN"/>
              </w:rPr>
              <w:t>400</w:t>
            </w:r>
            <w:r>
              <w:rPr>
                <w:rFonts w:hint="default" w:ascii="Times New Roman" w:hAnsi="Times New Roman" w:eastAsia="宋体" w:cs="Times New Roman"/>
                <w:spacing w:val="0"/>
                <w:w w:val="100"/>
                <w:sz w:val="24"/>
                <w:szCs w:val="24"/>
              </w:rPr>
              <w:t>m</w:t>
            </w:r>
            <w:r>
              <w:rPr>
                <w:rFonts w:hint="default" w:ascii="Times New Roman" w:hAnsi="Times New Roman" w:eastAsia="宋体" w:cs="Times New Roman"/>
                <w:spacing w:val="0"/>
                <w:w w:val="100"/>
                <w:sz w:val="24"/>
                <w:szCs w:val="24"/>
                <w:vertAlign w:val="superscript"/>
              </w:rPr>
              <w:t>3</w:t>
            </w:r>
            <w:r>
              <w:rPr>
                <w:rFonts w:hint="default" w:ascii="Times New Roman" w:hAnsi="Times New Roman" w:eastAsia="宋体" w:cs="Times New Roman"/>
                <w:spacing w:val="0"/>
                <w:w w:val="100"/>
                <w:sz w:val="24"/>
                <w:szCs w:val="24"/>
              </w:rPr>
              <w:t>事故池</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是在厂区事故废水收集池、雨排口切断装置及拦污装置</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为事故状态下的储存和调节手段</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将消防废水等产生量大的事故废水控制在厂区内</w:t>
            </w:r>
            <w:r>
              <w:rPr>
                <w:rFonts w:hint="default" w:ascii="Times New Roman" w:hAnsi="Times New Roman" w:eastAsia="宋体" w:cs="Times New Roman"/>
                <w:spacing w:val="0"/>
                <w:w w:val="100"/>
                <w:sz w:val="24"/>
                <w:szCs w:val="24"/>
                <w:lang w:eastAsia="zh-CN"/>
              </w:rPr>
              <w:t>，</w:t>
            </w:r>
            <w:r>
              <w:rPr>
                <w:rFonts w:hint="default" w:ascii="Times New Roman" w:hAnsi="Times New Roman" w:eastAsia="宋体" w:cs="Times New Roman"/>
                <w:spacing w:val="0"/>
                <w:w w:val="100"/>
                <w:sz w:val="24"/>
                <w:szCs w:val="24"/>
              </w:rPr>
              <w:t>防止重大事故泄漏污染和消防废水造成的环境污染。</w:t>
            </w:r>
          </w:p>
          <w:p w14:paraId="5558B0A7">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spacing w:val="0"/>
                <w:w w:val="100"/>
                <w:sz w:val="24"/>
                <w:szCs w:val="24"/>
                <w:lang w:val="en-US" w:eastAsia="zh-CN"/>
              </w:rPr>
            </w:pPr>
            <w:r>
              <w:rPr>
                <w:rFonts w:hint="default" w:ascii="Times New Roman" w:hAnsi="Times New Roman" w:eastAsia="宋体" w:cs="Times New Roman"/>
                <w:spacing w:val="0"/>
                <w:w w:val="100"/>
                <w:sz w:val="24"/>
                <w:szCs w:val="24"/>
              </w:rPr>
              <w:t>三级防控措施：依托园区</w:t>
            </w:r>
            <w:r>
              <w:rPr>
                <w:rFonts w:hint="eastAsia" w:cs="Times New Roman"/>
                <w:spacing w:val="0"/>
                <w:w w:val="100"/>
                <w:sz w:val="24"/>
                <w:szCs w:val="24"/>
                <w:lang w:eastAsia="zh-CN"/>
              </w:rPr>
              <w:t>污水处理</w:t>
            </w:r>
            <w:r>
              <w:rPr>
                <w:rFonts w:hint="eastAsia" w:cs="Times New Roman"/>
                <w:spacing w:val="0"/>
                <w:w w:val="100"/>
                <w:sz w:val="24"/>
                <w:szCs w:val="24"/>
                <w:lang w:val="en-US" w:eastAsia="zh-CN"/>
              </w:rPr>
              <w:t>厂</w:t>
            </w:r>
            <w:r>
              <w:rPr>
                <w:rFonts w:hint="default" w:ascii="Times New Roman" w:hAnsi="Times New Roman" w:eastAsia="宋体" w:cs="Times New Roman"/>
                <w:spacing w:val="0"/>
                <w:w w:val="100"/>
                <w:sz w:val="24"/>
                <w:szCs w:val="24"/>
              </w:rPr>
              <w:t>进行处理。</w:t>
            </w:r>
          </w:p>
          <w:p w14:paraId="1C0D69C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aps w:val="0"/>
                <w:smallCaps w:val="0"/>
                <w:color w:val="auto"/>
                <w:spacing w:val="0"/>
                <w:w w:val="100"/>
                <w:position w:val="0"/>
                <w:lang w:val="en-US" w:eastAsia="zh-CN"/>
              </w:rPr>
            </w:pPr>
            <w:r>
              <w:drawing>
                <wp:inline distT="0" distB="0" distL="114300" distR="114300">
                  <wp:extent cx="5950585" cy="2960370"/>
                  <wp:effectExtent l="0" t="0" r="8255" b="11430"/>
                  <wp:docPr id="4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
                          <pic:cNvPicPr>
                            <a:picLocks noChangeAspect="1"/>
                          </pic:cNvPicPr>
                        </pic:nvPicPr>
                        <pic:blipFill>
                          <a:blip r:embed="rId43"/>
                          <a:stretch>
                            <a:fillRect/>
                          </a:stretch>
                        </pic:blipFill>
                        <pic:spPr>
                          <a:xfrm>
                            <a:off x="0" y="0"/>
                            <a:ext cx="5950585" cy="2960370"/>
                          </a:xfrm>
                          <a:prstGeom prst="rect">
                            <a:avLst/>
                          </a:prstGeom>
                          <a:noFill/>
                          <a:ln>
                            <a:noFill/>
                          </a:ln>
                        </pic:spPr>
                      </pic:pic>
                    </a:graphicData>
                  </a:graphic>
                </wp:inline>
              </w:drawing>
            </w:r>
          </w:p>
          <w:p w14:paraId="3425BBA4">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jc w:val="center"/>
              <w:textAlignment w:val="auto"/>
              <w:rPr>
                <w:rFonts w:hint="eastAsia" w:ascii="Times New Roman" w:hAnsi="Times New Roman"/>
                <w:b/>
                <w:bCs/>
                <w:caps w:val="0"/>
                <w:smallCaps w:val="0"/>
                <w:color w:val="auto"/>
                <w:spacing w:val="0"/>
                <w:w w:val="100"/>
                <w:position w:val="0"/>
                <w:sz w:val="21"/>
                <w:szCs w:val="21"/>
                <w:lang w:val="en-US" w:eastAsia="zh-CN"/>
              </w:rPr>
            </w:pPr>
            <w:r>
              <w:rPr>
                <w:rFonts w:hint="eastAsia" w:ascii="Times New Roman" w:hAnsi="Times New Roman" w:eastAsia="宋体"/>
                <w:b/>
                <w:bCs/>
                <w:caps w:val="0"/>
                <w:smallCaps w:val="0"/>
                <w:color w:val="auto"/>
                <w:spacing w:val="0"/>
                <w:w w:val="100"/>
                <w:position w:val="0"/>
                <w:sz w:val="21"/>
                <w:szCs w:val="21"/>
                <w:lang w:val="en-US" w:eastAsia="zh-CN"/>
              </w:rPr>
              <w:t>图</w:t>
            </w:r>
            <w:r>
              <w:rPr>
                <w:rFonts w:hint="eastAsia"/>
                <w:b/>
                <w:bCs/>
                <w:caps w:val="0"/>
                <w:smallCaps w:val="0"/>
                <w:color w:val="auto"/>
                <w:spacing w:val="0"/>
                <w:w w:val="100"/>
                <w:position w:val="0"/>
                <w:sz w:val="21"/>
                <w:szCs w:val="21"/>
                <w:lang w:val="en-US" w:eastAsia="zh-CN"/>
              </w:rPr>
              <w:t>6</w:t>
            </w:r>
            <w:r>
              <w:rPr>
                <w:rFonts w:hint="eastAsia" w:ascii="Times New Roman" w:hAnsi="Times New Roman"/>
                <w:b/>
                <w:bCs/>
                <w:caps w:val="0"/>
                <w:smallCaps w:val="0"/>
                <w:color w:val="auto"/>
                <w:spacing w:val="0"/>
                <w:w w:val="100"/>
                <w:position w:val="0"/>
                <w:sz w:val="21"/>
                <w:szCs w:val="21"/>
                <w:lang w:val="en-US" w:eastAsia="zh-CN"/>
              </w:rPr>
              <w:t>-</w:t>
            </w:r>
            <w:r>
              <w:rPr>
                <w:rFonts w:hint="eastAsia" w:ascii="Times New Roman" w:hAnsi="Times New Roman" w:eastAsia="宋体"/>
                <w:b/>
                <w:bCs/>
                <w:caps w:val="0"/>
                <w:smallCaps w:val="0"/>
                <w:color w:val="auto"/>
                <w:spacing w:val="0"/>
                <w:w w:val="100"/>
                <w:position w:val="0"/>
                <w:sz w:val="21"/>
                <w:szCs w:val="21"/>
                <w:lang w:val="en-US" w:eastAsia="zh-CN"/>
              </w:rPr>
              <w:t>1  事故废水防范和处理流程图</w:t>
            </w:r>
          </w:p>
          <w:p w14:paraId="1AF35BDA">
            <w:pPr>
              <w:pageBreakBefore w:val="0"/>
              <w:widowControl w:val="0"/>
              <w:kinsoku/>
              <w:wordWrap/>
              <w:overflowPunct/>
              <w:topLinePunct w:val="0"/>
              <w:autoSpaceDE/>
              <w:autoSpaceDN/>
              <w:bidi w:val="0"/>
              <w:adjustRightInd/>
              <w:snapToGrid/>
              <w:spacing w:line="480" w:lineRule="atLeast"/>
              <w:ind w:firstLine="480" w:firstLineChars="200"/>
              <w:textAlignment w:val="auto"/>
              <w:rPr>
                <w:rFonts w:hint="eastAsia" w:ascii="宋体" w:hAnsi="宋体" w:eastAsia="宋体" w:cs="宋体"/>
                <w:caps w:val="0"/>
                <w:color w:val="auto"/>
                <w:spacing w:val="0"/>
                <w:sz w:val="24"/>
                <w:szCs w:val="24"/>
              </w:rPr>
            </w:pPr>
            <w:r>
              <w:rPr>
                <w:rFonts w:hint="eastAsia" w:ascii="宋体" w:hAnsi="宋体" w:eastAsia="宋体" w:cs="宋体"/>
                <w:caps w:val="0"/>
                <w:color w:val="auto"/>
                <w:spacing w:val="0"/>
                <w:sz w:val="24"/>
              </w:rPr>
              <w:t>根据以上分析，结合项目实际情况，本项目可保证所有事故废水均收集至厂区内事故池，不外排，不</w:t>
            </w:r>
            <w:r>
              <w:rPr>
                <w:rFonts w:hint="eastAsia" w:ascii="宋体" w:hAnsi="宋体" w:eastAsia="宋体" w:cs="宋体"/>
                <w:caps w:val="0"/>
                <w:color w:val="auto"/>
                <w:spacing w:val="0"/>
                <w:sz w:val="24"/>
                <w:szCs w:val="24"/>
              </w:rPr>
              <w:t>会对区域地表水环境造成不利影响。</w:t>
            </w:r>
          </w:p>
          <w:p w14:paraId="6997247C">
            <w:pPr>
              <w:pStyle w:val="6"/>
              <w:pageBreakBefore w:val="0"/>
              <w:widowControl w:val="0"/>
              <w:tabs>
                <w:tab w:val="left" w:pos="0"/>
                <w:tab w:val="left" w:pos="710"/>
              </w:tabs>
              <w:kinsoku/>
              <w:wordWrap/>
              <w:overflowPunct/>
              <w:topLinePunct w:val="0"/>
              <w:autoSpaceDE/>
              <w:autoSpaceDN/>
              <w:bidi w:val="0"/>
              <w:adjustRightInd/>
              <w:snapToGrid/>
              <w:spacing w:before="0" w:after="0" w:line="480" w:lineRule="atLeas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4.6.2.4地下水及土壤环境风险防范措施</w:t>
            </w:r>
          </w:p>
          <w:p w14:paraId="7C8BB6DA">
            <w:pPr>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根据报告表正文，地下水及土壤环境风险防范措施为：</w:t>
            </w:r>
            <w:r>
              <w:rPr>
                <w:rFonts w:hint="default" w:ascii="Times New Roman" w:hAnsi="Times New Roman" w:eastAsia="宋体" w:cs="Times New Roman"/>
                <w:color w:val="auto"/>
                <w:spacing w:val="0"/>
                <w:kern w:val="0"/>
                <w:position w:val="0"/>
                <w:sz w:val="24"/>
                <w:szCs w:val="24"/>
                <w:lang w:val="en-US" w:eastAsia="zh-CN" w:bidi="ar"/>
              </w:rPr>
              <w:t>拟对</w:t>
            </w:r>
            <w:r>
              <w:rPr>
                <w:rFonts w:hint="default" w:ascii="Times New Roman" w:hAnsi="Times New Roman" w:cs="Times New Roman"/>
                <w:color w:val="auto"/>
                <w:spacing w:val="0"/>
                <w:kern w:val="0"/>
                <w:position w:val="0"/>
                <w:sz w:val="24"/>
                <w:szCs w:val="24"/>
                <w:lang w:val="en-US" w:eastAsia="zh-CN" w:bidi="ar"/>
              </w:rPr>
              <w:t>危废库、片碱库</w:t>
            </w:r>
            <w:r>
              <w:rPr>
                <w:rFonts w:hint="default" w:ascii="Times New Roman" w:hAnsi="Times New Roman" w:eastAsia="宋体" w:cs="Times New Roman"/>
                <w:color w:val="auto"/>
                <w:spacing w:val="0"/>
                <w:kern w:val="0"/>
                <w:position w:val="0"/>
                <w:sz w:val="24"/>
                <w:szCs w:val="24"/>
                <w:lang w:val="en-US" w:eastAsia="zh-CN" w:bidi="ar"/>
              </w:rPr>
              <w:t>、</w:t>
            </w:r>
            <w:r>
              <w:rPr>
                <w:rFonts w:hint="eastAsia" w:ascii="Times New Roman" w:hAnsi="Times New Roman" w:cs="Times New Roman"/>
                <w:color w:val="auto"/>
                <w:spacing w:val="0"/>
                <w:kern w:val="0"/>
                <w:position w:val="0"/>
                <w:sz w:val="24"/>
                <w:szCs w:val="24"/>
                <w:lang w:val="en-US" w:eastAsia="zh-CN" w:bidi="ar"/>
              </w:rPr>
              <w:t>污水处理池</w:t>
            </w:r>
            <w:r>
              <w:rPr>
                <w:rFonts w:hint="default" w:ascii="Times New Roman" w:hAnsi="Times New Roman" w:eastAsia="宋体" w:cs="Times New Roman"/>
                <w:color w:val="auto"/>
                <w:spacing w:val="0"/>
                <w:kern w:val="0"/>
                <w:position w:val="0"/>
                <w:sz w:val="24"/>
                <w:szCs w:val="24"/>
                <w:lang w:val="en-US" w:eastAsia="zh-CN" w:bidi="ar"/>
              </w:rPr>
              <w:t>、车间沉淀池、事故应急池设置重点防渗，办公休息区设置简单防渗，重点防渗区和简单防渗区以外区域设置一般防渗。</w:t>
            </w:r>
          </w:p>
          <w:p w14:paraId="5C17BAE8">
            <w:pPr>
              <w:pStyle w:val="6"/>
              <w:pageBreakBefore w:val="0"/>
              <w:widowControl w:val="0"/>
              <w:tabs>
                <w:tab w:val="left" w:pos="0"/>
                <w:tab w:val="left" w:pos="710"/>
              </w:tabs>
              <w:kinsoku/>
              <w:wordWrap/>
              <w:overflowPunct/>
              <w:topLinePunct w:val="0"/>
              <w:autoSpaceDE/>
              <w:autoSpaceDN/>
              <w:bidi w:val="0"/>
              <w:adjustRightInd/>
              <w:snapToGrid/>
              <w:spacing w:before="0" w:after="0" w:line="480" w:lineRule="atLeas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4.6.2.5</w:t>
            </w:r>
            <w:r>
              <w:rPr>
                <w:rFonts w:hint="default" w:ascii="Times New Roman" w:hAnsi="Times New Roman" w:eastAsia="宋体" w:cs="Times New Roman"/>
                <w:sz w:val="24"/>
                <w:szCs w:val="24"/>
              </w:rPr>
              <w:t>火灾爆炸事故安全防范措施</w:t>
            </w:r>
          </w:p>
          <w:p w14:paraId="32B1800E">
            <w:pPr>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化学品在储运过程中应在包装上标识特性；仓库设置防火、禁止吸烟等标志；注意防潮、远离热源、火种。与建（构）筑物之间的防火间距、消防通道等要满足消防规范。</w:t>
            </w:r>
          </w:p>
          <w:p w14:paraId="450701BD">
            <w:pPr>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严格控制火源：严格在化学品仓、储罐区附近吸烟和违章用火；防止金属撞击及静电火花发产生；定期测试线路绝缘防止线路老化着火；电气设施符合防爆等级要求等措施。</w:t>
            </w:r>
          </w:p>
          <w:p w14:paraId="145C1A81">
            <w:pPr>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生产区严禁吸烟，一切易燃品（火 油、汽油等）严禁带入原料场。</w:t>
            </w:r>
          </w:p>
          <w:p w14:paraId="2C960857">
            <w:pPr>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厂区消防水采用独立稳高压消防供水系统，消防水管道沿装置及辅助生产设施周围布置，在管道上按照规范要求配置消火栓及消防水炮；原材料储区用固定式泡沫灭火系统。</w:t>
            </w:r>
          </w:p>
          <w:p w14:paraId="10029DA6">
            <w:pPr>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cs="Times New Roman"/>
                <w:color w:val="auto"/>
                <w:spacing w:val="0"/>
                <w:position w:val="0"/>
                <w:sz w:val="24"/>
                <w:szCs w:val="32"/>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全厂采用电话报警，报警至消防局。根据需要设置报警装置。火灾报警信号报至中心控制室，再由中心控制室报至消防局。</w:t>
            </w:r>
          </w:p>
        </w:tc>
      </w:tr>
      <w:tr w14:paraId="6B8B68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326" w:hRule="atLeast"/>
          <w:jc w:val="center"/>
        </w:trPr>
        <w:tc>
          <w:tcPr>
            <w:tcW w:w="703" w:type="dxa"/>
            <w:vAlign w:val="center"/>
          </w:tcPr>
          <w:p w14:paraId="5D1A7174">
            <w:pPr>
              <w:adjustRightInd w:val="0"/>
              <w:snapToGrid w:val="0"/>
              <w:spacing w:line="440" w:lineRule="exact"/>
              <w:jc w:val="center"/>
              <w:rPr>
                <w:rFonts w:hint="default" w:ascii="Times New Roman" w:hAnsi="Times New Roman" w:cs="Times New Roman"/>
                <w:b/>
                <w:color w:val="auto"/>
                <w:spacing w:val="0"/>
                <w:position w:val="0"/>
                <w:sz w:val="24"/>
              </w:rPr>
            </w:pPr>
          </w:p>
        </w:tc>
        <w:tc>
          <w:tcPr>
            <w:tcW w:w="9258" w:type="dxa"/>
          </w:tcPr>
          <w:p w14:paraId="517C2D59">
            <w:pPr>
              <w:pStyle w:val="48"/>
              <w:spacing w:line="480" w:lineRule="atLeast"/>
              <w:ind w:left="0" w:leftChars="0" w:firstLine="0" w:firstLineChars="0"/>
              <w:jc w:val="left"/>
              <w:rPr>
                <w:rFonts w:hint="default" w:ascii="Times New Roman" w:hAnsi="Times New Roman" w:cs="Times New Roman"/>
                <w:b/>
                <w:bCs/>
                <w:color w:val="auto"/>
                <w:spacing w:val="0"/>
                <w:position w:val="0"/>
                <w:lang w:val="en-US" w:eastAsia="zh-CN"/>
              </w:rPr>
            </w:pPr>
            <w:r>
              <w:rPr>
                <w:rFonts w:hint="eastAsia" w:ascii="Times New Roman" w:hAnsi="Times New Roman" w:cs="Times New Roman"/>
                <w:b/>
                <w:bCs/>
                <w:color w:val="auto"/>
                <w:spacing w:val="0"/>
                <w:position w:val="0"/>
                <w:lang w:val="en-US" w:eastAsia="zh-CN"/>
              </w:rPr>
              <w:t>4.7污染物排放清单</w:t>
            </w:r>
          </w:p>
          <w:p w14:paraId="4E51D6DC">
            <w:pPr>
              <w:pageBreakBefore w:val="0"/>
              <w:widowControl w:val="0"/>
              <w:kinsoku/>
              <w:wordWrap/>
              <w:overflowPunct/>
              <w:topLinePunct w:val="0"/>
              <w:autoSpaceDE/>
              <w:autoSpaceDN/>
              <w:bidi w:val="0"/>
              <w:adjustRightInd/>
              <w:snapToGrid/>
              <w:spacing w:before="0" w:beforeAutospacing="0" w:after="0" w:afterAutospacing="0" w:line="480" w:lineRule="atLeast"/>
              <w:ind w:left="0" w:leftChars="0" w:firstLine="482" w:firstLineChars="200"/>
              <w:jc w:val="both"/>
              <w:textAlignment w:val="auto"/>
              <w:rPr>
                <w:rFonts w:hint="default" w:ascii="Times New Roman" w:hAnsi="Times New Roman" w:eastAsia="宋体" w:cs="Times New Roman"/>
                <w:b/>
                <w:bCs/>
                <w:color w:val="auto"/>
                <w:kern w:val="0"/>
                <w:sz w:val="24"/>
                <w:szCs w:val="20"/>
                <w:lang w:val="en-US" w:eastAsia="zh-CN" w:bidi="ar-SA"/>
              </w:rPr>
            </w:pPr>
            <w:r>
              <w:rPr>
                <w:rFonts w:hint="default" w:ascii="Times New Roman" w:hAnsi="Times New Roman" w:eastAsia="宋体" w:cs="Times New Roman"/>
                <w:b/>
                <w:bCs/>
                <w:color w:val="auto"/>
                <w:kern w:val="2"/>
                <w:sz w:val="24"/>
                <w:szCs w:val="21"/>
                <w:lang w:val="en-US" w:eastAsia="zh-CN" w:bidi="ar"/>
              </w:rPr>
              <w:t>1、有组织</w:t>
            </w:r>
            <w:r>
              <w:rPr>
                <w:rFonts w:hint="eastAsia" w:ascii="Times New Roman" w:hAnsi="Times New Roman" w:eastAsia="宋体" w:cs="Times New Roman"/>
                <w:b/>
                <w:bCs/>
                <w:color w:val="auto"/>
                <w:kern w:val="2"/>
                <w:sz w:val="24"/>
                <w:szCs w:val="21"/>
                <w:lang w:val="en-US" w:eastAsia="zh-CN" w:bidi="ar"/>
              </w:rPr>
              <w:t>废气</w:t>
            </w:r>
            <w:r>
              <w:rPr>
                <w:rFonts w:hint="default" w:ascii="Times New Roman" w:hAnsi="Times New Roman" w:eastAsia="宋体" w:cs="Times New Roman"/>
                <w:b/>
                <w:bCs/>
                <w:color w:val="auto"/>
                <w:kern w:val="2"/>
                <w:sz w:val="24"/>
                <w:szCs w:val="21"/>
                <w:lang w:val="en-US" w:eastAsia="zh-CN" w:bidi="ar"/>
              </w:rPr>
              <w:t>排放量核算</w:t>
            </w:r>
          </w:p>
          <w:p w14:paraId="77D8C3D7">
            <w:pPr>
              <w:pageBreakBefore w:val="0"/>
              <w:widowControl w:val="0"/>
              <w:kinsoku/>
              <w:wordWrap/>
              <w:overflowPunct/>
              <w:topLinePunct w:val="0"/>
              <w:autoSpaceDE/>
              <w:autoSpaceDN/>
              <w:bidi w:val="0"/>
              <w:adjustRightInd/>
              <w:snapToGrid/>
              <w:spacing w:line="480" w:lineRule="atLeast"/>
              <w:ind w:left="0" w:leftChars="0"/>
              <w:jc w:val="center"/>
              <w:textAlignment w:val="auto"/>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表4-</w:t>
            </w:r>
            <w:r>
              <w:rPr>
                <w:rFonts w:hint="eastAsia" w:ascii="Times New Roman" w:hAnsi="Times New Roman" w:eastAsia="宋体" w:cs="Times New Roman"/>
                <w:b/>
                <w:bCs/>
                <w:color w:val="auto"/>
                <w:kern w:val="2"/>
                <w:sz w:val="21"/>
                <w:szCs w:val="21"/>
                <w:lang w:val="en-US" w:eastAsia="zh-CN" w:bidi="ar-SA"/>
              </w:rPr>
              <w:t>37</w:t>
            </w:r>
            <w:r>
              <w:rPr>
                <w:rFonts w:hint="default" w:ascii="Times New Roman" w:hAnsi="Times New Roman" w:eastAsia="宋体" w:cs="Times New Roman"/>
                <w:b/>
                <w:bCs/>
                <w:color w:val="auto"/>
                <w:kern w:val="2"/>
                <w:sz w:val="21"/>
                <w:szCs w:val="21"/>
                <w:lang w:val="en-US" w:eastAsia="zh-CN" w:bidi="ar-SA"/>
              </w:rPr>
              <w:t xml:space="preserve">  大气污染物有组织排放量核算表</w:t>
            </w:r>
          </w:p>
          <w:tbl>
            <w:tblPr>
              <w:tblStyle w:val="26"/>
              <w:tblW w:w="89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9"/>
              <w:gridCol w:w="945"/>
              <w:gridCol w:w="3138"/>
              <w:gridCol w:w="1521"/>
              <w:gridCol w:w="1325"/>
              <w:gridCol w:w="1370"/>
            </w:tblGrid>
            <w:tr w14:paraId="7F99E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7B35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322E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排放口编号</w:t>
                  </w: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D54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污染物</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DBE2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核算排放浓度（</w:t>
                  </w:r>
                  <w:r>
                    <w:rPr>
                      <w:rFonts w:hint="default" w:ascii="Times New Roman" w:hAnsi="Times New Roman" w:eastAsia="宋体" w:cs="Times New Roman"/>
                      <w:b/>
                      <w:bCs/>
                      <w:i w:val="0"/>
                      <w:iCs w:val="0"/>
                      <w:color w:val="000000"/>
                      <w:kern w:val="0"/>
                      <w:sz w:val="21"/>
                      <w:szCs w:val="21"/>
                      <w:u w:val="none"/>
                      <w:lang w:val="en-US" w:eastAsia="zh-CN" w:bidi="ar"/>
                    </w:rPr>
                    <w:t>mg/m</w:t>
                  </w:r>
                  <w:r>
                    <w:rPr>
                      <w:rFonts w:hint="default" w:ascii="Times New Roman" w:hAnsi="Times New Roman" w:eastAsia="宋体" w:cs="Times New Roman"/>
                      <w:b/>
                      <w:bCs/>
                      <w:i w:val="0"/>
                      <w:iCs w:val="0"/>
                      <w:color w:val="000000"/>
                      <w:kern w:val="0"/>
                      <w:sz w:val="21"/>
                      <w:szCs w:val="21"/>
                      <w:u w:val="none"/>
                      <w:vertAlign w:val="superscript"/>
                      <w:lang w:val="en-US" w:eastAsia="zh-CN" w:bidi="ar"/>
                    </w:rPr>
                    <w:t>3</w:t>
                  </w:r>
                  <w:r>
                    <w:rPr>
                      <w:rFonts w:hint="eastAsia" w:ascii="宋体" w:hAnsi="宋体" w:eastAsia="宋体" w:cs="宋体"/>
                      <w:b/>
                      <w:bCs/>
                      <w:i w:val="0"/>
                      <w:iCs w:val="0"/>
                      <w:color w:val="000000"/>
                      <w:kern w:val="0"/>
                      <w:sz w:val="21"/>
                      <w:szCs w:val="21"/>
                      <w:u w:val="none"/>
                      <w:lang w:val="en-US" w:eastAsia="zh-CN" w:bidi="ar"/>
                    </w:rPr>
                    <w:t>）</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3BA1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核算排放速率</w:t>
                  </w:r>
                  <w:r>
                    <w:rPr>
                      <w:rFonts w:hint="default" w:ascii="Times New Roman" w:hAnsi="Times New Roman" w:eastAsia="宋体" w:cs="Times New Roman"/>
                      <w:b/>
                      <w:bCs/>
                      <w:i w:val="0"/>
                      <w:iCs w:val="0"/>
                      <w:color w:val="000000"/>
                      <w:kern w:val="0"/>
                      <w:sz w:val="21"/>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kg/h</w:t>
                  </w:r>
                  <w:r>
                    <w:rPr>
                      <w:rFonts w:hint="eastAsia" w:ascii="宋体" w:hAnsi="宋体" w:eastAsia="宋体" w:cs="宋体"/>
                      <w:b/>
                      <w:bCs/>
                      <w:i w:val="0"/>
                      <w:iCs w:val="0"/>
                      <w:color w:val="000000"/>
                      <w:kern w:val="0"/>
                      <w:sz w:val="21"/>
                      <w:szCs w:val="21"/>
                      <w:u w:val="none"/>
                      <w:lang w:val="en-US" w:eastAsia="zh-CN" w:bidi="ar"/>
                    </w:rPr>
                    <w:t>）</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402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核算年排放量</w:t>
                  </w:r>
                  <w:r>
                    <w:rPr>
                      <w:rFonts w:hint="default" w:ascii="Times New Roman" w:hAnsi="Times New Roman" w:eastAsia="宋体" w:cs="Times New Roman"/>
                      <w:b/>
                      <w:bCs/>
                      <w:i w:val="0"/>
                      <w:iCs w:val="0"/>
                      <w:color w:val="000000"/>
                      <w:kern w:val="0"/>
                      <w:sz w:val="21"/>
                      <w:szCs w:val="21"/>
                      <w:u w:val="none"/>
                      <w:lang w:val="en-US" w:eastAsia="zh-CN" w:bidi="ar"/>
                    </w:rPr>
                    <w:t xml:space="preserve">/ </w:t>
                  </w:r>
                  <w:r>
                    <w:rPr>
                      <w:rFonts w:hint="eastAsia" w:ascii="宋体" w:hAnsi="宋体" w:eastAsia="宋体" w:cs="宋体"/>
                      <w:b/>
                      <w:bCs/>
                      <w:i w:val="0"/>
                      <w:iCs w:val="0"/>
                      <w:color w:val="000000"/>
                      <w:kern w:val="0"/>
                      <w:sz w:val="21"/>
                      <w:szCs w:val="21"/>
                      <w:u w:val="none"/>
                      <w:lang w:val="en-US" w:eastAsia="zh-CN" w:bidi="ar"/>
                    </w:rPr>
                    <w:t>（</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r>
            <w:tr w14:paraId="2F203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89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F8897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主要排放口</w:t>
                  </w:r>
                </w:p>
              </w:tc>
            </w:tr>
            <w:tr w14:paraId="62173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BAB0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157E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DA001</w:t>
                  </w: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3D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FC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4.18E-05</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01E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4.18E-07</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7A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3.01E-06</w:t>
                  </w:r>
                </w:p>
              </w:tc>
            </w:tr>
            <w:tr w14:paraId="460CE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6F1A6">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42018">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54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88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25.586</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2C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0.256</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035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1.842</w:t>
                  </w:r>
                </w:p>
              </w:tc>
            </w:tr>
            <w:tr w14:paraId="3F28E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EE48A">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97F4A">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A5A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E5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0.063</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E5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0.001</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F7C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r>
            <w:tr w14:paraId="5FE5D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C139C">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36D5A">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476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锡及其化合物</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1A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5.50E-04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A8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5.50E-06</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55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3.96E-05</w:t>
                  </w:r>
                </w:p>
              </w:tc>
            </w:tr>
            <w:tr w14:paraId="7E96D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AE56F">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A151A">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EDE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88DD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1.03E-02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A8BC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1.03E-04</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64A6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7.43E-04</w:t>
                  </w:r>
                </w:p>
              </w:tc>
            </w:tr>
            <w:tr w14:paraId="48CA8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6C6C6">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3D914">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5DB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1D8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2.888</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CB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0.029</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8B7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0.208</w:t>
                  </w:r>
                </w:p>
              </w:tc>
            </w:tr>
            <w:tr w14:paraId="666D6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DFBAC">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BEF94">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61A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138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8.944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DA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0.089</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9C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0.644</w:t>
                  </w:r>
                </w:p>
              </w:tc>
            </w:tr>
            <w:tr w14:paraId="6CA65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81D9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6732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DA003</w:t>
                  </w: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A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E4B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4.18E-05</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8C9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4.18E-07</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CB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3.01E-06</w:t>
                  </w:r>
                </w:p>
              </w:tc>
            </w:tr>
            <w:tr w14:paraId="468CF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2E9F1">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B544B">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2E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9CE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25.586</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59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0.256</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421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1.842</w:t>
                  </w:r>
                </w:p>
              </w:tc>
            </w:tr>
            <w:tr w14:paraId="32FEF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E3C6C">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995E9">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E4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3E0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0.063</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D1A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0.001</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BA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r>
            <w:tr w14:paraId="185A4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E8180">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9A7C5">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97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锡及其化合物</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8D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5.50E-04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E83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5.50E-06</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E79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3.96E-05</w:t>
                  </w:r>
                </w:p>
              </w:tc>
            </w:tr>
            <w:tr w14:paraId="49C86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09EE5">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8D527">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F0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B02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1.03E-02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6D3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1.03E-04</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0147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7.43E-04</w:t>
                  </w:r>
                </w:p>
              </w:tc>
            </w:tr>
            <w:tr w14:paraId="2D572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32FA8">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A28B6">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A5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E7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2.888</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BCC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0.029</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B8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0.208</w:t>
                  </w:r>
                </w:p>
              </w:tc>
            </w:tr>
            <w:tr w14:paraId="5A8C1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E4656">
                  <w:pPr>
                    <w:jc w:val="center"/>
                    <w:rPr>
                      <w:rFonts w:hint="default" w:ascii="Times New Roman" w:hAnsi="Times New Roman" w:eastAsia="宋体" w:cs="Times New Roman"/>
                      <w:i w:val="0"/>
                      <w:iCs w:val="0"/>
                      <w:color w:val="000000"/>
                      <w:sz w:val="21"/>
                      <w:szCs w:val="21"/>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4AE0D">
                  <w:pPr>
                    <w:jc w:val="center"/>
                    <w:rPr>
                      <w:rFonts w:hint="default" w:ascii="Times New Roman" w:hAnsi="Times New Roman" w:eastAsia="宋体" w:cs="Times New Roman"/>
                      <w:i w:val="0"/>
                      <w:iCs w:val="0"/>
                      <w:color w:val="000000"/>
                      <w:sz w:val="21"/>
                      <w:szCs w:val="21"/>
                      <w:u w:val="none"/>
                    </w:rPr>
                  </w:pP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24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372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8.944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440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0.089</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8C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0.639</w:t>
                  </w:r>
                </w:p>
              </w:tc>
            </w:tr>
            <w:tr w14:paraId="4F888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2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B62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主要排放口合计</w:t>
                  </w: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4883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EED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6.02E-06</w:t>
                  </w:r>
                </w:p>
              </w:tc>
            </w:tr>
            <w:tr w14:paraId="54C3B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B25B2">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56A4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94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3.684</w:t>
                  </w:r>
                </w:p>
              </w:tc>
            </w:tr>
            <w:tr w14:paraId="1D83E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B52FD">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5954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E81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0.01</w:t>
                  </w:r>
                </w:p>
              </w:tc>
            </w:tr>
            <w:tr w14:paraId="2F53A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F10BB">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D10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锡及其化合物</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97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7.92E-05</w:t>
                  </w:r>
                </w:p>
              </w:tc>
            </w:tr>
            <w:tr w14:paraId="40090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463D90">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6B64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84FB">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1.49E-03</w:t>
                  </w:r>
                </w:p>
              </w:tc>
            </w:tr>
            <w:tr w14:paraId="5CFDF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496BD">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1D52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204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0.416</w:t>
                  </w:r>
                </w:p>
              </w:tc>
            </w:tr>
            <w:tr w14:paraId="2ECA5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E766A">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BDD2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8F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1.283</w:t>
                  </w:r>
                </w:p>
              </w:tc>
            </w:tr>
            <w:tr w14:paraId="737AD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89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3D2F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一般排放口</w:t>
                  </w:r>
                </w:p>
              </w:tc>
            </w:tr>
            <w:tr w14:paraId="3A469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EAED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CA2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DA002</w:t>
                  </w: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9D7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B1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1.056</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BC6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0.014</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3FD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0.099</w:t>
                  </w:r>
                </w:p>
              </w:tc>
            </w:tr>
            <w:tr w14:paraId="20584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95559">
                  <w:pPr>
                    <w:jc w:val="center"/>
                    <w:rPr>
                      <w:rFonts w:hint="default" w:ascii="Times New Roman" w:hAnsi="Times New Roman" w:eastAsia="宋体" w:cs="Times New Roman"/>
                      <w:i w:val="0"/>
                      <w:iCs w:val="0"/>
                      <w:color w:val="000000"/>
                      <w:sz w:val="21"/>
                      <w:szCs w:val="21"/>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E6D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DA004</w:t>
                  </w:r>
                </w:p>
              </w:tc>
              <w:tc>
                <w:tcPr>
                  <w:tcW w:w="3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3D5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32F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1.056</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982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0.014</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97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0.099</w:t>
                  </w:r>
                </w:p>
              </w:tc>
            </w:tr>
            <w:tr w14:paraId="58B51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E728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一般排放口合计</w:t>
                  </w: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0119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8D5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0.198</w:t>
                  </w:r>
                </w:p>
              </w:tc>
            </w:tr>
            <w:tr w14:paraId="30DCF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36D5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全厂有组织排放合计</w:t>
                  </w: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5904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689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6.02E-06</w:t>
                  </w:r>
                </w:p>
              </w:tc>
            </w:tr>
            <w:tr w14:paraId="12B9E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910B8">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E202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FD9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eastAsia="宋体" w:cs="Times New Roman"/>
                      <w:i w:val="0"/>
                      <w:iCs w:val="0"/>
                      <w:color w:val="000000"/>
                      <w:kern w:val="0"/>
                      <w:sz w:val="21"/>
                      <w:szCs w:val="21"/>
                      <w:u w:val="none"/>
                      <w:lang w:val="en-US" w:eastAsia="zh-CN" w:bidi="ar"/>
                    </w:rPr>
                    <w:t>3.684</w:t>
                  </w:r>
                </w:p>
              </w:tc>
            </w:tr>
            <w:tr w14:paraId="28258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3F49B">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8765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334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0.208</w:t>
                  </w:r>
                </w:p>
              </w:tc>
            </w:tr>
            <w:tr w14:paraId="65FBA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A086C">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D817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锡及其化合物</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F16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7.92E-05</w:t>
                  </w:r>
                </w:p>
              </w:tc>
            </w:tr>
            <w:tr w14:paraId="6CB74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59BD7">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28EB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145B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1.49E-03</w:t>
                  </w:r>
                </w:p>
              </w:tc>
            </w:tr>
            <w:tr w14:paraId="389F6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ADC0A">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78C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273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0.416</w:t>
                  </w:r>
                </w:p>
              </w:tc>
            </w:tr>
            <w:tr w14:paraId="0219C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2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A7BC3">
                  <w:pPr>
                    <w:jc w:val="center"/>
                    <w:rPr>
                      <w:rFonts w:hint="eastAsia" w:ascii="宋体" w:hAnsi="宋体" w:eastAsia="宋体" w:cs="宋体"/>
                      <w:i w:val="0"/>
                      <w:iCs w:val="0"/>
                      <w:color w:val="000000"/>
                      <w:sz w:val="21"/>
                      <w:szCs w:val="21"/>
                      <w:u w:val="none"/>
                    </w:rPr>
                  </w:pPr>
                </w:p>
              </w:tc>
              <w:tc>
                <w:tcPr>
                  <w:tcW w:w="59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23ED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0A6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1.283</w:t>
                  </w:r>
                </w:p>
              </w:tc>
            </w:tr>
          </w:tbl>
          <w:p w14:paraId="4F2D2E40">
            <w:pPr>
              <w:bidi w:val="0"/>
              <w:rPr>
                <w:rFonts w:hint="eastAsia"/>
                <w:lang w:val="en-US" w:eastAsia="zh-CN"/>
              </w:rPr>
            </w:pPr>
          </w:p>
          <w:p w14:paraId="6E6E5441">
            <w:pPr>
              <w:bidi w:val="0"/>
              <w:rPr>
                <w:rFonts w:hint="eastAsia"/>
                <w:lang w:val="en-US" w:eastAsia="zh-CN"/>
              </w:rPr>
            </w:pPr>
          </w:p>
          <w:p w14:paraId="2F94C004">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firstLine="482" w:firstLineChars="200"/>
              <w:jc w:val="both"/>
              <w:textAlignment w:val="auto"/>
              <w:rPr>
                <w:rFonts w:hint="default" w:ascii="Times New Roman" w:hAnsi="Times New Roman" w:eastAsia="宋体" w:cs="Times New Roman"/>
                <w:b/>
                <w:bCs/>
                <w:color w:val="auto"/>
                <w:kern w:val="2"/>
                <w:sz w:val="24"/>
                <w:szCs w:val="21"/>
                <w:lang w:val="en-US" w:eastAsia="zh-CN" w:bidi="ar"/>
              </w:rPr>
            </w:pPr>
          </w:p>
          <w:p w14:paraId="77F413B8">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firstLine="482" w:firstLineChars="200"/>
              <w:jc w:val="both"/>
              <w:textAlignment w:val="auto"/>
              <w:rPr>
                <w:rFonts w:hint="default" w:ascii="Times New Roman" w:hAnsi="Times New Roman" w:eastAsia="宋体" w:cs="Times New Roman"/>
                <w:b/>
                <w:bCs/>
                <w:color w:val="auto"/>
                <w:kern w:val="2"/>
                <w:sz w:val="24"/>
                <w:szCs w:val="21"/>
                <w:lang w:val="en-US" w:eastAsia="zh-CN" w:bidi="ar"/>
              </w:rPr>
            </w:pPr>
          </w:p>
          <w:p w14:paraId="63A3C090">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firstLine="482" w:firstLineChars="200"/>
              <w:jc w:val="both"/>
              <w:textAlignment w:val="auto"/>
              <w:rPr>
                <w:rFonts w:hint="default" w:ascii="Times New Roman" w:hAnsi="Times New Roman" w:eastAsia="宋体" w:cs="Times New Roman"/>
                <w:b/>
                <w:bCs/>
                <w:color w:val="auto"/>
                <w:kern w:val="2"/>
                <w:sz w:val="24"/>
                <w:szCs w:val="21"/>
                <w:lang w:val="en-US" w:eastAsia="zh-CN" w:bidi="ar"/>
              </w:rPr>
            </w:pPr>
          </w:p>
          <w:p w14:paraId="3B4694E4">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firstLine="482" w:firstLineChars="200"/>
              <w:jc w:val="both"/>
              <w:textAlignment w:val="auto"/>
              <w:rPr>
                <w:rFonts w:hint="default" w:ascii="Times New Roman" w:hAnsi="Times New Roman" w:eastAsia="宋体" w:cs="Times New Roman"/>
                <w:b/>
                <w:bCs/>
                <w:color w:val="auto"/>
                <w:kern w:val="2"/>
                <w:sz w:val="24"/>
                <w:szCs w:val="21"/>
                <w:lang w:val="en-US" w:eastAsia="zh-CN" w:bidi="ar"/>
              </w:rPr>
            </w:pPr>
            <w:r>
              <w:rPr>
                <w:rFonts w:hint="default" w:ascii="Times New Roman" w:hAnsi="Times New Roman" w:eastAsia="宋体" w:cs="Times New Roman"/>
                <w:b/>
                <w:bCs/>
                <w:color w:val="auto"/>
                <w:kern w:val="2"/>
                <w:sz w:val="24"/>
                <w:szCs w:val="21"/>
                <w:lang w:val="en-US" w:eastAsia="zh-CN" w:bidi="ar"/>
              </w:rPr>
              <w:t>2、无组织</w:t>
            </w:r>
            <w:r>
              <w:rPr>
                <w:rFonts w:hint="eastAsia" w:ascii="Times New Roman" w:hAnsi="Times New Roman" w:eastAsia="宋体" w:cs="Times New Roman"/>
                <w:b/>
                <w:bCs/>
                <w:color w:val="auto"/>
                <w:kern w:val="2"/>
                <w:sz w:val="24"/>
                <w:szCs w:val="21"/>
                <w:lang w:val="en-US" w:eastAsia="zh-CN" w:bidi="ar"/>
              </w:rPr>
              <w:t>废气</w:t>
            </w:r>
            <w:r>
              <w:rPr>
                <w:rFonts w:hint="default" w:ascii="Times New Roman" w:hAnsi="Times New Roman" w:eastAsia="宋体" w:cs="Times New Roman"/>
                <w:b/>
                <w:bCs/>
                <w:color w:val="auto"/>
                <w:kern w:val="2"/>
                <w:sz w:val="24"/>
                <w:szCs w:val="21"/>
                <w:lang w:val="en-US" w:eastAsia="zh-CN" w:bidi="ar"/>
              </w:rPr>
              <w:t>排放量核算</w:t>
            </w:r>
          </w:p>
          <w:p w14:paraId="4760B5AE">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表4-</w:t>
            </w:r>
            <w:r>
              <w:rPr>
                <w:rFonts w:hint="eastAsia" w:ascii="Times New Roman" w:hAnsi="Times New Roman" w:eastAsia="宋体" w:cs="Times New Roman"/>
                <w:b/>
                <w:bCs/>
                <w:color w:val="auto"/>
                <w:kern w:val="2"/>
                <w:sz w:val="21"/>
                <w:szCs w:val="21"/>
                <w:lang w:val="en-US" w:eastAsia="zh-CN" w:bidi="ar-SA"/>
              </w:rPr>
              <w:t>38</w:t>
            </w:r>
            <w:r>
              <w:rPr>
                <w:rFonts w:hint="default" w:ascii="Times New Roman" w:hAnsi="Times New Roman" w:eastAsia="宋体" w:cs="Times New Roman"/>
                <w:b/>
                <w:bCs/>
                <w:color w:val="auto"/>
                <w:kern w:val="2"/>
                <w:sz w:val="21"/>
                <w:szCs w:val="21"/>
                <w:lang w:val="en-US" w:eastAsia="zh-CN" w:bidi="ar-SA"/>
              </w:rPr>
              <w:t xml:space="preserve">  大气污染物无组织排放量核算表</w:t>
            </w:r>
          </w:p>
          <w:tbl>
            <w:tblPr>
              <w:tblStyle w:val="26"/>
              <w:tblW w:w="90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7"/>
              <w:gridCol w:w="938"/>
              <w:gridCol w:w="1172"/>
              <w:gridCol w:w="1744"/>
              <w:gridCol w:w="1269"/>
              <w:gridCol w:w="1404"/>
              <w:gridCol w:w="1943"/>
            </w:tblGrid>
            <w:tr w14:paraId="6E912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A8DC1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污染单元</w:t>
                  </w:r>
                </w:p>
              </w:tc>
              <w:tc>
                <w:tcPr>
                  <w:tcW w:w="9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09F3C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污染源</w:t>
                  </w:r>
                </w:p>
              </w:tc>
              <w:tc>
                <w:tcPr>
                  <w:tcW w:w="11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AE55B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产污环节</w:t>
                  </w:r>
                  <w:r>
                    <w:rPr>
                      <w:rFonts w:hint="default" w:ascii="Times New Roman" w:hAnsi="Times New Roman" w:eastAsia="宋体" w:cs="Times New Roman"/>
                      <w:b/>
                      <w:bCs/>
                      <w:i w:val="0"/>
                      <w:iCs w:val="0"/>
                      <w:color w:val="000000"/>
                      <w:kern w:val="0"/>
                      <w:sz w:val="21"/>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位置</w:t>
                  </w:r>
                </w:p>
              </w:tc>
              <w:tc>
                <w:tcPr>
                  <w:tcW w:w="17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E5E3B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污染物种类</w:t>
                  </w:r>
                </w:p>
              </w:tc>
              <w:tc>
                <w:tcPr>
                  <w:tcW w:w="12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C23EE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排放量（</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c>
                <w:tcPr>
                  <w:tcW w:w="33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DFA01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国家或地方污染物排放标准</w:t>
                  </w:r>
                </w:p>
              </w:tc>
            </w:tr>
            <w:tr w14:paraId="0421E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79938">
                  <w:pPr>
                    <w:jc w:val="center"/>
                    <w:rPr>
                      <w:rFonts w:hint="default" w:ascii="Times New Roman" w:hAnsi="Times New Roman" w:eastAsia="宋体" w:cs="Times New Roman"/>
                      <w:b/>
                      <w:bCs/>
                      <w:i w:val="0"/>
                      <w:iCs w:val="0"/>
                      <w:color w:val="000000"/>
                      <w:sz w:val="21"/>
                      <w:szCs w:val="21"/>
                      <w:u w:val="none"/>
                    </w:rPr>
                  </w:pPr>
                </w:p>
              </w:tc>
              <w:tc>
                <w:tcPr>
                  <w:tcW w:w="9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E6C98">
                  <w:pPr>
                    <w:jc w:val="center"/>
                    <w:rPr>
                      <w:rFonts w:hint="default" w:ascii="Times New Roman" w:hAnsi="Times New Roman" w:eastAsia="宋体" w:cs="Times New Roman"/>
                      <w:b/>
                      <w:bCs/>
                      <w:i w:val="0"/>
                      <w:iCs w:val="0"/>
                      <w:color w:val="000000"/>
                      <w:sz w:val="21"/>
                      <w:szCs w:val="21"/>
                      <w:u w:val="none"/>
                    </w:rPr>
                  </w:pPr>
                </w:p>
              </w:tc>
              <w:tc>
                <w:tcPr>
                  <w:tcW w:w="11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72ED0">
                  <w:pPr>
                    <w:jc w:val="center"/>
                    <w:rPr>
                      <w:rFonts w:hint="default" w:ascii="Times New Roman" w:hAnsi="Times New Roman" w:eastAsia="宋体" w:cs="Times New Roman"/>
                      <w:b/>
                      <w:bCs/>
                      <w:i w:val="0"/>
                      <w:iCs w:val="0"/>
                      <w:color w:val="000000"/>
                      <w:sz w:val="21"/>
                      <w:szCs w:val="21"/>
                      <w:u w:val="none"/>
                    </w:rPr>
                  </w:pPr>
                </w:p>
              </w:tc>
              <w:tc>
                <w:tcPr>
                  <w:tcW w:w="1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285CC">
                  <w:pPr>
                    <w:jc w:val="center"/>
                    <w:rPr>
                      <w:rFonts w:hint="default" w:ascii="Times New Roman" w:hAnsi="Times New Roman" w:eastAsia="宋体" w:cs="Times New Roman"/>
                      <w:b/>
                      <w:bCs/>
                      <w:i w:val="0"/>
                      <w:iCs w:val="0"/>
                      <w:color w:val="000000"/>
                      <w:sz w:val="21"/>
                      <w:szCs w:val="21"/>
                      <w:u w:val="none"/>
                    </w:rPr>
                  </w:pP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749A2">
                  <w:pPr>
                    <w:jc w:val="center"/>
                    <w:rPr>
                      <w:rFonts w:hint="default" w:ascii="Times New Roman" w:hAnsi="Times New Roman" w:eastAsia="宋体" w:cs="Times New Roman"/>
                      <w:b/>
                      <w:bCs/>
                      <w:i w:val="0"/>
                      <w:iCs w:val="0"/>
                      <w:color w:val="000000"/>
                      <w:sz w:val="21"/>
                      <w:szCs w:val="21"/>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696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浓度限值（</w:t>
                  </w:r>
                  <w:r>
                    <w:rPr>
                      <w:rFonts w:hint="default" w:ascii="Times New Roman" w:hAnsi="Times New Roman" w:eastAsia="宋体" w:cs="Times New Roman"/>
                      <w:b/>
                      <w:bCs/>
                      <w:i w:val="0"/>
                      <w:iCs w:val="0"/>
                      <w:color w:val="000000"/>
                      <w:kern w:val="0"/>
                      <w:sz w:val="21"/>
                      <w:szCs w:val="21"/>
                      <w:u w:val="none"/>
                      <w:lang w:val="en-US" w:eastAsia="zh-CN" w:bidi="ar"/>
                    </w:rPr>
                    <w:t>mg/Nm</w:t>
                  </w:r>
                  <w:r>
                    <w:rPr>
                      <w:rFonts w:hint="default" w:ascii="Times New Roman" w:hAnsi="Times New Roman" w:eastAsia="宋体" w:cs="Times New Roman"/>
                      <w:b/>
                      <w:bCs/>
                      <w:i w:val="0"/>
                      <w:iCs w:val="0"/>
                      <w:color w:val="000000"/>
                      <w:kern w:val="0"/>
                      <w:sz w:val="21"/>
                      <w:szCs w:val="21"/>
                      <w:u w:val="none"/>
                      <w:vertAlign w:val="superscript"/>
                      <w:lang w:val="en-US" w:eastAsia="zh-CN" w:bidi="ar"/>
                    </w:rPr>
                    <w:t>3</w:t>
                  </w:r>
                  <w:r>
                    <w:rPr>
                      <w:rFonts w:hint="eastAsia" w:ascii="宋体" w:hAnsi="宋体" w:eastAsia="宋体" w:cs="宋体"/>
                      <w:b/>
                      <w:bCs/>
                      <w:i w:val="0"/>
                      <w:iCs w:val="0"/>
                      <w:color w:val="000000"/>
                      <w:kern w:val="0"/>
                      <w:sz w:val="21"/>
                      <w:szCs w:val="21"/>
                      <w:u w:val="none"/>
                      <w:lang w:val="en-US" w:eastAsia="zh-CN" w:bidi="ar"/>
                    </w:rPr>
                    <w:t>）</w:t>
                  </w: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8775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标准名称</w:t>
                  </w:r>
                </w:p>
              </w:tc>
            </w:tr>
            <w:tr w14:paraId="79639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restart"/>
                  <w:tcBorders>
                    <w:top w:val="single" w:color="000000" w:sz="4" w:space="0"/>
                    <w:left w:val="single" w:color="000000" w:sz="4" w:space="0"/>
                    <w:right w:val="single" w:color="000000" w:sz="4" w:space="0"/>
                  </w:tcBorders>
                  <w:shd w:val="clear" w:color="auto" w:fill="auto"/>
                  <w:vAlign w:val="center"/>
                </w:tcPr>
                <w:p w14:paraId="492211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r>
                    <w:rPr>
                      <w:rFonts w:hint="eastAsia" w:ascii="宋体" w:hAnsi="宋体" w:eastAsia="宋体" w:cs="宋体"/>
                      <w:i w:val="0"/>
                      <w:iCs w:val="0"/>
                      <w:color w:val="000000"/>
                      <w:kern w:val="0"/>
                      <w:sz w:val="21"/>
                      <w:szCs w:val="21"/>
                      <w:u w:val="none"/>
                      <w:lang w:val="en-US" w:eastAsia="zh-CN" w:bidi="ar"/>
                    </w:rPr>
                    <w:t>厂房</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A2A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分选机</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C71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分选</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BF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A1C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0.044 </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67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9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9D23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《大气污染物综合排放标准》（</w:t>
                  </w:r>
                  <w:r>
                    <w:rPr>
                      <w:rFonts w:hint="default" w:ascii="Times New Roman" w:hAnsi="Times New Roman" w:eastAsia="宋体" w:cs="Times New Roman"/>
                      <w:i w:val="0"/>
                      <w:iCs w:val="0"/>
                      <w:color w:val="000000"/>
                      <w:kern w:val="0"/>
                      <w:sz w:val="21"/>
                      <w:szCs w:val="21"/>
                      <w:u w:val="none"/>
                      <w:lang w:val="en-US" w:eastAsia="zh-CN" w:bidi="ar"/>
                    </w:rPr>
                    <w:t>GB16297-1996</w:t>
                  </w:r>
                  <w:r>
                    <w:rPr>
                      <w:rFonts w:hint="eastAsia" w:ascii="宋体" w:hAnsi="宋体" w:eastAsia="宋体" w:cs="宋体"/>
                      <w:i w:val="0"/>
                      <w:iCs w:val="0"/>
                      <w:color w:val="000000"/>
                      <w:kern w:val="0"/>
                      <w:sz w:val="21"/>
                      <w:szCs w:val="21"/>
                      <w:u w:val="none"/>
                      <w:lang w:val="en-US" w:eastAsia="zh-CN" w:bidi="ar"/>
                    </w:rPr>
                    <w:t>）</w:t>
                  </w:r>
                </w:p>
              </w:tc>
            </w:tr>
            <w:tr w14:paraId="30AF7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7583A350">
                  <w:pPr>
                    <w:jc w:val="center"/>
                    <w:rPr>
                      <w:rFonts w:hint="default" w:ascii="Times New Roman" w:hAnsi="Times New Roman" w:eastAsia="宋体" w:cs="Times New Roman"/>
                      <w:i w:val="0"/>
                      <w:iCs w:val="0"/>
                      <w:color w:val="000000"/>
                      <w:sz w:val="21"/>
                      <w:szCs w:val="21"/>
                      <w:u w:val="none"/>
                    </w:rPr>
                  </w:pPr>
                </w:p>
              </w:tc>
              <w:tc>
                <w:tcPr>
                  <w:tcW w:w="9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A9CE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w:t>
                  </w:r>
                </w:p>
              </w:tc>
              <w:tc>
                <w:tcPr>
                  <w:tcW w:w="11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C929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热解炉开炉</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7D8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二氧化硫</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44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6.08E-08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7AE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E6B4C">
                  <w:pPr>
                    <w:jc w:val="center"/>
                    <w:rPr>
                      <w:rFonts w:hint="eastAsia" w:ascii="宋体" w:hAnsi="宋体" w:eastAsia="宋体" w:cs="宋体"/>
                      <w:i w:val="0"/>
                      <w:iCs w:val="0"/>
                      <w:color w:val="000000"/>
                      <w:sz w:val="21"/>
                      <w:szCs w:val="21"/>
                      <w:u w:val="none"/>
                    </w:rPr>
                  </w:pPr>
                </w:p>
              </w:tc>
            </w:tr>
            <w:tr w14:paraId="35FB5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19C16776">
                  <w:pPr>
                    <w:jc w:val="center"/>
                    <w:rPr>
                      <w:rFonts w:hint="default" w:ascii="Times New Roman" w:hAnsi="Times New Roman" w:eastAsia="宋体" w:cs="Times New Roman"/>
                      <w:i w:val="0"/>
                      <w:iCs w:val="0"/>
                      <w:color w:val="000000"/>
                      <w:sz w:val="21"/>
                      <w:szCs w:val="21"/>
                      <w:u w:val="none"/>
                    </w:rPr>
                  </w:pPr>
                </w:p>
              </w:tc>
              <w:tc>
                <w:tcPr>
                  <w:tcW w:w="9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DCEAD">
                  <w:pPr>
                    <w:jc w:val="center"/>
                    <w:rPr>
                      <w:rFonts w:hint="default" w:ascii="Times New Roman" w:hAnsi="Times New Roman" w:eastAsia="宋体" w:cs="Times New Roman"/>
                      <w:i w:val="0"/>
                      <w:iCs w:val="0"/>
                      <w:color w:val="000000"/>
                      <w:sz w:val="21"/>
                      <w:szCs w:val="21"/>
                      <w:u w:val="none"/>
                    </w:rPr>
                  </w:pPr>
                </w:p>
              </w:tc>
              <w:tc>
                <w:tcPr>
                  <w:tcW w:w="11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176BA">
                  <w:pPr>
                    <w:jc w:val="center"/>
                    <w:rPr>
                      <w:rFonts w:hint="eastAsia" w:ascii="宋体" w:hAnsi="宋体" w:eastAsia="宋体" w:cs="宋体"/>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DFB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氮氧化物</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2E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0.034 </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F2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0.12</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D22FA">
                  <w:pPr>
                    <w:jc w:val="center"/>
                    <w:rPr>
                      <w:rFonts w:hint="eastAsia" w:ascii="宋体" w:hAnsi="宋体" w:eastAsia="宋体" w:cs="宋体"/>
                      <w:i w:val="0"/>
                      <w:iCs w:val="0"/>
                      <w:color w:val="000000"/>
                      <w:sz w:val="21"/>
                      <w:szCs w:val="21"/>
                      <w:u w:val="none"/>
                    </w:rPr>
                  </w:pPr>
                </w:p>
              </w:tc>
            </w:tr>
            <w:tr w14:paraId="48267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jc w:val="center"/>
              </w:trPr>
              <w:tc>
                <w:tcPr>
                  <w:tcW w:w="627" w:type="dxa"/>
                  <w:vMerge w:val="continue"/>
                  <w:tcBorders>
                    <w:left w:val="single" w:color="000000" w:sz="4" w:space="0"/>
                    <w:right w:val="single" w:color="000000" w:sz="4" w:space="0"/>
                  </w:tcBorders>
                  <w:shd w:val="clear" w:color="auto" w:fill="auto"/>
                  <w:vAlign w:val="center"/>
                </w:tcPr>
                <w:p w14:paraId="2998A368">
                  <w:pPr>
                    <w:jc w:val="center"/>
                    <w:rPr>
                      <w:rFonts w:hint="default" w:ascii="Times New Roman" w:hAnsi="Times New Roman" w:eastAsia="宋体" w:cs="Times New Roman"/>
                      <w:i w:val="0"/>
                      <w:iCs w:val="0"/>
                      <w:color w:val="000000"/>
                      <w:sz w:val="21"/>
                      <w:szCs w:val="21"/>
                      <w:u w:val="none"/>
                    </w:rPr>
                  </w:pPr>
                </w:p>
              </w:tc>
              <w:tc>
                <w:tcPr>
                  <w:tcW w:w="9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1D4F2">
                  <w:pPr>
                    <w:jc w:val="center"/>
                    <w:rPr>
                      <w:rFonts w:hint="default" w:ascii="Times New Roman" w:hAnsi="Times New Roman" w:eastAsia="宋体" w:cs="Times New Roman"/>
                      <w:i w:val="0"/>
                      <w:iCs w:val="0"/>
                      <w:color w:val="000000"/>
                      <w:sz w:val="21"/>
                      <w:szCs w:val="21"/>
                      <w:u w:val="none"/>
                    </w:rPr>
                  </w:pPr>
                </w:p>
              </w:tc>
              <w:tc>
                <w:tcPr>
                  <w:tcW w:w="11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27691">
                  <w:pPr>
                    <w:jc w:val="center"/>
                    <w:rPr>
                      <w:rFonts w:hint="eastAsia" w:ascii="宋体" w:hAnsi="宋体" w:eastAsia="宋体" w:cs="宋体"/>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E42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颗粒物（</w:t>
                  </w:r>
                  <w:r>
                    <w:rPr>
                      <w:rFonts w:hint="eastAsia" w:cs="Times New Roman"/>
                      <w:i w:val="0"/>
                      <w:iCs w:val="0"/>
                      <w:color w:val="000000"/>
                      <w:kern w:val="0"/>
                      <w:sz w:val="21"/>
                      <w:szCs w:val="21"/>
                      <w:u w:val="none"/>
                      <w:lang w:val="en-US" w:eastAsia="zh-CN" w:bidi="ar"/>
                    </w:rPr>
                    <w:t>含炭黑尘、铜、锡等</w:t>
                  </w:r>
                  <w:r>
                    <w:rPr>
                      <w:rFonts w:hint="default" w:ascii="Times New Roman" w:hAnsi="Times New Roman" w:eastAsia="宋体" w:cs="Times New Roman"/>
                      <w:i w:val="0"/>
                      <w:iCs w:val="0"/>
                      <w:color w:val="000000"/>
                      <w:kern w:val="0"/>
                      <w:sz w:val="21"/>
                      <w:szCs w:val="21"/>
                      <w:u w:val="none"/>
                      <w:lang w:val="en-US" w:eastAsia="zh-CN" w:bidi="ar"/>
                    </w:rPr>
                    <w:t>）</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975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0.009 </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CD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4455B">
                  <w:pPr>
                    <w:jc w:val="center"/>
                    <w:rPr>
                      <w:rFonts w:hint="eastAsia" w:ascii="宋体" w:hAnsi="宋体" w:eastAsia="宋体" w:cs="宋体"/>
                      <w:i w:val="0"/>
                      <w:iCs w:val="0"/>
                      <w:color w:val="000000"/>
                      <w:sz w:val="21"/>
                      <w:szCs w:val="21"/>
                      <w:u w:val="none"/>
                    </w:rPr>
                  </w:pPr>
                </w:p>
              </w:tc>
            </w:tr>
            <w:tr w14:paraId="0886D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7F817C36">
                  <w:pPr>
                    <w:jc w:val="center"/>
                    <w:rPr>
                      <w:rFonts w:hint="default" w:ascii="Times New Roman" w:hAnsi="Times New Roman" w:eastAsia="宋体" w:cs="Times New Roman"/>
                      <w:i w:val="0"/>
                      <w:iCs w:val="0"/>
                      <w:color w:val="000000"/>
                      <w:sz w:val="21"/>
                      <w:szCs w:val="21"/>
                      <w:u w:val="none"/>
                    </w:rPr>
                  </w:pPr>
                </w:p>
              </w:tc>
              <w:tc>
                <w:tcPr>
                  <w:tcW w:w="9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FDCA6">
                  <w:pPr>
                    <w:jc w:val="center"/>
                    <w:rPr>
                      <w:rFonts w:hint="default" w:ascii="Times New Roman" w:hAnsi="Times New Roman" w:eastAsia="宋体" w:cs="Times New Roman"/>
                      <w:i w:val="0"/>
                      <w:iCs w:val="0"/>
                      <w:color w:val="000000"/>
                      <w:sz w:val="21"/>
                      <w:szCs w:val="21"/>
                      <w:u w:val="none"/>
                    </w:rPr>
                  </w:pPr>
                </w:p>
              </w:tc>
              <w:tc>
                <w:tcPr>
                  <w:tcW w:w="11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1D5CE">
                  <w:pPr>
                    <w:jc w:val="center"/>
                    <w:rPr>
                      <w:rFonts w:hint="eastAsia" w:ascii="宋体" w:hAnsi="宋体" w:eastAsia="宋体" w:cs="宋体"/>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0E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锡及其化合物</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DB1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8E-05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7D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0.24</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2F26E">
                  <w:pPr>
                    <w:jc w:val="center"/>
                    <w:rPr>
                      <w:rFonts w:hint="eastAsia" w:ascii="宋体" w:hAnsi="宋体" w:eastAsia="宋体" w:cs="宋体"/>
                      <w:i w:val="0"/>
                      <w:iCs w:val="0"/>
                      <w:color w:val="000000"/>
                      <w:sz w:val="21"/>
                      <w:szCs w:val="21"/>
                      <w:u w:val="none"/>
                    </w:rPr>
                  </w:pPr>
                </w:p>
              </w:tc>
            </w:tr>
            <w:tr w14:paraId="6B810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6F36E86C">
                  <w:pPr>
                    <w:jc w:val="center"/>
                    <w:rPr>
                      <w:rFonts w:hint="default" w:ascii="Times New Roman" w:hAnsi="Times New Roman" w:eastAsia="宋体" w:cs="Times New Roman"/>
                      <w:i w:val="0"/>
                      <w:iCs w:val="0"/>
                      <w:color w:val="000000"/>
                      <w:sz w:val="21"/>
                      <w:szCs w:val="21"/>
                      <w:u w:val="none"/>
                    </w:rPr>
                  </w:pPr>
                </w:p>
              </w:tc>
              <w:tc>
                <w:tcPr>
                  <w:tcW w:w="9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7CF07">
                  <w:pPr>
                    <w:jc w:val="center"/>
                    <w:rPr>
                      <w:rFonts w:hint="default" w:ascii="Times New Roman" w:hAnsi="Times New Roman" w:eastAsia="宋体" w:cs="Times New Roman"/>
                      <w:i w:val="0"/>
                      <w:iCs w:val="0"/>
                      <w:color w:val="000000"/>
                      <w:sz w:val="21"/>
                      <w:szCs w:val="21"/>
                      <w:u w:val="none"/>
                    </w:rPr>
                  </w:pPr>
                </w:p>
              </w:tc>
              <w:tc>
                <w:tcPr>
                  <w:tcW w:w="11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5E9BF">
                  <w:pPr>
                    <w:jc w:val="center"/>
                    <w:rPr>
                      <w:rFonts w:hint="eastAsia" w:ascii="宋体" w:hAnsi="宋体" w:eastAsia="宋体" w:cs="宋体"/>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9DB2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9E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0.0015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29DA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6891C">
                  <w:pPr>
                    <w:jc w:val="center"/>
                    <w:rPr>
                      <w:rFonts w:hint="eastAsia" w:ascii="宋体" w:hAnsi="宋体" w:eastAsia="宋体" w:cs="宋体"/>
                      <w:i w:val="0"/>
                      <w:iCs w:val="0"/>
                      <w:color w:val="000000"/>
                      <w:sz w:val="21"/>
                      <w:szCs w:val="21"/>
                      <w:u w:val="none"/>
                    </w:rPr>
                  </w:pPr>
                </w:p>
              </w:tc>
            </w:tr>
            <w:tr w14:paraId="16DEC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355BC648">
                  <w:pPr>
                    <w:jc w:val="center"/>
                    <w:rPr>
                      <w:rFonts w:hint="default" w:ascii="Times New Roman" w:hAnsi="Times New Roman" w:eastAsia="宋体" w:cs="Times New Roman"/>
                      <w:i w:val="0"/>
                      <w:iCs w:val="0"/>
                      <w:color w:val="000000"/>
                      <w:sz w:val="21"/>
                      <w:szCs w:val="21"/>
                      <w:u w:val="none"/>
                    </w:rPr>
                  </w:pPr>
                </w:p>
              </w:tc>
              <w:tc>
                <w:tcPr>
                  <w:tcW w:w="9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09D2F">
                  <w:pPr>
                    <w:jc w:val="center"/>
                    <w:rPr>
                      <w:rFonts w:hint="default" w:ascii="Times New Roman" w:hAnsi="Times New Roman" w:eastAsia="宋体" w:cs="Times New Roman"/>
                      <w:i w:val="0"/>
                      <w:iCs w:val="0"/>
                      <w:color w:val="000000"/>
                      <w:sz w:val="21"/>
                      <w:szCs w:val="21"/>
                      <w:u w:val="none"/>
                    </w:rPr>
                  </w:pPr>
                </w:p>
              </w:tc>
              <w:tc>
                <w:tcPr>
                  <w:tcW w:w="11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F7ACE">
                  <w:pPr>
                    <w:jc w:val="center"/>
                    <w:rPr>
                      <w:rFonts w:hint="eastAsia" w:ascii="宋体" w:hAnsi="宋体" w:eastAsia="宋体" w:cs="宋体"/>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535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氟化物</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32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0.028 </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73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09E46">
                  <w:pPr>
                    <w:jc w:val="center"/>
                    <w:rPr>
                      <w:rFonts w:hint="eastAsia" w:ascii="宋体" w:hAnsi="宋体" w:eastAsia="宋体" w:cs="宋体"/>
                      <w:i w:val="0"/>
                      <w:iCs w:val="0"/>
                      <w:color w:val="000000"/>
                      <w:sz w:val="21"/>
                      <w:szCs w:val="21"/>
                      <w:u w:val="none"/>
                    </w:rPr>
                  </w:pPr>
                </w:p>
              </w:tc>
            </w:tr>
            <w:tr w14:paraId="3B228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57C7D69D">
                  <w:pPr>
                    <w:jc w:val="center"/>
                    <w:rPr>
                      <w:rFonts w:hint="default" w:ascii="Times New Roman" w:hAnsi="Times New Roman" w:eastAsia="宋体" w:cs="Times New Roman"/>
                      <w:i w:val="0"/>
                      <w:iCs w:val="0"/>
                      <w:color w:val="000000"/>
                      <w:sz w:val="21"/>
                      <w:szCs w:val="21"/>
                      <w:u w:val="none"/>
                    </w:rPr>
                  </w:pPr>
                </w:p>
              </w:tc>
              <w:tc>
                <w:tcPr>
                  <w:tcW w:w="9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A7B8A">
                  <w:pPr>
                    <w:jc w:val="center"/>
                    <w:rPr>
                      <w:rFonts w:hint="default" w:ascii="Times New Roman" w:hAnsi="Times New Roman" w:eastAsia="宋体" w:cs="Times New Roman"/>
                      <w:i w:val="0"/>
                      <w:iCs w:val="0"/>
                      <w:color w:val="000000"/>
                      <w:sz w:val="21"/>
                      <w:szCs w:val="21"/>
                      <w:u w:val="none"/>
                    </w:rPr>
                  </w:pPr>
                </w:p>
              </w:tc>
              <w:tc>
                <w:tcPr>
                  <w:tcW w:w="11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F73E6">
                  <w:pPr>
                    <w:jc w:val="center"/>
                    <w:rPr>
                      <w:rFonts w:hint="eastAsia" w:ascii="宋体" w:hAnsi="宋体" w:eastAsia="宋体" w:cs="宋体"/>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49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非甲烷总烃</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60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0.117 </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B53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80E0B">
                  <w:pPr>
                    <w:jc w:val="center"/>
                    <w:rPr>
                      <w:rFonts w:hint="eastAsia" w:ascii="宋体" w:hAnsi="宋体" w:eastAsia="宋体" w:cs="宋体"/>
                      <w:i w:val="0"/>
                      <w:iCs w:val="0"/>
                      <w:color w:val="000000"/>
                      <w:sz w:val="21"/>
                      <w:szCs w:val="21"/>
                      <w:u w:val="none"/>
                    </w:rPr>
                  </w:pPr>
                </w:p>
              </w:tc>
            </w:tr>
            <w:tr w14:paraId="30175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jc w:val="center"/>
              </w:trPr>
              <w:tc>
                <w:tcPr>
                  <w:tcW w:w="627" w:type="dxa"/>
                  <w:vMerge w:val="continue"/>
                  <w:tcBorders>
                    <w:left w:val="single" w:color="000000" w:sz="4" w:space="0"/>
                    <w:right w:val="single" w:color="000000" w:sz="4" w:space="0"/>
                  </w:tcBorders>
                  <w:shd w:val="clear" w:color="auto" w:fill="auto"/>
                  <w:vAlign w:val="center"/>
                </w:tcPr>
                <w:p w14:paraId="0A18DA7A">
                  <w:pPr>
                    <w:jc w:val="center"/>
                    <w:rPr>
                      <w:rFonts w:hint="default" w:ascii="Times New Roman" w:hAnsi="Times New Roman" w:eastAsia="宋体" w:cs="Times New Roman"/>
                      <w:i w:val="0"/>
                      <w:iCs w:val="0"/>
                      <w:color w:val="000000"/>
                      <w:sz w:val="21"/>
                      <w:szCs w:val="21"/>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3A5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储料仓、包装工位</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469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进仓、包装</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32F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4D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0.216 </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067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FC24A">
                  <w:pPr>
                    <w:jc w:val="center"/>
                    <w:rPr>
                      <w:rFonts w:hint="eastAsia" w:ascii="宋体" w:hAnsi="宋体" w:eastAsia="宋体" w:cs="宋体"/>
                      <w:i w:val="0"/>
                      <w:iCs w:val="0"/>
                      <w:color w:val="000000"/>
                      <w:sz w:val="21"/>
                      <w:szCs w:val="21"/>
                      <w:u w:val="none"/>
                    </w:rPr>
                  </w:pPr>
                </w:p>
              </w:tc>
            </w:tr>
            <w:tr w14:paraId="02E4D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7B5454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2110" w:type="dxa"/>
                  <w:gridSpan w:val="2"/>
                  <w:vMerge w:val="restart"/>
                  <w:tcBorders>
                    <w:top w:val="single" w:color="000000" w:sz="4" w:space="0"/>
                    <w:left w:val="single" w:color="000000" w:sz="4" w:space="0"/>
                    <w:right w:val="single" w:color="000000" w:sz="4" w:space="0"/>
                  </w:tcBorders>
                  <w:shd w:val="clear" w:color="auto" w:fill="auto"/>
                  <w:vAlign w:val="center"/>
                </w:tcPr>
                <w:p w14:paraId="27A776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合计</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479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二氧化硫</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714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6.08E-08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F3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650A5">
                  <w:pPr>
                    <w:jc w:val="center"/>
                    <w:rPr>
                      <w:rFonts w:hint="eastAsia" w:ascii="宋体" w:hAnsi="宋体" w:eastAsia="宋体" w:cs="宋体"/>
                      <w:i w:val="0"/>
                      <w:iCs w:val="0"/>
                      <w:color w:val="000000"/>
                      <w:sz w:val="21"/>
                      <w:szCs w:val="21"/>
                      <w:u w:val="none"/>
                    </w:rPr>
                  </w:pPr>
                </w:p>
              </w:tc>
            </w:tr>
            <w:tr w14:paraId="7B967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6B18204F">
                  <w:pPr>
                    <w:jc w:val="center"/>
                    <w:rPr>
                      <w:rFonts w:hint="default" w:ascii="Times New Roman" w:hAnsi="Times New Roman" w:eastAsia="宋体" w:cs="Times New Roman"/>
                      <w:i w:val="0"/>
                      <w:iCs w:val="0"/>
                      <w:color w:val="000000"/>
                      <w:sz w:val="21"/>
                      <w:szCs w:val="21"/>
                      <w:u w:val="none"/>
                    </w:rPr>
                  </w:pPr>
                </w:p>
              </w:tc>
              <w:tc>
                <w:tcPr>
                  <w:tcW w:w="2110" w:type="dxa"/>
                  <w:gridSpan w:val="2"/>
                  <w:vMerge w:val="continue"/>
                  <w:tcBorders>
                    <w:left w:val="single" w:color="000000" w:sz="4" w:space="0"/>
                    <w:right w:val="single" w:color="000000" w:sz="4" w:space="0"/>
                  </w:tcBorders>
                  <w:shd w:val="clear" w:color="auto" w:fill="auto"/>
                  <w:vAlign w:val="center"/>
                </w:tcPr>
                <w:p w14:paraId="15982BEC">
                  <w:pPr>
                    <w:jc w:val="center"/>
                    <w:rPr>
                      <w:rFonts w:hint="default" w:ascii="Times New Roman" w:hAnsi="Times New Roman" w:eastAsia="宋体" w:cs="Times New Roman"/>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06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氮氧化物</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5CF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w:t>
                  </w:r>
                  <w:r>
                    <w:rPr>
                      <w:rFonts w:hint="eastAsia" w:cs="Times New Roman"/>
                      <w:i w:val="0"/>
                      <w:iCs w:val="0"/>
                      <w:color w:val="000000"/>
                      <w:kern w:val="0"/>
                      <w:sz w:val="21"/>
                      <w:szCs w:val="21"/>
                      <w:u w:val="none"/>
                      <w:lang w:val="en-US" w:eastAsia="zh-CN" w:bidi="ar"/>
                    </w:rPr>
                    <w:t>34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C92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0.12</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E7340">
                  <w:pPr>
                    <w:jc w:val="center"/>
                    <w:rPr>
                      <w:rFonts w:hint="eastAsia" w:ascii="宋体" w:hAnsi="宋体" w:eastAsia="宋体" w:cs="宋体"/>
                      <w:i w:val="0"/>
                      <w:iCs w:val="0"/>
                      <w:color w:val="000000"/>
                      <w:sz w:val="21"/>
                      <w:szCs w:val="21"/>
                      <w:u w:val="none"/>
                    </w:rPr>
                  </w:pPr>
                </w:p>
              </w:tc>
            </w:tr>
            <w:tr w14:paraId="60B96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jc w:val="center"/>
              </w:trPr>
              <w:tc>
                <w:tcPr>
                  <w:tcW w:w="627" w:type="dxa"/>
                  <w:vMerge w:val="continue"/>
                  <w:tcBorders>
                    <w:left w:val="single" w:color="000000" w:sz="4" w:space="0"/>
                    <w:right w:val="single" w:color="000000" w:sz="4" w:space="0"/>
                  </w:tcBorders>
                  <w:shd w:val="clear" w:color="auto" w:fill="auto"/>
                  <w:vAlign w:val="center"/>
                </w:tcPr>
                <w:p w14:paraId="3A5ED8FE">
                  <w:pPr>
                    <w:jc w:val="center"/>
                    <w:rPr>
                      <w:rFonts w:hint="default" w:ascii="Times New Roman" w:hAnsi="Times New Roman" w:eastAsia="宋体" w:cs="Times New Roman"/>
                      <w:i w:val="0"/>
                      <w:iCs w:val="0"/>
                      <w:color w:val="000000"/>
                      <w:sz w:val="21"/>
                      <w:szCs w:val="21"/>
                      <w:u w:val="none"/>
                    </w:rPr>
                  </w:pPr>
                </w:p>
              </w:tc>
              <w:tc>
                <w:tcPr>
                  <w:tcW w:w="2110" w:type="dxa"/>
                  <w:gridSpan w:val="2"/>
                  <w:vMerge w:val="continue"/>
                  <w:tcBorders>
                    <w:left w:val="single" w:color="000000" w:sz="4" w:space="0"/>
                    <w:right w:val="single" w:color="000000" w:sz="4" w:space="0"/>
                  </w:tcBorders>
                  <w:shd w:val="clear" w:color="auto" w:fill="auto"/>
                  <w:vAlign w:val="center"/>
                </w:tcPr>
                <w:p w14:paraId="7F64E3CA">
                  <w:pPr>
                    <w:jc w:val="center"/>
                    <w:rPr>
                      <w:rFonts w:hint="default" w:ascii="Times New Roman" w:hAnsi="Times New Roman" w:eastAsia="宋体" w:cs="Times New Roman"/>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61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颗粒物（</w:t>
                  </w:r>
                  <w:r>
                    <w:rPr>
                      <w:rFonts w:hint="eastAsia" w:cs="Times New Roman"/>
                      <w:i w:val="0"/>
                      <w:iCs w:val="0"/>
                      <w:color w:val="000000"/>
                      <w:kern w:val="0"/>
                      <w:sz w:val="21"/>
                      <w:szCs w:val="21"/>
                      <w:u w:val="none"/>
                      <w:lang w:val="en-US" w:eastAsia="zh-CN" w:bidi="ar"/>
                    </w:rPr>
                    <w:t>含炭黑尘、铜、锡等</w:t>
                  </w:r>
                  <w:r>
                    <w:rPr>
                      <w:rFonts w:hint="default" w:ascii="Times New Roman" w:hAnsi="Times New Roman" w:eastAsia="宋体" w:cs="Times New Roman"/>
                      <w:i w:val="0"/>
                      <w:iCs w:val="0"/>
                      <w:color w:val="000000"/>
                      <w:kern w:val="0"/>
                      <w:sz w:val="21"/>
                      <w:szCs w:val="21"/>
                      <w:u w:val="none"/>
                      <w:lang w:val="en-US" w:eastAsia="zh-CN" w:bidi="ar"/>
                    </w:rPr>
                    <w:t>）</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98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0.269 </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C64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CFD21">
                  <w:pPr>
                    <w:jc w:val="center"/>
                    <w:rPr>
                      <w:rFonts w:hint="eastAsia" w:ascii="宋体" w:hAnsi="宋体" w:eastAsia="宋体" w:cs="宋体"/>
                      <w:i w:val="0"/>
                      <w:iCs w:val="0"/>
                      <w:color w:val="000000"/>
                      <w:sz w:val="21"/>
                      <w:szCs w:val="21"/>
                      <w:u w:val="none"/>
                    </w:rPr>
                  </w:pPr>
                </w:p>
              </w:tc>
            </w:tr>
            <w:tr w14:paraId="7C7E9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37774905">
                  <w:pPr>
                    <w:jc w:val="center"/>
                    <w:rPr>
                      <w:rFonts w:hint="default" w:ascii="Times New Roman" w:hAnsi="Times New Roman" w:eastAsia="宋体" w:cs="Times New Roman"/>
                      <w:i w:val="0"/>
                      <w:iCs w:val="0"/>
                      <w:color w:val="000000"/>
                      <w:sz w:val="21"/>
                      <w:szCs w:val="21"/>
                      <w:u w:val="none"/>
                    </w:rPr>
                  </w:pPr>
                </w:p>
              </w:tc>
              <w:tc>
                <w:tcPr>
                  <w:tcW w:w="2110" w:type="dxa"/>
                  <w:gridSpan w:val="2"/>
                  <w:vMerge w:val="continue"/>
                  <w:tcBorders>
                    <w:left w:val="single" w:color="000000" w:sz="4" w:space="0"/>
                    <w:right w:val="single" w:color="000000" w:sz="4" w:space="0"/>
                  </w:tcBorders>
                  <w:shd w:val="clear" w:color="auto" w:fill="auto"/>
                  <w:vAlign w:val="center"/>
                </w:tcPr>
                <w:p w14:paraId="6E408FD1">
                  <w:pPr>
                    <w:jc w:val="center"/>
                    <w:rPr>
                      <w:rFonts w:hint="default" w:ascii="Times New Roman" w:hAnsi="Times New Roman" w:eastAsia="宋体" w:cs="Times New Roman"/>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DD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锡及其化合物</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13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8E-05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D2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33C30">
                  <w:pPr>
                    <w:jc w:val="center"/>
                    <w:rPr>
                      <w:rFonts w:hint="eastAsia" w:ascii="宋体" w:hAnsi="宋体" w:eastAsia="宋体" w:cs="宋体"/>
                      <w:i w:val="0"/>
                      <w:iCs w:val="0"/>
                      <w:color w:val="000000"/>
                      <w:sz w:val="21"/>
                      <w:szCs w:val="21"/>
                      <w:u w:val="none"/>
                    </w:rPr>
                  </w:pPr>
                </w:p>
              </w:tc>
            </w:tr>
            <w:tr w14:paraId="648C2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30BBCB65">
                  <w:pPr>
                    <w:jc w:val="center"/>
                    <w:rPr>
                      <w:rFonts w:hint="default" w:ascii="Times New Roman" w:hAnsi="Times New Roman" w:eastAsia="宋体" w:cs="Times New Roman"/>
                      <w:i w:val="0"/>
                      <w:iCs w:val="0"/>
                      <w:color w:val="000000"/>
                      <w:sz w:val="21"/>
                      <w:szCs w:val="21"/>
                      <w:u w:val="none"/>
                    </w:rPr>
                  </w:pPr>
                </w:p>
              </w:tc>
              <w:tc>
                <w:tcPr>
                  <w:tcW w:w="2110" w:type="dxa"/>
                  <w:gridSpan w:val="2"/>
                  <w:vMerge w:val="continue"/>
                  <w:tcBorders>
                    <w:left w:val="single" w:color="000000" w:sz="4" w:space="0"/>
                    <w:right w:val="single" w:color="000000" w:sz="4" w:space="0"/>
                  </w:tcBorders>
                  <w:shd w:val="clear" w:color="auto" w:fill="auto"/>
                  <w:vAlign w:val="center"/>
                </w:tcPr>
                <w:p w14:paraId="5480EE4E">
                  <w:pPr>
                    <w:jc w:val="center"/>
                    <w:rPr>
                      <w:rFonts w:hint="default" w:ascii="Times New Roman" w:hAnsi="Times New Roman" w:eastAsia="宋体" w:cs="Times New Roman"/>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2F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6308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0.0015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7DC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1B764">
                  <w:pPr>
                    <w:jc w:val="center"/>
                    <w:rPr>
                      <w:rFonts w:hint="eastAsia" w:ascii="宋体" w:hAnsi="宋体" w:eastAsia="宋体" w:cs="宋体"/>
                      <w:i w:val="0"/>
                      <w:iCs w:val="0"/>
                      <w:color w:val="000000"/>
                      <w:sz w:val="21"/>
                      <w:szCs w:val="21"/>
                      <w:u w:val="none"/>
                    </w:rPr>
                  </w:pPr>
                </w:p>
              </w:tc>
            </w:tr>
            <w:tr w14:paraId="31BBE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0B497549">
                  <w:pPr>
                    <w:jc w:val="center"/>
                    <w:rPr>
                      <w:rFonts w:hint="default" w:ascii="Times New Roman" w:hAnsi="Times New Roman" w:eastAsia="宋体" w:cs="Times New Roman"/>
                      <w:i w:val="0"/>
                      <w:iCs w:val="0"/>
                      <w:color w:val="000000"/>
                      <w:sz w:val="21"/>
                      <w:szCs w:val="21"/>
                      <w:u w:val="none"/>
                    </w:rPr>
                  </w:pPr>
                </w:p>
              </w:tc>
              <w:tc>
                <w:tcPr>
                  <w:tcW w:w="2110" w:type="dxa"/>
                  <w:gridSpan w:val="2"/>
                  <w:vMerge w:val="continue"/>
                  <w:tcBorders>
                    <w:left w:val="single" w:color="000000" w:sz="4" w:space="0"/>
                    <w:right w:val="single" w:color="000000" w:sz="4" w:space="0"/>
                  </w:tcBorders>
                  <w:shd w:val="clear" w:color="auto" w:fill="auto"/>
                  <w:vAlign w:val="center"/>
                </w:tcPr>
                <w:p w14:paraId="11D09D7F">
                  <w:pPr>
                    <w:jc w:val="center"/>
                    <w:rPr>
                      <w:rFonts w:hint="default" w:ascii="Times New Roman" w:hAnsi="Times New Roman" w:eastAsia="宋体" w:cs="Times New Roman"/>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FF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氟化物</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61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0.028 </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B23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75867">
                  <w:pPr>
                    <w:jc w:val="center"/>
                    <w:rPr>
                      <w:rFonts w:hint="eastAsia" w:ascii="宋体" w:hAnsi="宋体" w:eastAsia="宋体" w:cs="宋体"/>
                      <w:i w:val="0"/>
                      <w:iCs w:val="0"/>
                      <w:color w:val="000000"/>
                      <w:sz w:val="21"/>
                      <w:szCs w:val="21"/>
                      <w:u w:val="none"/>
                    </w:rPr>
                  </w:pPr>
                </w:p>
              </w:tc>
            </w:tr>
            <w:tr w14:paraId="33473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627" w:type="dxa"/>
                  <w:vMerge w:val="continue"/>
                  <w:tcBorders>
                    <w:left w:val="single" w:color="000000" w:sz="4" w:space="0"/>
                    <w:right w:val="single" w:color="000000" w:sz="4" w:space="0"/>
                  </w:tcBorders>
                  <w:shd w:val="clear" w:color="auto" w:fill="auto"/>
                  <w:vAlign w:val="center"/>
                </w:tcPr>
                <w:p w14:paraId="3EA1B5A6">
                  <w:pPr>
                    <w:jc w:val="center"/>
                    <w:rPr>
                      <w:rFonts w:hint="default" w:ascii="Times New Roman" w:hAnsi="Times New Roman" w:eastAsia="宋体" w:cs="Times New Roman"/>
                      <w:i w:val="0"/>
                      <w:iCs w:val="0"/>
                      <w:color w:val="000000"/>
                      <w:sz w:val="21"/>
                      <w:szCs w:val="21"/>
                      <w:u w:val="none"/>
                    </w:rPr>
                  </w:pPr>
                </w:p>
              </w:tc>
              <w:tc>
                <w:tcPr>
                  <w:tcW w:w="2110" w:type="dxa"/>
                  <w:gridSpan w:val="2"/>
                  <w:vMerge w:val="continue"/>
                  <w:tcBorders>
                    <w:left w:val="single" w:color="000000" w:sz="4" w:space="0"/>
                    <w:right w:val="single" w:color="000000" w:sz="4" w:space="0"/>
                  </w:tcBorders>
                  <w:shd w:val="clear" w:color="auto" w:fill="auto"/>
                  <w:vAlign w:val="center"/>
                </w:tcPr>
                <w:p w14:paraId="527AD160">
                  <w:pPr>
                    <w:jc w:val="center"/>
                    <w:rPr>
                      <w:rFonts w:hint="default" w:ascii="Times New Roman" w:hAnsi="Times New Roman" w:eastAsia="宋体" w:cs="Times New Roman"/>
                      <w:i w:val="0"/>
                      <w:iCs w:val="0"/>
                      <w:color w:val="000000"/>
                      <w:sz w:val="21"/>
                      <w:szCs w:val="21"/>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6BC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非甲烷总烃</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63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0.117 </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7A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CC2F7">
                  <w:pPr>
                    <w:jc w:val="center"/>
                    <w:rPr>
                      <w:rFonts w:hint="eastAsia" w:ascii="宋体" w:hAnsi="宋体" w:eastAsia="宋体" w:cs="宋体"/>
                      <w:i w:val="0"/>
                      <w:iCs w:val="0"/>
                      <w:color w:val="000000"/>
                      <w:sz w:val="21"/>
                      <w:szCs w:val="21"/>
                      <w:u w:val="none"/>
                    </w:rPr>
                  </w:pPr>
                </w:p>
              </w:tc>
            </w:tr>
          </w:tbl>
          <w:p w14:paraId="2225058E">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firstLine="482" w:firstLineChars="200"/>
              <w:jc w:val="both"/>
              <w:textAlignment w:val="auto"/>
              <w:rPr>
                <w:rFonts w:hint="default" w:ascii="Times New Roman" w:hAnsi="Times New Roman" w:eastAsia="宋体" w:cs="Times New Roman"/>
                <w:b/>
                <w:bCs/>
                <w:color w:val="auto"/>
                <w:kern w:val="2"/>
                <w:sz w:val="24"/>
                <w:szCs w:val="21"/>
                <w:lang w:val="en-US" w:eastAsia="zh-CN" w:bidi="ar"/>
              </w:rPr>
            </w:pPr>
            <w:r>
              <w:rPr>
                <w:rFonts w:hint="default" w:ascii="Times New Roman" w:hAnsi="Times New Roman" w:eastAsia="宋体" w:cs="Times New Roman"/>
                <w:b/>
                <w:bCs/>
                <w:color w:val="auto"/>
                <w:kern w:val="2"/>
                <w:sz w:val="24"/>
                <w:szCs w:val="21"/>
                <w:lang w:val="en-US" w:eastAsia="zh-CN" w:bidi="ar"/>
              </w:rPr>
              <w:t>3、大气污染物年排放量核算</w:t>
            </w:r>
          </w:p>
          <w:p w14:paraId="5FBC31EB">
            <w:pPr>
              <w:keepNext w:val="0"/>
              <w:keepLines w:val="0"/>
              <w:pageBreakBefore w:val="0"/>
              <w:widowControl w:val="0"/>
              <w:kinsoku/>
              <w:wordWrap/>
              <w:overflowPunct/>
              <w:topLinePunct w:val="0"/>
              <w:autoSpaceDE/>
              <w:autoSpaceDN/>
              <w:bidi w:val="0"/>
              <w:adjustRightInd/>
              <w:snapToGrid/>
              <w:spacing w:line="480" w:lineRule="exact"/>
              <w:ind w:firstLine="422" w:firstLineChars="200"/>
              <w:jc w:val="center"/>
              <w:textAlignment w:val="auto"/>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表4-</w:t>
            </w:r>
            <w:r>
              <w:rPr>
                <w:rFonts w:hint="eastAsia" w:ascii="Times New Roman" w:hAnsi="Times New Roman" w:eastAsia="宋体" w:cs="Times New Roman"/>
                <w:b/>
                <w:bCs/>
                <w:color w:val="auto"/>
                <w:kern w:val="2"/>
                <w:sz w:val="21"/>
                <w:szCs w:val="21"/>
                <w:lang w:val="en-US" w:eastAsia="zh-CN" w:bidi="ar-SA"/>
              </w:rPr>
              <w:t>39</w:t>
            </w:r>
            <w:r>
              <w:rPr>
                <w:rFonts w:hint="default" w:ascii="Times New Roman" w:hAnsi="Times New Roman" w:eastAsia="宋体" w:cs="Times New Roman"/>
                <w:b/>
                <w:bCs/>
                <w:color w:val="auto"/>
                <w:kern w:val="2"/>
                <w:sz w:val="21"/>
                <w:szCs w:val="21"/>
                <w:lang w:val="en-US" w:eastAsia="zh-CN" w:bidi="ar-SA"/>
              </w:rPr>
              <w:t xml:space="preserve">  大气污染物年排放量核算表</w:t>
            </w:r>
          </w:p>
          <w:tbl>
            <w:tblPr>
              <w:tblStyle w:val="26"/>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8"/>
              <w:gridCol w:w="2466"/>
              <w:gridCol w:w="1749"/>
              <w:gridCol w:w="1650"/>
              <w:gridCol w:w="1865"/>
            </w:tblGrid>
            <w:tr w14:paraId="345EB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308" w:type="dxa"/>
                  <w:vMerge w:val="restart"/>
                  <w:tcBorders>
                    <w:tl2br w:val="nil"/>
                    <w:tr2bl w:val="nil"/>
                  </w:tcBorders>
                  <w:noWrap w:val="0"/>
                  <w:vAlign w:val="center"/>
                </w:tcPr>
                <w:p w14:paraId="064750A1">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rPr>
                      <w:rFonts w:hint="default" w:ascii="Times New Roman" w:hAnsi="Times New Roman" w:eastAsia="宋体" w:cs="Times New Roman"/>
                      <w:b/>
                      <w:bCs/>
                      <w:color w:val="auto"/>
                      <w:kern w:val="2"/>
                      <w:sz w:val="21"/>
                      <w:szCs w:val="21"/>
                      <w:lang w:val="en-US" w:eastAsia="zh-CN" w:bidi="ar"/>
                    </w:rPr>
                  </w:pPr>
                  <w:r>
                    <w:rPr>
                      <w:rFonts w:hint="default" w:ascii="Times New Roman" w:hAnsi="Times New Roman" w:eastAsia="宋体" w:cs="Times New Roman"/>
                      <w:b/>
                      <w:bCs/>
                      <w:color w:val="auto"/>
                      <w:kern w:val="2"/>
                      <w:sz w:val="21"/>
                      <w:szCs w:val="21"/>
                      <w:lang w:val="en-US" w:eastAsia="zh-CN" w:bidi="ar"/>
                    </w:rPr>
                    <w:t>序号</w:t>
                  </w:r>
                </w:p>
              </w:tc>
              <w:tc>
                <w:tcPr>
                  <w:tcW w:w="2466" w:type="dxa"/>
                  <w:vMerge w:val="restart"/>
                  <w:tcBorders>
                    <w:tl2br w:val="nil"/>
                    <w:tr2bl w:val="nil"/>
                  </w:tcBorders>
                  <w:noWrap w:val="0"/>
                  <w:vAlign w:val="center"/>
                </w:tcPr>
                <w:p w14:paraId="7380C12F">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cs="Times New Roman"/>
                      <w:b/>
                      <w:bCs/>
                      <w:color w:val="auto"/>
                      <w:kern w:val="0"/>
                      <w:sz w:val="21"/>
                      <w:szCs w:val="21"/>
                    </w:rPr>
                  </w:pPr>
                  <w:r>
                    <w:rPr>
                      <w:rFonts w:hint="default" w:ascii="Times New Roman" w:hAnsi="Times New Roman" w:cs="Times New Roman"/>
                      <w:b/>
                      <w:bCs/>
                      <w:color w:val="auto"/>
                      <w:kern w:val="0"/>
                      <w:sz w:val="21"/>
                      <w:szCs w:val="21"/>
                    </w:rPr>
                    <w:t>污染物</w:t>
                  </w:r>
                </w:p>
              </w:tc>
              <w:tc>
                <w:tcPr>
                  <w:tcW w:w="5264" w:type="dxa"/>
                  <w:gridSpan w:val="3"/>
                  <w:tcBorders>
                    <w:tl2br w:val="nil"/>
                    <w:tr2bl w:val="nil"/>
                  </w:tcBorders>
                  <w:noWrap w:val="0"/>
                  <w:vAlign w:val="center"/>
                </w:tcPr>
                <w:p w14:paraId="74AA600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cs="Times New Roman"/>
                      <w:b/>
                      <w:bCs/>
                      <w:color w:val="auto"/>
                      <w:kern w:val="0"/>
                      <w:sz w:val="21"/>
                      <w:szCs w:val="21"/>
                    </w:rPr>
                  </w:pPr>
                  <w:r>
                    <w:rPr>
                      <w:rFonts w:hint="default" w:ascii="Times New Roman" w:hAnsi="Times New Roman" w:cs="Times New Roman"/>
                      <w:b/>
                      <w:bCs/>
                      <w:color w:val="auto"/>
                      <w:kern w:val="0"/>
                      <w:sz w:val="21"/>
                      <w:szCs w:val="21"/>
                    </w:rPr>
                    <w:t>年排放量（t/a）</w:t>
                  </w:r>
                </w:p>
              </w:tc>
            </w:tr>
            <w:tr w14:paraId="701F5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308" w:type="dxa"/>
                  <w:vMerge w:val="continue"/>
                  <w:tcBorders>
                    <w:tl2br w:val="nil"/>
                    <w:tr2bl w:val="nil"/>
                  </w:tcBorders>
                  <w:noWrap w:val="0"/>
                  <w:vAlign w:val="center"/>
                </w:tcPr>
                <w:p w14:paraId="5D7239B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cs="Times New Roman"/>
                      <w:b/>
                      <w:bCs/>
                      <w:color w:val="auto"/>
                      <w:sz w:val="21"/>
                      <w:szCs w:val="21"/>
                    </w:rPr>
                  </w:pPr>
                </w:p>
              </w:tc>
              <w:tc>
                <w:tcPr>
                  <w:tcW w:w="2466" w:type="dxa"/>
                  <w:vMerge w:val="continue"/>
                  <w:tcBorders>
                    <w:tl2br w:val="nil"/>
                    <w:tr2bl w:val="nil"/>
                  </w:tcBorders>
                  <w:noWrap w:val="0"/>
                  <w:vAlign w:val="center"/>
                </w:tcPr>
                <w:p w14:paraId="154678B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cs="Times New Roman"/>
                      <w:b/>
                      <w:bCs/>
                      <w:color w:val="auto"/>
                      <w:sz w:val="21"/>
                      <w:szCs w:val="21"/>
                    </w:rPr>
                  </w:pPr>
                </w:p>
              </w:tc>
              <w:tc>
                <w:tcPr>
                  <w:tcW w:w="1749" w:type="dxa"/>
                  <w:tcBorders>
                    <w:tl2br w:val="nil"/>
                    <w:tr2bl w:val="nil"/>
                  </w:tcBorders>
                  <w:noWrap w:val="0"/>
                  <w:vAlign w:val="center"/>
                </w:tcPr>
                <w:p w14:paraId="2E78551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cs="Times New Roman"/>
                      <w:b/>
                      <w:bCs/>
                      <w:color w:val="auto"/>
                      <w:kern w:val="0"/>
                      <w:sz w:val="21"/>
                      <w:szCs w:val="21"/>
                    </w:rPr>
                  </w:pPr>
                  <w:r>
                    <w:rPr>
                      <w:rFonts w:hint="default" w:ascii="Times New Roman" w:hAnsi="Times New Roman" w:cs="Times New Roman"/>
                      <w:b/>
                      <w:bCs/>
                      <w:color w:val="auto"/>
                      <w:kern w:val="0"/>
                      <w:sz w:val="21"/>
                      <w:szCs w:val="21"/>
                    </w:rPr>
                    <w:t>有组织</w:t>
                  </w:r>
                </w:p>
              </w:tc>
              <w:tc>
                <w:tcPr>
                  <w:tcW w:w="1650" w:type="dxa"/>
                  <w:tcBorders>
                    <w:tl2br w:val="nil"/>
                    <w:tr2bl w:val="nil"/>
                  </w:tcBorders>
                  <w:noWrap w:val="0"/>
                  <w:vAlign w:val="center"/>
                </w:tcPr>
                <w:p w14:paraId="1A8D8CD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cs="Times New Roman"/>
                      <w:b/>
                      <w:bCs/>
                      <w:color w:val="auto"/>
                      <w:kern w:val="0"/>
                      <w:sz w:val="21"/>
                      <w:szCs w:val="21"/>
                    </w:rPr>
                  </w:pPr>
                  <w:r>
                    <w:rPr>
                      <w:rFonts w:hint="default" w:ascii="Times New Roman" w:hAnsi="Times New Roman" w:cs="Times New Roman"/>
                      <w:b/>
                      <w:bCs/>
                      <w:color w:val="auto"/>
                      <w:kern w:val="0"/>
                      <w:sz w:val="21"/>
                      <w:szCs w:val="21"/>
                    </w:rPr>
                    <w:t>无组织</w:t>
                  </w:r>
                </w:p>
              </w:tc>
              <w:tc>
                <w:tcPr>
                  <w:tcW w:w="1865" w:type="dxa"/>
                  <w:tcBorders>
                    <w:tl2br w:val="nil"/>
                    <w:tr2bl w:val="nil"/>
                  </w:tcBorders>
                  <w:noWrap w:val="0"/>
                  <w:vAlign w:val="center"/>
                </w:tcPr>
                <w:p w14:paraId="2BD0B6E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cs="Times New Roman"/>
                      <w:b/>
                      <w:bCs/>
                      <w:color w:val="auto"/>
                      <w:kern w:val="0"/>
                      <w:sz w:val="21"/>
                      <w:szCs w:val="21"/>
                    </w:rPr>
                  </w:pPr>
                  <w:r>
                    <w:rPr>
                      <w:rFonts w:hint="default" w:ascii="Times New Roman" w:hAnsi="Times New Roman" w:cs="Times New Roman"/>
                      <w:b/>
                      <w:bCs/>
                      <w:color w:val="auto"/>
                      <w:kern w:val="0"/>
                      <w:sz w:val="21"/>
                      <w:szCs w:val="21"/>
                    </w:rPr>
                    <w:t>合计</w:t>
                  </w:r>
                </w:p>
              </w:tc>
            </w:tr>
            <w:tr w14:paraId="53D3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308" w:type="dxa"/>
                  <w:tcBorders>
                    <w:tl2br w:val="nil"/>
                    <w:tr2bl w:val="nil"/>
                  </w:tcBorders>
                  <w:noWrap w:val="0"/>
                  <w:vAlign w:val="center"/>
                </w:tcPr>
                <w:p w14:paraId="4A007A35">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1</w:t>
                  </w:r>
                </w:p>
              </w:tc>
              <w:tc>
                <w:tcPr>
                  <w:tcW w:w="2466" w:type="dxa"/>
                  <w:tcBorders>
                    <w:tl2br w:val="nil"/>
                    <w:tr2bl w:val="nil"/>
                  </w:tcBorders>
                  <w:shd w:val="clear" w:color="auto" w:fill="auto"/>
                  <w:noWrap w:val="0"/>
                  <w:vAlign w:val="center"/>
                </w:tcPr>
                <w:p w14:paraId="631C48AF">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二氧化硫</w:t>
                  </w:r>
                </w:p>
              </w:tc>
              <w:tc>
                <w:tcPr>
                  <w:tcW w:w="1749" w:type="dxa"/>
                  <w:tcBorders>
                    <w:tl2br w:val="nil"/>
                    <w:tr2bl w:val="nil"/>
                  </w:tcBorders>
                  <w:shd w:val="clear" w:color="auto" w:fill="auto"/>
                  <w:noWrap w:val="0"/>
                  <w:vAlign w:val="center"/>
                </w:tcPr>
                <w:p w14:paraId="76DBDB3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6.02E-06</w:t>
                  </w:r>
                </w:p>
              </w:tc>
              <w:tc>
                <w:tcPr>
                  <w:tcW w:w="1650" w:type="dxa"/>
                  <w:tcBorders>
                    <w:tl2br w:val="nil"/>
                    <w:tr2bl w:val="nil"/>
                  </w:tcBorders>
                  <w:shd w:val="clear" w:color="auto" w:fill="auto"/>
                  <w:noWrap w:val="0"/>
                  <w:vAlign w:val="center"/>
                </w:tcPr>
                <w:p w14:paraId="0308B8F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6.08E-08</w:t>
                  </w:r>
                </w:p>
              </w:tc>
              <w:tc>
                <w:tcPr>
                  <w:tcW w:w="1865" w:type="dxa"/>
                  <w:tcBorders>
                    <w:tl2br w:val="nil"/>
                    <w:tr2bl w:val="nil"/>
                  </w:tcBorders>
                  <w:noWrap w:val="0"/>
                  <w:vAlign w:val="center"/>
                </w:tcPr>
                <w:p w14:paraId="19E5B3F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6.08E-06</w:t>
                  </w:r>
                </w:p>
              </w:tc>
            </w:tr>
            <w:tr w14:paraId="382CB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308" w:type="dxa"/>
                  <w:tcBorders>
                    <w:tl2br w:val="nil"/>
                    <w:tr2bl w:val="nil"/>
                  </w:tcBorders>
                  <w:noWrap w:val="0"/>
                  <w:vAlign w:val="center"/>
                </w:tcPr>
                <w:p w14:paraId="273B50D0">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2</w:t>
                  </w:r>
                </w:p>
              </w:tc>
              <w:tc>
                <w:tcPr>
                  <w:tcW w:w="2466" w:type="dxa"/>
                  <w:tcBorders>
                    <w:tl2br w:val="nil"/>
                    <w:tr2bl w:val="nil"/>
                  </w:tcBorders>
                  <w:shd w:val="clear" w:color="auto" w:fill="auto"/>
                  <w:noWrap w:val="0"/>
                  <w:vAlign w:val="center"/>
                </w:tcPr>
                <w:p w14:paraId="06D3213D">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氮氧化物</w:t>
                  </w:r>
                </w:p>
              </w:tc>
              <w:tc>
                <w:tcPr>
                  <w:tcW w:w="1749" w:type="dxa"/>
                  <w:tcBorders>
                    <w:tl2br w:val="nil"/>
                    <w:tr2bl w:val="nil"/>
                  </w:tcBorders>
                  <w:shd w:val="clear" w:color="auto" w:fill="auto"/>
                  <w:noWrap w:val="0"/>
                  <w:vAlign w:val="center"/>
                </w:tcPr>
                <w:p w14:paraId="2F4ED6C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w:t>
                  </w:r>
                  <w:r>
                    <w:rPr>
                      <w:rFonts w:hint="eastAsia" w:cs="Times New Roman"/>
                      <w:i w:val="0"/>
                      <w:iCs w:val="0"/>
                      <w:color w:val="000000"/>
                      <w:kern w:val="0"/>
                      <w:sz w:val="21"/>
                      <w:szCs w:val="21"/>
                      <w:u w:val="none"/>
                      <w:lang w:val="en-US" w:eastAsia="zh-CN" w:bidi="ar"/>
                    </w:rPr>
                    <w:t>684</w:t>
                  </w:r>
                </w:p>
              </w:tc>
              <w:tc>
                <w:tcPr>
                  <w:tcW w:w="1650" w:type="dxa"/>
                  <w:tcBorders>
                    <w:tl2br w:val="nil"/>
                    <w:tr2bl w:val="nil"/>
                  </w:tcBorders>
                  <w:shd w:val="clear" w:color="auto" w:fill="auto"/>
                  <w:noWrap w:val="0"/>
                  <w:vAlign w:val="center"/>
                </w:tcPr>
                <w:p w14:paraId="5CF4D07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w:t>
                  </w:r>
                  <w:r>
                    <w:rPr>
                      <w:rFonts w:hint="eastAsia" w:cs="Times New Roman"/>
                      <w:i w:val="0"/>
                      <w:iCs w:val="0"/>
                      <w:color w:val="000000"/>
                      <w:kern w:val="0"/>
                      <w:sz w:val="21"/>
                      <w:szCs w:val="21"/>
                      <w:u w:val="none"/>
                      <w:lang w:val="en-US" w:eastAsia="zh-CN" w:bidi="ar"/>
                    </w:rPr>
                    <w:t>34</w:t>
                  </w:r>
                </w:p>
              </w:tc>
              <w:tc>
                <w:tcPr>
                  <w:tcW w:w="1865" w:type="dxa"/>
                  <w:tcBorders>
                    <w:tl2br w:val="nil"/>
                    <w:tr2bl w:val="nil"/>
                  </w:tcBorders>
                  <w:noWrap w:val="0"/>
                  <w:vAlign w:val="center"/>
                </w:tcPr>
                <w:p w14:paraId="49D8498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3.</w:t>
                  </w:r>
                  <w:r>
                    <w:rPr>
                      <w:rFonts w:hint="eastAsia" w:cs="Times New Roman"/>
                      <w:i w:val="0"/>
                      <w:iCs w:val="0"/>
                      <w:color w:val="000000"/>
                      <w:kern w:val="0"/>
                      <w:sz w:val="22"/>
                      <w:szCs w:val="22"/>
                      <w:u w:val="none"/>
                      <w:lang w:val="en-US" w:eastAsia="zh-CN" w:bidi="ar"/>
                    </w:rPr>
                    <w:t>71</w:t>
                  </w:r>
                </w:p>
              </w:tc>
            </w:tr>
            <w:tr w14:paraId="2E509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308" w:type="dxa"/>
                  <w:tcBorders>
                    <w:tl2br w:val="nil"/>
                    <w:tr2bl w:val="nil"/>
                  </w:tcBorders>
                  <w:noWrap w:val="0"/>
                  <w:vAlign w:val="center"/>
                </w:tcPr>
                <w:p w14:paraId="075F4116">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3</w:t>
                  </w:r>
                </w:p>
              </w:tc>
              <w:tc>
                <w:tcPr>
                  <w:tcW w:w="2466" w:type="dxa"/>
                  <w:tcBorders>
                    <w:tl2br w:val="nil"/>
                    <w:tr2bl w:val="nil"/>
                  </w:tcBorders>
                  <w:shd w:val="clear" w:color="auto" w:fill="auto"/>
                  <w:noWrap w:val="0"/>
                  <w:vAlign w:val="center"/>
                </w:tcPr>
                <w:p w14:paraId="4DA46411">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749" w:type="dxa"/>
                  <w:tcBorders>
                    <w:tl2br w:val="nil"/>
                    <w:tr2bl w:val="nil"/>
                  </w:tcBorders>
                  <w:shd w:val="clear" w:color="auto" w:fill="auto"/>
                  <w:noWrap w:val="0"/>
                  <w:vAlign w:val="center"/>
                </w:tcPr>
                <w:p w14:paraId="5ED0E6C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0.208</w:t>
                  </w:r>
                </w:p>
              </w:tc>
              <w:tc>
                <w:tcPr>
                  <w:tcW w:w="1650" w:type="dxa"/>
                  <w:tcBorders>
                    <w:tl2br w:val="nil"/>
                    <w:tr2bl w:val="nil"/>
                  </w:tcBorders>
                  <w:shd w:val="clear" w:color="auto" w:fill="auto"/>
                  <w:noWrap w:val="0"/>
                  <w:vAlign w:val="center"/>
                </w:tcPr>
                <w:p w14:paraId="4D1124C7">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0.269 </w:t>
                  </w:r>
                </w:p>
              </w:tc>
              <w:tc>
                <w:tcPr>
                  <w:tcW w:w="1865" w:type="dxa"/>
                  <w:tcBorders>
                    <w:tl2br w:val="nil"/>
                    <w:tr2bl w:val="nil"/>
                  </w:tcBorders>
                  <w:noWrap w:val="0"/>
                  <w:vAlign w:val="center"/>
                </w:tcPr>
                <w:p w14:paraId="00DB29A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0.477</w:t>
                  </w:r>
                </w:p>
              </w:tc>
            </w:tr>
            <w:tr w14:paraId="571FC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308" w:type="dxa"/>
                  <w:tcBorders>
                    <w:tl2br w:val="nil"/>
                    <w:tr2bl w:val="nil"/>
                  </w:tcBorders>
                  <w:noWrap w:val="0"/>
                  <w:vAlign w:val="center"/>
                </w:tcPr>
                <w:p w14:paraId="0BAAEC14">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4</w:t>
                  </w:r>
                </w:p>
              </w:tc>
              <w:tc>
                <w:tcPr>
                  <w:tcW w:w="2466" w:type="dxa"/>
                  <w:tcBorders>
                    <w:tl2br w:val="nil"/>
                    <w:tr2bl w:val="nil"/>
                  </w:tcBorders>
                  <w:shd w:val="clear" w:color="auto" w:fill="auto"/>
                  <w:noWrap w:val="0"/>
                  <w:vAlign w:val="center"/>
                </w:tcPr>
                <w:p w14:paraId="6B943643">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锡及其化合物</w:t>
                  </w:r>
                </w:p>
              </w:tc>
              <w:tc>
                <w:tcPr>
                  <w:tcW w:w="1749" w:type="dxa"/>
                  <w:tcBorders>
                    <w:tl2br w:val="nil"/>
                    <w:tr2bl w:val="nil"/>
                  </w:tcBorders>
                  <w:shd w:val="clear" w:color="auto" w:fill="auto"/>
                  <w:noWrap w:val="0"/>
                  <w:vAlign w:val="center"/>
                </w:tcPr>
                <w:p w14:paraId="4F05264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7.92E-05</w:t>
                  </w:r>
                </w:p>
              </w:tc>
              <w:tc>
                <w:tcPr>
                  <w:tcW w:w="1650" w:type="dxa"/>
                  <w:tcBorders>
                    <w:tl2br w:val="nil"/>
                    <w:tr2bl w:val="nil"/>
                  </w:tcBorders>
                  <w:shd w:val="clear" w:color="auto" w:fill="auto"/>
                  <w:noWrap w:val="0"/>
                  <w:vAlign w:val="center"/>
                </w:tcPr>
                <w:p w14:paraId="2B29E7A2">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8E-05</w:t>
                  </w:r>
                </w:p>
              </w:tc>
              <w:tc>
                <w:tcPr>
                  <w:tcW w:w="1865" w:type="dxa"/>
                  <w:tcBorders>
                    <w:tl2br w:val="nil"/>
                    <w:tr2bl w:val="nil"/>
                  </w:tcBorders>
                  <w:noWrap w:val="0"/>
                  <w:vAlign w:val="center"/>
                </w:tcPr>
                <w:p w14:paraId="0AD550C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1.59E-04</w:t>
                  </w:r>
                </w:p>
              </w:tc>
            </w:tr>
            <w:tr w14:paraId="6A7A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308" w:type="dxa"/>
                  <w:tcBorders>
                    <w:tl2br w:val="nil"/>
                    <w:tr2bl w:val="nil"/>
                  </w:tcBorders>
                  <w:noWrap w:val="0"/>
                  <w:vAlign w:val="center"/>
                </w:tcPr>
                <w:p w14:paraId="5B504838">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rPr>
                      <w:rFonts w:hint="default" w:ascii="Times New Roman" w:hAnsi="Times New Roman" w:eastAsia="宋体" w:cs="Times New Roman"/>
                      <w:color w:val="auto"/>
                      <w:kern w:val="2"/>
                      <w:sz w:val="21"/>
                      <w:szCs w:val="21"/>
                      <w:lang w:val="en-US" w:eastAsia="zh-CN" w:bidi="ar"/>
                    </w:rPr>
                  </w:pPr>
                  <w:r>
                    <w:rPr>
                      <w:rFonts w:hint="eastAsia" w:cs="Times New Roman"/>
                      <w:color w:val="auto"/>
                      <w:kern w:val="2"/>
                      <w:sz w:val="21"/>
                      <w:szCs w:val="21"/>
                      <w:lang w:val="en-US" w:eastAsia="zh-CN" w:bidi="ar"/>
                    </w:rPr>
                    <w:t>5</w:t>
                  </w:r>
                </w:p>
              </w:tc>
              <w:tc>
                <w:tcPr>
                  <w:tcW w:w="2466" w:type="dxa"/>
                  <w:tcBorders>
                    <w:tl2br w:val="nil"/>
                    <w:tr2bl w:val="nil"/>
                  </w:tcBorders>
                  <w:shd w:val="clear" w:color="auto" w:fill="auto"/>
                  <w:noWrap w:val="0"/>
                  <w:vAlign w:val="center"/>
                </w:tcPr>
                <w:p w14:paraId="5F975B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749" w:type="dxa"/>
                  <w:tcBorders>
                    <w:tl2br w:val="nil"/>
                    <w:tr2bl w:val="nil"/>
                  </w:tcBorders>
                  <w:shd w:val="clear" w:color="auto" w:fill="auto"/>
                  <w:noWrap w:val="0"/>
                  <w:vAlign w:val="center"/>
                </w:tcPr>
                <w:p w14:paraId="4F2274F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1.49E-03</w:t>
                  </w:r>
                </w:p>
              </w:tc>
              <w:tc>
                <w:tcPr>
                  <w:tcW w:w="1650" w:type="dxa"/>
                  <w:tcBorders>
                    <w:tl2br w:val="nil"/>
                    <w:tr2bl w:val="nil"/>
                  </w:tcBorders>
                  <w:shd w:val="clear" w:color="auto" w:fill="auto"/>
                  <w:noWrap w:val="0"/>
                  <w:vAlign w:val="center"/>
                </w:tcPr>
                <w:p w14:paraId="2318131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0.0015</w:t>
                  </w:r>
                </w:p>
              </w:tc>
              <w:tc>
                <w:tcPr>
                  <w:tcW w:w="1865" w:type="dxa"/>
                  <w:tcBorders>
                    <w:tl2br w:val="nil"/>
                    <w:tr2bl w:val="nil"/>
                  </w:tcBorders>
                  <w:noWrap w:val="0"/>
                  <w:vAlign w:val="center"/>
                </w:tcPr>
                <w:p w14:paraId="15959FD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cs="Times New Roman"/>
                      <w:i w:val="0"/>
                      <w:iCs w:val="0"/>
                      <w:color w:val="000000"/>
                      <w:kern w:val="0"/>
                      <w:sz w:val="22"/>
                      <w:szCs w:val="22"/>
                      <w:u w:val="none"/>
                      <w:lang w:val="en-US" w:eastAsia="zh-CN" w:bidi="ar"/>
                    </w:rPr>
                    <w:t>0.003</w:t>
                  </w:r>
                </w:p>
              </w:tc>
            </w:tr>
            <w:tr w14:paraId="4F3D1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0" w:type="auto"/>
                  <w:tcBorders>
                    <w:tl2br w:val="nil"/>
                    <w:tr2bl w:val="nil"/>
                  </w:tcBorders>
                  <w:noWrap w:val="0"/>
                  <w:vAlign w:val="center"/>
                </w:tcPr>
                <w:p w14:paraId="7771E842">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rPr>
                      <w:rFonts w:hint="default" w:ascii="Times New Roman" w:hAnsi="Times New Roman" w:eastAsia="宋体" w:cs="Times New Roman"/>
                      <w:color w:val="auto"/>
                      <w:kern w:val="2"/>
                      <w:sz w:val="21"/>
                      <w:szCs w:val="21"/>
                      <w:lang w:val="en-US" w:eastAsia="zh-CN" w:bidi="ar"/>
                    </w:rPr>
                  </w:pPr>
                  <w:r>
                    <w:rPr>
                      <w:rFonts w:hint="eastAsia" w:cs="Times New Roman"/>
                      <w:color w:val="auto"/>
                      <w:kern w:val="2"/>
                      <w:sz w:val="21"/>
                      <w:szCs w:val="21"/>
                      <w:lang w:val="en-US" w:eastAsia="zh-CN" w:bidi="ar"/>
                    </w:rPr>
                    <w:t>6</w:t>
                  </w:r>
                </w:p>
              </w:tc>
              <w:tc>
                <w:tcPr>
                  <w:tcW w:w="2466" w:type="dxa"/>
                  <w:tcBorders>
                    <w:tl2br w:val="nil"/>
                    <w:tr2bl w:val="nil"/>
                  </w:tcBorders>
                  <w:shd w:val="clear" w:color="auto" w:fill="auto"/>
                  <w:noWrap w:val="0"/>
                  <w:vAlign w:val="center"/>
                </w:tcPr>
                <w:p w14:paraId="36C13B74">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氟化物</w:t>
                  </w:r>
                </w:p>
              </w:tc>
              <w:tc>
                <w:tcPr>
                  <w:tcW w:w="1749" w:type="dxa"/>
                  <w:tcBorders>
                    <w:tl2br w:val="nil"/>
                    <w:tr2bl w:val="nil"/>
                  </w:tcBorders>
                  <w:shd w:val="clear" w:color="auto" w:fill="auto"/>
                  <w:noWrap w:val="0"/>
                  <w:vAlign w:val="center"/>
                </w:tcPr>
                <w:p w14:paraId="6B1FD6D7">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0.416</w:t>
                  </w:r>
                </w:p>
              </w:tc>
              <w:tc>
                <w:tcPr>
                  <w:tcW w:w="1650" w:type="dxa"/>
                  <w:tcBorders>
                    <w:tl2br w:val="nil"/>
                    <w:tr2bl w:val="nil"/>
                  </w:tcBorders>
                  <w:shd w:val="clear" w:color="auto" w:fill="auto"/>
                  <w:noWrap w:val="0"/>
                  <w:vAlign w:val="center"/>
                </w:tcPr>
                <w:p w14:paraId="12FBB5C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0.028 </w:t>
                  </w:r>
                </w:p>
              </w:tc>
              <w:tc>
                <w:tcPr>
                  <w:tcW w:w="1865" w:type="dxa"/>
                  <w:tcBorders>
                    <w:tl2br w:val="nil"/>
                    <w:tr2bl w:val="nil"/>
                  </w:tcBorders>
                  <w:noWrap w:val="0"/>
                  <w:vAlign w:val="center"/>
                </w:tcPr>
                <w:p w14:paraId="22CF39D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0.444</w:t>
                  </w:r>
                </w:p>
              </w:tc>
            </w:tr>
            <w:tr w14:paraId="5D9D1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0" w:type="auto"/>
                  <w:tcBorders>
                    <w:tl2br w:val="nil"/>
                    <w:tr2bl w:val="nil"/>
                  </w:tcBorders>
                  <w:noWrap w:val="0"/>
                  <w:vAlign w:val="center"/>
                </w:tcPr>
                <w:p w14:paraId="5B16EFEF">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rPr>
                      <w:rFonts w:hint="default" w:ascii="Times New Roman" w:hAnsi="Times New Roman" w:eastAsia="宋体" w:cs="Times New Roman"/>
                      <w:color w:val="auto"/>
                      <w:kern w:val="2"/>
                      <w:sz w:val="21"/>
                      <w:szCs w:val="21"/>
                      <w:lang w:val="en-US" w:eastAsia="zh-CN" w:bidi="ar"/>
                    </w:rPr>
                  </w:pPr>
                  <w:r>
                    <w:rPr>
                      <w:rFonts w:hint="eastAsia" w:cs="Times New Roman"/>
                      <w:color w:val="auto"/>
                      <w:kern w:val="2"/>
                      <w:sz w:val="21"/>
                      <w:szCs w:val="21"/>
                      <w:lang w:val="en-US" w:eastAsia="zh-CN" w:bidi="ar"/>
                    </w:rPr>
                    <w:t>7</w:t>
                  </w:r>
                </w:p>
              </w:tc>
              <w:tc>
                <w:tcPr>
                  <w:tcW w:w="2466" w:type="dxa"/>
                  <w:tcBorders>
                    <w:tl2br w:val="nil"/>
                    <w:tr2bl w:val="nil"/>
                  </w:tcBorders>
                  <w:shd w:val="clear" w:color="auto" w:fill="auto"/>
                  <w:noWrap w:val="0"/>
                  <w:vAlign w:val="center"/>
                </w:tcPr>
                <w:p w14:paraId="22D7C964">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非甲烷总烃</w:t>
                  </w:r>
                </w:p>
              </w:tc>
              <w:tc>
                <w:tcPr>
                  <w:tcW w:w="1749" w:type="dxa"/>
                  <w:tcBorders>
                    <w:tl2br w:val="nil"/>
                    <w:tr2bl w:val="nil"/>
                  </w:tcBorders>
                  <w:shd w:val="clear" w:color="auto" w:fill="auto"/>
                  <w:noWrap w:val="0"/>
                  <w:vAlign w:val="center"/>
                </w:tcPr>
                <w:p w14:paraId="5B652990">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1.283</w:t>
                  </w:r>
                </w:p>
              </w:tc>
              <w:tc>
                <w:tcPr>
                  <w:tcW w:w="1650" w:type="dxa"/>
                  <w:tcBorders>
                    <w:tl2br w:val="nil"/>
                    <w:tr2bl w:val="nil"/>
                  </w:tcBorders>
                  <w:shd w:val="clear" w:color="auto" w:fill="auto"/>
                  <w:noWrap w:val="0"/>
                  <w:vAlign w:val="center"/>
                </w:tcPr>
                <w:p w14:paraId="164CF66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0.117 </w:t>
                  </w:r>
                </w:p>
              </w:tc>
              <w:tc>
                <w:tcPr>
                  <w:tcW w:w="1865" w:type="dxa"/>
                  <w:tcBorders>
                    <w:tl2br w:val="nil"/>
                    <w:tr2bl w:val="nil"/>
                  </w:tcBorders>
                  <w:noWrap w:val="0"/>
                  <w:vAlign w:val="center"/>
                </w:tcPr>
                <w:p w14:paraId="5E6F41E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1.4</w:t>
                  </w:r>
                </w:p>
              </w:tc>
            </w:tr>
          </w:tbl>
          <w:p w14:paraId="7F28BFC4">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both"/>
              <w:textAlignment w:val="auto"/>
              <w:rPr>
                <w:rFonts w:hint="default" w:ascii="Times New Roman" w:hAnsi="Times New Roman" w:eastAsia="宋体" w:cs="Times New Roman"/>
                <w:b/>
                <w:bCs/>
                <w:color w:val="auto"/>
                <w:kern w:val="2"/>
                <w:sz w:val="24"/>
                <w:szCs w:val="21"/>
                <w:lang w:val="en-US" w:eastAsia="zh-CN" w:bidi="ar"/>
              </w:rPr>
            </w:pPr>
          </w:p>
          <w:p w14:paraId="08A96D72">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both"/>
              <w:textAlignment w:val="auto"/>
              <w:rPr>
                <w:rFonts w:hint="default" w:ascii="Times New Roman" w:hAnsi="Times New Roman" w:eastAsia="宋体" w:cs="Times New Roman"/>
                <w:b/>
                <w:bCs/>
                <w:color w:val="auto"/>
                <w:kern w:val="2"/>
                <w:sz w:val="24"/>
                <w:szCs w:val="21"/>
                <w:lang w:val="en-US" w:eastAsia="zh-CN" w:bidi="ar"/>
              </w:rPr>
            </w:pPr>
          </w:p>
          <w:p w14:paraId="55DFA6AC">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both"/>
              <w:textAlignment w:val="auto"/>
              <w:rPr>
                <w:rFonts w:hint="default" w:ascii="Times New Roman" w:hAnsi="Times New Roman" w:eastAsia="宋体" w:cs="Times New Roman"/>
                <w:b/>
                <w:bCs/>
                <w:color w:val="auto"/>
                <w:kern w:val="2"/>
                <w:sz w:val="24"/>
                <w:szCs w:val="21"/>
                <w:lang w:val="en-US" w:eastAsia="zh-CN" w:bidi="ar"/>
              </w:rPr>
            </w:pPr>
          </w:p>
          <w:p w14:paraId="27B1D920">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both"/>
              <w:textAlignment w:val="auto"/>
              <w:rPr>
                <w:rFonts w:hint="default" w:ascii="Times New Roman" w:hAnsi="Times New Roman" w:eastAsia="宋体" w:cs="Times New Roman"/>
                <w:b/>
                <w:bCs/>
                <w:color w:val="auto"/>
                <w:kern w:val="2"/>
                <w:sz w:val="24"/>
                <w:szCs w:val="21"/>
                <w:lang w:val="en-US" w:eastAsia="zh-CN" w:bidi="ar"/>
              </w:rPr>
            </w:pPr>
            <w:r>
              <w:rPr>
                <w:rFonts w:hint="default" w:ascii="Times New Roman" w:hAnsi="Times New Roman" w:eastAsia="宋体" w:cs="Times New Roman"/>
                <w:b/>
                <w:bCs/>
                <w:color w:val="auto"/>
                <w:kern w:val="2"/>
                <w:sz w:val="24"/>
                <w:szCs w:val="21"/>
                <w:lang w:val="en-US" w:eastAsia="zh-CN" w:bidi="ar"/>
              </w:rPr>
              <w:t>4、</w:t>
            </w:r>
            <w:r>
              <w:rPr>
                <w:rFonts w:hint="eastAsia" w:ascii="Times New Roman" w:hAnsi="Times New Roman" w:eastAsia="宋体" w:cs="Times New Roman"/>
                <w:b/>
                <w:bCs/>
                <w:color w:val="auto"/>
                <w:kern w:val="2"/>
                <w:sz w:val="24"/>
                <w:szCs w:val="21"/>
                <w:lang w:val="en-US" w:eastAsia="zh-CN" w:bidi="ar"/>
              </w:rPr>
              <w:t>水</w:t>
            </w:r>
            <w:r>
              <w:rPr>
                <w:rFonts w:hint="default" w:ascii="Times New Roman" w:hAnsi="Times New Roman" w:eastAsia="宋体" w:cs="Times New Roman"/>
                <w:b/>
                <w:bCs/>
                <w:color w:val="auto"/>
                <w:kern w:val="2"/>
                <w:sz w:val="24"/>
                <w:szCs w:val="21"/>
                <w:lang w:val="en-US" w:eastAsia="zh-CN" w:bidi="ar"/>
              </w:rPr>
              <w:t>污染物年排放量核算</w:t>
            </w:r>
          </w:p>
          <w:p w14:paraId="7122659A">
            <w:pPr>
              <w:pStyle w:val="76"/>
              <w:spacing w:line="480" w:lineRule="exact"/>
              <w:rPr>
                <w:rFonts w:cs="宋体"/>
                <w:kern w:val="0"/>
                <w:sz w:val="21"/>
                <w:szCs w:val="21"/>
              </w:rPr>
            </w:pPr>
            <w:r>
              <w:rPr>
                <w:rFonts w:cs="宋体"/>
                <w:kern w:val="0"/>
                <w:sz w:val="21"/>
                <w:szCs w:val="21"/>
              </w:rPr>
              <w:t>表</w:t>
            </w:r>
            <w:r>
              <w:rPr>
                <w:rFonts w:hint="eastAsia" w:cs="宋体"/>
                <w:kern w:val="0"/>
                <w:sz w:val="21"/>
                <w:szCs w:val="21"/>
              </w:rPr>
              <w:t>4-</w:t>
            </w:r>
            <w:r>
              <w:rPr>
                <w:rFonts w:hint="eastAsia" w:cs="宋体"/>
                <w:kern w:val="0"/>
                <w:sz w:val="21"/>
                <w:szCs w:val="21"/>
                <w:lang w:val="en-US" w:eastAsia="zh-CN"/>
              </w:rPr>
              <w:t>40</w:t>
            </w:r>
            <w:r>
              <w:rPr>
                <w:rFonts w:hint="eastAsia" w:cs="宋体"/>
                <w:kern w:val="0"/>
                <w:sz w:val="21"/>
                <w:szCs w:val="21"/>
              </w:rPr>
              <w:t xml:space="preserve">  废水污染物排放信息</w:t>
            </w:r>
            <w:r>
              <w:rPr>
                <w:rFonts w:cs="宋体"/>
                <w:kern w:val="0"/>
                <w:sz w:val="21"/>
                <w:szCs w:val="21"/>
              </w:rPr>
              <w:t>表</w:t>
            </w:r>
          </w:p>
          <w:tbl>
            <w:tblPr>
              <w:tblStyle w:val="26"/>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58"/>
              <w:gridCol w:w="944"/>
              <w:gridCol w:w="1809"/>
              <w:gridCol w:w="1809"/>
              <w:gridCol w:w="1809"/>
              <w:gridCol w:w="1809"/>
            </w:tblGrid>
            <w:tr w14:paraId="10DFF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387" w:hRule="atLeast"/>
                <w:jc w:val="center"/>
              </w:trPr>
              <w:tc>
                <w:tcPr>
                  <w:tcW w:w="958" w:type="dxa"/>
                  <w:tcBorders>
                    <w:tl2br w:val="nil"/>
                    <w:tr2bl w:val="nil"/>
                  </w:tcBorders>
                  <w:shd w:val="clear" w:color="auto" w:fill="auto"/>
                  <w:vAlign w:val="center"/>
                </w:tcPr>
                <w:p w14:paraId="438ED97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944" w:type="dxa"/>
                  <w:tcBorders>
                    <w:tl2br w:val="nil"/>
                    <w:tr2bl w:val="nil"/>
                  </w:tcBorders>
                  <w:shd w:val="clear" w:color="auto" w:fill="auto"/>
                  <w:vAlign w:val="center"/>
                </w:tcPr>
                <w:p w14:paraId="0C98987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排放口编号</w:t>
                  </w:r>
                </w:p>
              </w:tc>
              <w:tc>
                <w:tcPr>
                  <w:tcW w:w="1809" w:type="dxa"/>
                  <w:tcBorders>
                    <w:tl2br w:val="nil"/>
                    <w:tr2bl w:val="nil"/>
                  </w:tcBorders>
                  <w:shd w:val="clear" w:color="auto" w:fill="auto"/>
                  <w:vAlign w:val="center"/>
                </w:tcPr>
                <w:p w14:paraId="339D180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污染物</w:t>
                  </w:r>
                </w:p>
              </w:tc>
              <w:tc>
                <w:tcPr>
                  <w:tcW w:w="1809" w:type="dxa"/>
                  <w:tcBorders>
                    <w:tl2br w:val="nil"/>
                    <w:tr2bl w:val="nil"/>
                  </w:tcBorders>
                  <w:shd w:val="clear" w:color="auto" w:fill="auto"/>
                  <w:vAlign w:val="center"/>
                </w:tcPr>
                <w:p w14:paraId="00D1A84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排放浓度（</w:t>
                  </w:r>
                  <w:r>
                    <w:rPr>
                      <w:rFonts w:hint="default" w:ascii="Times New Roman" w:hAnsi="Times New Roman" w:eastAsia="宋体" w:cs="Times New Roman"/>
                      <w:b/>
                      <w:bCs/>
                      <w:i w:val="0"/>
                      <w:iCs w:val="0"/>
                      <w:color w:val="000000"/>
                      <w:kern w:val="0"/>
                      <w:sz w:val="21"/>
                      <w:szCs w:val="21"/>
                      <w:u w:val="none"/>
                      <w:lang w:val="en-US" w:eastAsia="zh-CN" w:bidi="ar"/>
                    </w:rPr>
                    <w:t>mg/L</w:t>
                  </w:r>
                  <w:r>
                    <w:rPr>
                      <w:rFonts w:hint="eastAsia" w:ascii="宋体" w:hAnsi="宋体" w:eastAsia="宋体" w:cs="宋体"/>
                      <w:b/>
                      <w:bCs/>
                      <w:i w:val="0"/>
                      <w:iCs w:val="0"/>
                      <w:color w:val="000000"/>
                      <w:kern w:val="0"/>
                      <w:sz w:val="21"/>
                      <w:szCs w:val="21"/>
                      <w:u w:val="none"/>
                      <w:lang w:val="en-US" w:eastAsia="zh-CN" w:bidi="ar"/>
                    </w:rPr>
                    <w:t>）</w:t>
                  </w:r>
                </w:p>
              </w:tc>
              <w:tc>
                <w:tcPr>
                  <w:tcW w:w="1809" w:type="dxa"/>
                  <w:tcBorders>
                    <w:tl2br w:val="nil"/>
                    <w:tr2bl w:val="nil"/>
                  </w:tcBorders>
                  <w:shd w:val="clear" w:color="auto" w:fill="auto"/>
                  <w:vAlign w:val="center"/>
                </w:tcPr>
                <w:p w14:paraId="45B4636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年排放量（</w:t>
                  </w:r>
                  <w:r>
                    <w:rPr>
                      <w:rFonts w:hint="default" w:ascii="Times New Roman" w:hAnsi="Times New Roman" w:eastAsia="宋体" w:cs="Times New Roman"/>
                      <w:b/>
                      <w:bCs/>
                      <w:i w:val="0"/>
                      <w:iCs w:val="0"/>
                      <w:color w:val="000000"/>
                      <w:kern w:val="0"/>
                      <w:sz w:val="21"/>
                      <w:szCs w:val="21"/>
                      <w:u w:val="none"/>
                      <w:lang w:val="en-US" w:eastAsia="zh-CN" w:bidi="ar"/>
                    </w:rPr>
                    <w:t>t/d</w:t>
                  </w:r>
                  <w:r>
                    <w:rPr>
                      <w:rFonts w:hint="eastAsia" w:ascii="宋体" w:hAnsi="宋体" w:eastAsia="宋体" w:cs="宋体"/>
                      <w:b/>
                      <w:bCs/>
                      <w:i w:val="0"/>
                      <w:iCs w:val="0"/>
                      <w:color w:val="000000"/>
                      <w:kern w:val="0"/>
                      <w:sz w:val="21"/>
                      <w:szCs w:val="21"/>
                      <w:u w:val="none"/>
                      <w:lang w:val="en-US" w:eastAsia="zh-CN" w:bidi="ar"/>
                    </w:rPr>
                    <w:t>）</w:t>
                  </w:r>
                </w:p>
              </w:tc>
              <w:tc>
                <w:tcPr>
                  <w:tcW w:w="1809" w:type="dxa"/>
                  <w:tcBorders>
                    <w:tl2br w:val="nil"/>
                    <w:tr2bl w:val="nil"/>
                  </w:tcBorders>
                  <w:shd w:val="clear" w:color="auto" w:fill="auto"/>
                  <w:vAlign w:val="center"/>
                </w:tcPr>
                <w:p w14:paraId="138F983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日排放量（</w:t>
                  </w:r>
                  <w:r>
                    <w:rPr>
                      <w:rFonts w:hint="default" w:ascii="Times New Roman" w:hAnsi="Times New Roman" w:eastAsia="宋体" w:cs="Times New Roman"/>
                      <w:b/>
                      <w:bCs/>
                      <w:i w:val="0"/>
                      <w:iCs w:val="0"/>
                      <w:color w:val="000000"/>
                      <w:kern w:val="0"/>
                      <w:sz w:val="21"/>
                      <w:szCs w:val="21"/>
                      <w:u w:val="none"/>
                      <w:lang w:val="en-US" w:eastAsia="zh-CN" w:bidi="ar"/>
                    </w:rPr>
                    <w:t>t/a</w:t>
                  </w:r>
                  <w:r>
                    <w:rPr>
                      <w:rFonts w:hint="eastAsia" w:ascii="宋体" w:hAnsi="宋体" w:eastAsia="宋体" w:cs="宋体"/>
                      <w:b/>
                      <w:bCs/>
                      <w:i w:val="0"/>
                      <w:iCs w:val="0"/>
                      <w:color w:val="000000"/>
                      <w:kern w:val="0"/>
                      <w:sz w:val="21"/>
                      <w:szCs w:val="21"/>
                      <w:u w:val="none"/>
                      <w:lang w:val="en-US" w:eastAsia="zh-CN" w:bidi="ar"/>
                    </w:rPr>
                    <w:t>）</w:t>
                  </w:r>
                </w:p>
              </w:tc>
            </w:tr>
            <w:tr w14:paraId="710E8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 w:hRule="atLeast"/>
                <w:jc w:val="center"/>
              </w:trPr>
              <w:tc>
                <w:tcPr>
                  <w:tcW w:w="958" w:type="dxa"/>
                  <w:vMerge w:val="restart"/>
                  <w:tcBorders>
                    <w:tl2br w:val="nil"/>
                    <w:tr2bl w:val="nil"/>
                  </w:tcBorders>
                  <w:shd w:val="clear" w:color="auto" w:fill="auto"/>
                  <w:vAlign w:val="center"/>
                </w:tcPr>
                <w:p w14:paraId="23877D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1</w:t>
                  </w:r>
                </w:p>
              </w:tc>
              <w:tc>
                <w:tcPr>
                  <w:tcW w:w="944" w:type="dxa"/>
                  <w:vMerge w:val="restart"/>
                  <w:tcBorders>
                    <w:tl2br w:val="nil"/>
                    <w:tr2bl w:val="nil"/>
                  </w:tcBorders>
                  <w:shd w:val="clear" w:color="auto" w:fill="auto"/>
                  <w:vAlign w:val="center"/>
                </w:tcPr>
                <w:p w14:paraId="0EAAF3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DW00</w:t>
                  </w:r>
                  <w:r>
                    <w:rPr>
                      <w:rFonts w:hint="eastAsia" w:cs="Times New Roman"/>
                      <w:i w:val="0"/>
                      <w:iCs w:val="0"/>
                      <w:color w:val="000000"/>
                      <w:kern w:val="0"/>
                      <w:sz w:val="21"/>
                      <w:szCs w:val="21"/>
                      <w:u w:val="none"/>
                      <w:lang w:val="en-US" w:eastAsia="zh-CN" w:bidi="ar"/>
                    </w:rPr>
                    <w:t>1</w:t>
                  </w:r>
                </w:p>
              </w:tc>
              <w:tc>
                <w:tcPr>
                  <w:tcW w:w="1809" w:type="dxa"/>
                  <w:tcBorders>
                    <w:tl2br w:val="nil"/>
                    <w:tr2bl w:val="nil"/>
                  </w:tcBorders>
                  <w:shd w:val="clear" w:color="auto" w:fill="auto"/>
                  <w:vAlign w:val="center"/>
                </w:tcPr>
                <w:p w14:paraId="69CA06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809" w:type="dxa"/>
                  <w:tcBorders>
                    <w:tl2br w:val="nil"/>
                    <w:tr2bl w:val="nil"/>
                  </w:tcBorders>
                  <w:shd w:val="clear" w:color="auto" w:fill="auto"/>
                  <w:vAlign w:val="center"/>
                </w:tcPr>
                <w:p w14:paraId="0E593A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6~9</w:t>
                  </w:r>
                </w:p>
              </w:tc>
              <w:tc>
                <w:tcPr>
                  <w:tcW w:w="1809" w:type="dxa"/>
                  <w:tcBorders>
                    <w:tl2br w:val="nil"/>
                    <w:tr2bl w:val="nil"/>
                  </w:tcBorders>
                  <w:shd w:val="clear" w:color="auto" w:fill="auto"/>
                  <w:vAlign w:val="center"/>
                </w:tcPr>
                <w:p w14:paraId="5E5B75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2"/>
                      <w:szCs w:val="22"/>
                      <w:u w:val="none"/>
                      <w:lang w:val="en-US" w:eastAsia="zh-CN" w:bidi="ar"/>
                    </w:rPr>
                    <w:t>/</w:t>
                  </w:r>
                </w:p>
              </w:tc>
              <w:tc>
                <w:tcPr>
                  <w:tcW w:w="1809" w:type="dxa"/>
                  <w:tcBorders>
                    <w:tl2br w:val="nil"/>
                    <w:tr2bl w:val="nil"/>
                  </w:tcBorders>
                  <w:shd w:val="clear" w:color="auto" w:fill="auto"/>
                  <w:vAlign w:val="center"/>
                </w:tcPr>
                <w:p w14:paraId="6286D3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2"/>
                      <w:szCs w:val="22"/>
                      <w:u w:val="none"/>
                      <w:lang w:val="en-US" w:eastAsia="zh-CN" w:bidi="ar"/>
                    </w:rPr>
                    <w:t>/</w:t>
                  </w:r>
                </w:p>
              </w:tc>
            </w:tr>
            <w:tr w14:paraId="5E76A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 w:hRule="atLeast"/>
                <w:jc w:val="center"/>
              </w:trPr>
              <w:tc>
                <w:tcPr>
                  <w:tcW w:w="958" w:type="dxa"/>
                  <w:vMerge w:val="continue"/>
                  <w:tcBorders>
                    <w:tl2br w:val="nil"/>
                    <w:tr2bl w:val="nil"/>
                  </w:tcBorders>
                  <w:shd w:val="clear" w:color="auto" w:fill="auto"/>
                  <w:vAlign w:val="center"/>
                </w:tcPr>
                <w:p w14:paraId="2CA8D2AB">
                  <w:pPr>
                    <w:jc w:val="center"/>
                    <w:rPr>
                      <w:rFonts w:hint="default" w:ascii="Times New Roman" w:hAnsi="Times New Roman" w:eastAsia="宋体" w:cs="Times New Roman"/>
                      <w:i w:val="0"/>
                      <w:iCs w:val="0"/>
                      <w:color w:val="000000"/>
                      <w:sz w:val="21"/>
                      <w:szCs w:val="21"/>
                      <w:u w:val="none"/>
                    </w:rPr>
                  </w:pPr>
                </w:p>
              </w:tc>
              <w:tc>
                <w:tcPr>
                  <w:tcW w:w="944" w:type="dxa"/>
                  <w:vMerge w:val="continue"/>
                  <w:tcBorders>
                    <w:tl2br w:val="nil"/>
                    <w:tr2bl w:val="nil"/>
                  </w:tcBorders>
                  <w:shd w:val="clear" w:color="auto" w:fill="auto"/>
                  <w:vAlign w:val="center"/>
                </w:tcPr>
                <w:p w14:paraId="752332B8">
                  <w:pPr>
                    <w:jc w:val="center"/>
                    <w:rPr>
                      <w:rFonts w:hint="default" w:ascii="Times New Roman" w:hAnsi="Times New Roman" w:eastAsia="宋体" w:cs="Times New Roman"/>
                      <w:i w:val="0"/>
                      <w:iCs w:val="0"/>
                      <w:color w:val="000000"/>
                      <w:sz w:val="21"/>
                      <w:szCs w:val="21"/>
                      <w:u w:val="none"/>
                    </w:rPr>
                  </w:pPr>
                </w:p>
              </w:tc>
              <w:tc>
                <w:tcPr>
                  <w:tcW w:w="1809" w:type="dxa"/>
                  <w:tcBorders>
                    <w:tl2br w:val="nil"/>
                    <w:tr2bl w:val="nil"/>
                  </w:tcBorders>
                  <w:shd w:val="clear" w:color="auto" w:fill="auto"/>
                  <w:vAlign w:val="center"/>
                </w:tcPr>
                <w:p w14:paraId="0B9CBF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色度</w:t>
                  </w:r>
                </w:p>
              </w:tc>
              <w:tc>
                <w:tcPr>
                  <w:tcW w:w="1809" w:type="dxa"/>
                  <w:tcBorders>
                    <w:tl2br w:val="nil"/>
                    <w:tr2bl w:val="nil"/>
                  </w:tcBorders>
                  <w:shd w:val="clear" w:color="auto" w:fill="auto"/>
                  <w:vAlign w:val="center"/>
                </w:tcPr>
                <w:p w14:paraId="68290A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809" w:type="dxa"/>
                  <w:tcBorders>
                    <w:tl2br w:val="nil"/>
                    <w:tr2bl w:val="nil"/>
                  </w:tcBorders>
                  <w:shd w:val="clear" w:color="auto" w:fill="auto"/>
                  <w:vAlign w:val="center"/>
                </w:tcPr>
                <w:p w14:paraId="3D2751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809" w:type="dxa"/>
                  <w:tcBorders>
                    <w:tl2br w:val="nil"/>
                    <w:tr2bl w:val="nil"/>
                  </w:tcBorders>
                  <w:shd w:val="clear" w:color="auto" w:fill="auto"/>
                  <w:vAlign w:val="center"/>
                </w:tcPr>
                <w:p w14:paraId="67A369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14:paraId="14C00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01" w:hRule="atLeast"/>
                <w:jc w:val="center"/>
              </w:trPr>
              <w:tc>
                <w:tcPr>
                  <w:tcW w:w="958" w:type="dxa"/>
                  <w:vMerge w:val="continue"/>
                  <w:tcBorders>
                    <w:tl2br w:val="nil"/>
                    <w:tr2bl w:val="nil"/>
                  </w:tcBorders>
                  <w:shd w:val="clear" w:color="auto" w:fill="auto"/>
                  <w:vAlign w:val="center"/>
                </w:tcPr>
                <w:p w14:paraId="284D2588">
                  <w:pPr>
                    <w:jc w:val="center"/>
                    <w:rPr>
                      <w:rFonts w:hint="default" w:ascii="Times New Roman" w:hAnsi="Times New Roman" w:eastAsia="宋体" w:cs="Times New Roman"/>
                      <w:i w:val="0"/>
                      <w:iCs w:val="0"/>
                      <w:color w:val="000000"/>
                      <w:sz w:val="21"/>
                      <w:szCs w:val="21"/>
                      <w:u w:val="none"/>
                    </w:rPr>
                  </w:pPr>
                </w:p>
              </w:tc>
              <w:tc>
                <w:tcPr>
                  <w:tcW w:w="944" w:type="dxa"/>
                  <w:vMerge w:val="continue"/>
                  <w:tcBorders>
                    <w:tl2br w:val="nil"/>
                    <w:tr2bl w:val="nil"/>
                  </w:tcBorders>
                  <w:shd w:val="clear" w:color="auto" w:fill="auto"/>
                  <w:vAlign w:val="center"/>
                </w:tcPr>
                <w:p w14:paraId="36774CFF">
                  <w:pPr>
                    <w:jc w:val="center"/>
                    <w:rPr>
                      <w:rFonts w:hint="default" w:ascii="Times New Roman" w:hAnsi="Times New Roman" w:eastAsia="宋体" w:cs="Times New Roman"/>
                      <w:i w:val="0"/>
                      <w:iCs w:val="0"/>
                      <w:color w:val="000000"/>
                      <w:sz w:val="21"/>
                      <w:szCs w:val="21"/>
                      <w:u w:val="none"/>
                    </w:rPr>
                  </w:pPr>
                </w:p>
              </w:tc>
              <w:tc>
                <w:tcPr>
                  <w:tcW w:w="1809" w:type="dxa"/>
                  <w:tcBorders>
                    <w:tl2br w:val="nil"/>
                    <w:tr2bl w:val="nil"/>
                  </w:tcBorders>
                  <w:shd w:val="clear" w:color="auto" w:fill="auto"/>
                  <w:vAlign w:val="center"/>
                </w:tcPr>
                <w:p w14:paraId="4959EC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809" w:type="dxa"/>
                  <w:tcBorders>
                    <w:tl2br w:val="nil"/>
                    <w:tr2bl w:val="nil"/>
                  </w:tcBorders>
                  <w:shd w:val="clear" w:color="auto" w:fill="auto"/>
                  <w:vAlign w:val="center"/>
                </w:tcPr>
                <w:p w14:paraId="2DA95B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0.597 </w:t>
                  </w:r>
                </w:p>
              </w:tc>
              <w:tc>
                <w:tcPr>
                  <w:tcW w:w="1809" w:type="dxa"/>
                  <w:tcBorders>
                    <w:tl2br w:val="nil"/>
                    <w:tr2bl w:val="nil"/>
                  </w:tcBorders>
                  <w:shd w:val="clear" w:color="auto" w:fill="auto"/>
                  <w:vAlign w:val="center"/>
                </w:tcPr>
                <w:p w14:paraId="00A145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0.001 </w:t>
                  </w:r>
                </w:p>
              </w:tc>
              <w:tc>
                <w:tcPr>
                  <w:tcW w:w="1809" w:type="dxa"/>
                  <w:tcBorders>
                    <w:tl2br w:val="nil"/>
                    <w:tr2bl w:val="nil"/>
                  </w:tcBorders>
                  <w:shd w:val="clear" w:color="auto" w:fill="auto"/>
                  <w:vAlign w:val="center"/>
                </w:tcPr>
                <w:p w14:paraId="41AA44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2"/>
                      <w:szCs w:val="22"/>
                      <w:u w:val="none"/>
                      <w:lang w:val="en-US" w:eastAsia="zh-CN" w:bidi="ar"/>
                    </w:rPr>
                    <w:t>3.17E-06</w:t>
                  </w:r>
                </w:p>
              </w:tc>
            </w:tr>
            <w:tr w14:paraId="11FA7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 w:hRule="atLeast"/>
                <w:jc w:val="center"/>
              </w:trPr>
              <w:tc>
                <w:tcPr>
                  <w:tcW w:w="958" w:type="dxa"/>
                  <w:vMerge w:val="continue"/>
                  <w:tcBorders>
                    <w:tl2br w:val="nil"/>
                    <w:tr2bl w:val="nil"/>
                  </w:tcBorders>
                  <w:shd w:val="clear" w:color="auto" w:fill="auto"/>
                  <w:vAlign w:val="center"/>
                </w:tcPr>
                <w:p w14:paraId="0FCC2BF7">
                  <w:pPr>
                    <w:jc w:val="center"/>
                    <w:rPr>
                      <w:rFonts w:hint="default" w:ascii="Times New Roman" w:hAnsi="Times New Roman" w:eastAsia="宋体" w:cs="Times New Roman"/>
                      <w:i w:val="0"/>
                      <w:iCs w:val="0"/>
                      <w:color w:val="000000"/>
                      <w:sz w:val="21"/>
                      <w:szCs w:val="21"/>
                      <w:u w:val="none"/>
                    </w:rPr>
                  </w:pPr>
                </w:p>
              </w:tc>
              <w:tc>
                <w:tcPr>
                  <w:tcW w:w="944" w:type="dxa"/>
                  <w:vMerge w:val="continue"/>
                  <w:tcBorders>
                    <w:tl2br w:val="nil"/>
                    <w:tr2bl w:val="nil"/>
                  </w:tcBorders>
                  <w:shd w:val="clear" w:color="auto" w:fill="auto"/>
                  <w:vAlign w:val="center"/>
                </w:tcPr>
                <w:p w14:paraId="55D98108">
                  <w:pPr>
                    <w:jc w:val="center"/>
                    <w:rPr>
                      <w:rFonts w:hint="default" w:ascii="Times New Roman" w:hAnsi="Times New Roman" w:eastAsia="宋体" w:cs="Times New Roman"/>
                      <w:i w:val="0"/>
                      <w:iCs w:val="0"/>
                      <w:color w:val="000000"/>
                      <w:sz w:val="21"/>
                      <w:szCs w:val="21"/>
                      <w:u w:val="none"/>
                    </w:rPr>
                  </w:pPr>
                </w:p>
              </w:tc>
              <w:tc>
                <w:tcPr>
                  <w:tcW w:w="1809" w:type="dxa"/>
                  <w:tcBorders>
                    <w:tl2br w:val="nil"/>
                    <w:tr2bl w:val="nil"/>
                  </w:tcBorders>
                  <w:shd w:val="clear" w:color="auto" w:fill="auto"/>
                  <w:vAlign w:val="center"/>
                </w:tcPr>
                <w:p w14:paraId="30BAA1B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COD</w:t>
                  </w:r>
                </w:p>
              </w:tc>
              <w:tc>
                <w:tcPr>
                  <w:tcW w:w="1809" w:type="dxa"/>
                  <w:tcBorders>
                    <w:tl2br w:val="nil"/>
                    <w:tr2bl w:val="nil"/>
                  </w:tcBorders>
                  <w:shd w:val="clear" w:color="auto" w:fill="auto"/>
                  <w:vAlign w:val="center"/>
                </w:tcPr>
                <w:p w14:paraId="33FE0A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307.692 </w:t>
                  </w:r>
                </w:p>
              </w:tc>
              <w:tc>
                <w:tcPr>
                  <w:tcW w:w="1809" w:type="dxa"/>
                  <w:tcBorders>
                    <w:tl2br w:val="nil"/>
                    <w:tr2bl w:val="nil"/>
                  </w:tcBorders>
                  <w:shd w:val="clear" w:color="auto" w:fill="auto"/>
                  <w:vAlign w:val="center"/>
                </w:tcPr>
                <w:p w14:paraId="4775C8A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0.490 </w:t>
                  </w:r>
                </w:p>
              </w:tc>
              <w:tc>
                <w:tcPr>
                  <w:tcW w:w="1809" w:type="dxa"/>
                  <w:tcBorders>
                    <w:tl2br w:val="nil"/>
                    <w:tr2bl w:val="nil"/>
                  </w:tcBorders>
                  <w:shd w:val="clear" w:color="auto" w:fill="auto"/>
                  <w:vAlign w:val="center"/>
                </w:tcPr>
                <w:p w14:paraId="586AEA4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1.63E-03</w:t>
                  </w:r>
                </w:p>
              </w:tc>
            </w:tr>
            <w:tr w14:paraId="0859E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09" w:hRule="atLeast"/>
                <w:jc w:val="center"/>
              </w:trPr>
              <w:tc>
                <w:tcPr>
                  <w:tcW w:w="958" w:type="dxa"/>
                  <w:vMerge w:val="continue"/>
                  <w:tcBorders>
                    <w:tl2br w:val="nil"/>
                    <w:tr2bl w:val="nil"/>
                  </w:tcBorders>
                  <w:shd w:val="clear" w:color="auto" w:fill="auto"/>
                  <w:vAlign w:val="center"/>
                </w:tcPr>
                <w:p w14:paraId="7C288465">
                  <w:pPr>
                    <w:jc w:val="center"/>
                    <w:rPr>
                      <w:rFonts w:hint="default" w:ascii="Times New Roman" w:hAnsi="Times New Roman" w:eastAsia="宋体" w:cs="Times New Roman"/>
                      <w:i w:val="0"/>
                      <w:iCs w:val="0"/>
                      <w:color w:val="000000"/>
                      <w:sz w:val="21"/>
                      <w:szCs w:val="21"/>
                      <w:u w:val="none"/>
                    </w:rPr>
                  </w:pPr>
                </w:p>
              </w:tc>
              <w:tc>
                <w:tcPr>
                  <w:tcW w:w="944" w:type="dxa"/>
                  <w:vMerge w:val="continue"/>
                  <w:tcBorders>
                    <w:tl2br w:val="nil"/>
                    <w:tr2bl w:val="nil"/>
                  </w:tcBorders>
                  <w:shd w:val="clear" w:color="auto" w:fill="auto"/>
                  <w:vAlign w:val="center"/>
                </w:tcPr>
                <w:p w14:paraId="3B606F03">
                  <w:pPr>
                    <w:jc w:val="center"/>
                    <w:rPr>
                      <w:rFonts w:hint="default" w:ascii="Times New Roman" w:hAnsi="Times New Roman" w:eastAsia="宋体" w:cs="Times New Roman"/>
                      <w:i w:val="0"/>
                      <w:iCs w:val="0"/>
                      <w:color w:val="000000"/>
                      <w:sz w:val="21"/>
                      <w:szCs w:val="21"/>
                      <w:u w:val="none"/>
                    </w:rPr>
                  </w:pPr>
                </w:p>
              </w:tc>
              <w:tc>
                <w:tcPr>
                  <w:tcW w:w="1809" w:type="dxa"/>
                  <w:tcBorders>
                    <w:tl2br w:val="nil"/>
                    <w:tr2bl w:val="nil"/>
                  </w:tcBorders>
                  <w:shd w:val="clear" w:color="auto" w:fill="auto"/>
                  <w:vAlign w:val="center"/>
                </w:tcPr>
                <w:p w14:paraId="3C0E4E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BOD</w:t>
                  </w:r>
                  <w:r>
                    <w:rPr>
                      <w:rFonts w:hint="default" w:ascii="Times New Roman" w:hAnsi="Times New Roman" w:eastAsia="宋体" w:cs="Times New Roman"/>
                      <w:i w:val="0"/>
                      <w:iCs w:val="0"/>
                      <w:color w:val="000000"/>
                      <w:kern w:val="0"/>
                      <w:sz w:val="21"/>
                      <w:szCs w:val="21"/>
                      <w:u w:val="none"/>
                      <w:vertAlign w:val="subscript"/>
                      <w:lang w:val="en-US" w:eastAsia="zh-CN" w:bidi="ar"/>
                    </w:rPr>
                    <w:t>5</w:t>
                  </w:r>
                </w:p>
              </w:tc>
              <w:tc>
                <w:tcPr>
                  <w:tcW w:w="1809" w:type="dxa"/>
                  <w:tcBorders>
                    <w:tl2br w:val="nil"/>
                    <w:tr2bl w:val="nil"/>
                  </w:tcBorders>
                  <w:shd w:val="clear" w:color="auto" w:fill="auto"/>
                  <w:vAlign w:val="center"/>
                </w:tcPr>
                <w:p w14:paraId="3B3A30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135.747 </w:t>
                  </w:r>
                </w:p>
              </w:tc>
              <w:tc>
                <w:tcPr>
                  <w:tcW w:w="1809" w:type="dxa"/>
                  <w:tcBorders>
                    <w:tl2br w:val="nil"/>
                    <w:tr2bl w:val="nil"/>
                  </w:tcBorders>
                  <w:shd w:val="clear" w:color="auto" w:fill="auto"/>
                  <w:vAlign w:val="center"/>
                </w:tcPr>
                <w:p w14:paraId="5C32B1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0.216 </w:t>
                  </w:r>
                </w:p>
              </w:tc>
              <w:tc>
                <w:tcPr>
                  <w:tcW w:w="1809" w:type="dxa"/>
                  <w:tcBorders>
                    <w:tl2br w:val="nil"/>
                    <w:tr2bl w:val="nil"/>
                  </w:tcBorders>
                  <w:shd w:val="clear" w:color="auto" w:fill="auto"/>
                  <w:vAlign w:val="center"/>
                </w:tcPr>
                <w:p w14:paraId="0B82FA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2"/>
                      <w:szCs w:val="22"/>
                      <w:u w:val="none"/>
                      <w:lang w:val="en-US" w:eastAsia="zh-CN" w:bidi="ar"/>
                    </w:rPr>
                    <w:t>7.20E-04</w:t>
                  </w:r>
                </w:p>
              </w:tc>
            </w:tr>
            <w:tr w14:paraId="1D9AF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 w:hRule="atLeast"/>
                <w:jc w:val="center"/>
              </w:trPr>
              <w:tc>
                <w:tcPr>
                  <w:tcW w:w="958" w:type="dxa"/>
                  <w:vMerge w:val="continue"/>
                  <w:tcBorders>
                    <w:tl2br w:val="nil"/>
                    <w:tr2bl w:val="nil"/>
                  </w:tcBorders>
                  <w:shd w:val="clear" w:color="auto" w:fill="auto"/>
                  <w:vAlign w:val="center"/>
                </w:tcPr>
                <w:p w14:paraId="07353EFD">
                  <w:pPr>
                    <w:jc w:val="center"/>
                    <w:rPr>
                      <w:rFonts w:hint="default" w:ascii="Times New Roman" w:hAnsi="Times New Roman" w:eastAsia="宋体" w:cs="Times New Roman"/>
                      <w:i w:val="0"/>
                      <w:iCs w:val="0"/>
                      <w:color w:val="000000"/>
                      <w:sz w:val="21"/>
                      <w:szCs w:val="21"/>
                      <w:u w:val="none"/>
                    </w:rPr>
                  </w:pPr>
                </w:p>
              </w:tc>
              <w:tc>
                <w:tcPr>
                  <w:tcW w:w="944" w:type="dxa"/>
                  <w:vMerge w:val="continue"/>
                  <w:tcBorders>
                    <w:tl2br w:val="nil"/>
                    <w:tr2bl w:val="nil"/>
                  </w:tcBorders>
                  <w:shd w:val="clear" w:color="auto" w:fill="auto"/>
                  <w:vAlign w:val="center"/>
                </w:tcPr>
                <w:p w14:paraId="42A161A5">
                  <w:pPr>
                    <w:jc w:val="center"/>
                    <w:rPr>
                      <w:rFonts w:hint="default" w:ascii="Times New Roman" w:hAnsi="Times New Roman" w:eastAsia="宋体" w:cs="Times New Roman"/>
                      <w:i w:val="0"/>
                      <w:iCs w:val="0"/>
                      <w:color w:val="000000"/>
                      <w:sz w:val="21"/>
                      <w:szCs w:val="21"/>
                      <w:u w:val="none"/>
                    </w:rPr>
                  </w:pPr>
                </w:p>
              </w:tc>
              <w:tc>
                <w:tcPr>
                  <w:tcW w:w="1809" w:type="dxa"/>
                  <w:tcBorders>
                    <w:tl2br w:val="nil"/>
                    <w:tr2bl w:val="nil"/>
                  </w:tcBorders>
                  <w:shd w:val="clear" w:color="auto" w:fill="auto"/>
                  <w:vAlign w:val="center"/>
                </w:tcPr>
                <w:p w14:paraId="49AA47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809" w:type="dxa"/>
                  <w:tcBorders>
                    <w:tl2br w:val="nil"/>
                    <w:tr2bl w:val="nil"/>
                  </w:tcBorders>
                  <w:shd w:val="clear" w:color="auto" w:fill="auto"/>
                  <w:vAlign w:val="center"/>
                </w:tcPr>
                <w:p w14:paraId="7D2E8D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56.546 </w:t>
                  </w:r>
                </w:p>
              </w:tc>
              <w:tc>
                <w:tcPr>
                  <w:tcW w:w="1809" w:type="dxa"/>
                  <w:tcBorders>
                    <w:tl2br w:val="nil"/>
                    <w:tr2bl w:val="nil"/>
                  </w:tcBorders>
                  <w:shd w:val="clear" w:color="auto" w:fill="auto"/>
                  <w:vAlign w:val="center"/>
                </w:tcPr>
                <w:p w14:paraId="54A8C2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0.090 </w:t>
                  </w:r>
                </w:p>
              </w:tc>
              <w:tc>
                <w:tcPr>
                  <w:tcW w:w="1809" w:type="dxa"/>
                  <w:tcBorders>
                    <w:tl2br w:val="nil"/>
                    <w:tr2bl w:val="nil"/>
                  </w:tcBorders>
                  <w:shd w:val="clear" w:color="auto" w:fill="auto"/>
                  <w:vAlign w:val="center"/>
                </w:tcPr>
                <w:p w14:paraId="1EE851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2"/>
                      <w:szCs w:val="22"/>
                      <w:u w:val="none"/>
                      <w:lang w:val="en-US" w:eastAsia="zh-CN" w:bidi="ar"/>
                    </w:rPr>
                    <w:t>3.00E-04</w:t>
                  </w:r>
                </w:p>
              </w:tc>
            </w:tr>
            <w:tr w14:paraId="07614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46" w:hRule="atLeast"/>
                <w:jc w:val="center"/>
              </w:trPr>
              <w:tc>
                <w:tcPr>
                  <w:tcW w:w="958" w:type="dxa"/>
                  <w:vMerge w:val="continue"/>
                  <w:tcBorders>
                    <w:tl2br w:val="nil"/>
                    <w:tr2bl w:val="nil"/>
                  </w:tcBorders>
                  <w:shd w:val="clear" w:color="auto" w:fill="auto"/>
                  <w:vAlign w:val="center"/>
                </w:tcPr>
                <w:p w14:paraId="130B9987">
                  <w:pPr>
                    <w:jc w:val="center"/>
                    <w:rPr>
                      <w:rFonts w:hint="default" w:ascii="Times New Roman" w:hAnsi="Times New Roman" w:eastAsia="宋体" w:cs="Times New Roman"/>
                      <w:i w:val="0"/>
                      <w:iCs w:val="0"/>
                      <w:color w:val="000000"/>
                      <w:sz w:val="21"/>
                      <w:szCs w:val="21"/>
                      <w:u w:val="none"/>
                    </w:rPr>
                  </w:pPr>
                </w:p>
              </w:tc>
              <w:tc>
                <w:tcPr>
                  <w:tcW w:w="944" w:type="dxa"/>
                  <w:vMerge w:val="continue"/>
                  <w:tcBorders>
                    <w:tl2br w:val="nil"/>
                    <w:tr2bl w:val="nil"/>
                  </w:tcBorders>
                  <w:shd w:val="clear" w:color="auto" w:fill="auto"/>
                  <w:vAlign w:val="center"/>
                </w:tcPr>
                <w:p w14:paraId="1236FFBC">
                  <w:pPr>
                    <w:jc w:val="center"/>
                    <w:rPr>
                      <w:rFonts w:hint="default" w:ascii="Times New Roman" w:hAnsi="Times New Roman" w:eastAsia="宋体" w:cs="Times New Roman"/>
                      <w:i w:val="0"/>
                      <w:iCs w:val="0"/>
                      <w:color w:val="000000"/>
                      <w:sz w:val="21"/>
                      <w:szCs w:val="21"/>
                      <w:u w:val="none"/>
                    </w:rPr>
                  </w:pPr>
                </w:p>
              </w:tc>
              <w:tc>
                <w:tcPr>
                  <w:tcW w:w="1809" w:type="dxa"/>
                  <w:tcBorders>
                    <w:tl2br w:val="nil"/>
                    <w:tr2bl w:val="nil"/>
                  </w:tcBorders>
                  <w:shd w:val="clear" w:color="auto" w:fill="auto"/>
                  <w:vAlign w:val="center"/>
                </w:tcPr>
                <w:p w14:paraId="59629E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TOC</w:t>
                  </w:r>
                </w:p>
              </w:tc>
              <w:tc>
                <w:tcPr>
                  <w:tcW w:w="1809" w:type="dxa"/>
                  <w:tcBorders>
                    <w:tl2br w:val="nil"/>
                    <w:tr2bl w:val="nil"/>
                  </w:tcBorders>
                  <w:shd w:val="clear" w:color="auto" w:fill="auto"/>
                  <w:vAlign w:val="center"/>
                </w:tcPr>
                <w:p w14:paraId="312921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2.973 </w:t>
                  </w:r>
                </w:p>
              </w:tc>
              <w:tc>
                <w:tcPr>
                  <w:tcW w:w="1809" w:type="dxa"/>
                  <w:tcBorders>
                    <w:tl2br w:val="nil"/>
                    <w:tr2bl w:val="nil"/>
                  </w:tcBorders>
                  <w:shd w:val="clear" w:color="auto" w:fill="auto"/>
                  <w:vAlign w:val="center"/>
                </w:tcPr>
                <w:p w14:paraId="76204B3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0.005 </w:t>
                  </w:r>
                </w:p>
              </w:tc>
              <w:tc>
                <w:tcPr>
                  <w:tcW w:w="1809" w:type="dxa"/>
                  <w:tcBorders>
                    <w:tl2br w:val="nil"/>
                    <w:tr2bl w:val="nil"/>
                  </w:tcBorders>
                  <w:shd w:val="clear" w:color="auto" w:fill="auto"/>
                  <w:vAlign w:val="center"/>
                </w:tcPr>
                <w:p w14:paraId="5F1741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2"/>
                      <w:szCs w:val="22"/>
                      <w:u w:val="none"/>
                      <w:lang w:val="en-US" w:eastAsia="zh-CN" w:bidi="ar"/>
                    </w:rPr>
                    <w:t>1.58E-05</w:t>
                  </w:r>
                </w:p>
              </w:tc>
            </w:tr>
          </w:tbl>
          <w:p w14:paraId="01304455">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both"/>
              <w:textAlignment w:val="auto"/>
              <w:rPr>
                <w:rFonts w:hint="default"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5、固体废物</w:t>
            </w:r>
            <w:r>
              <w:rPr>
                <w:rFonts w:hint="default" w:ascii="Times New Roman" w:hAnsi="Times New Roman" w:eastAsia="宋体" w:cs="Times New Roman"/>
                <w:b/>
                <w:bCs/>
                <w:color w:val="auto"/>
                <w:kern w:val="2"/>
                <w:sz w:val="24"/>
                <w:szCs w:val="24"/>
                <w:lang w:val="en-US" w:eastAsia="zh-CN" w:bidi="ar"/>
              </w:rPr>
              <w:t>年</w:t>
            </w:r>
            <w:r>
              <w:rPr>
                <w:rFonts w:hint="eastAsia" w:ascii="Times New Roman" w:hAnsi="Times New Roman" w:eastAsia="宋体" w:cs="Times New Roman"/>
                <w:b/>
                <w:bCs/>
                <w:color w:val="auto"/>
                <w:kern w:val="2"/>
                <w:sz w:val="24"/>
                <w:szCs w:val="24"/>
                <w:lang w:val="en-US" w:eastAsia="zh-CN" w:bidi="ar"/>
              </w:rPr>
              <w:t>排放</w:t>
            </w:r>
            <w:r>
              <w:rPr>
                <w:rFonts w:hint="default" w:ascii="Times New Roman" w:hAnsi="Times New Roman" w:eastAsia="宋体" w:cs="Times New Roman"/>
                <w:b/>
                <w:bCs/>
                <w:color w:val="auto"/>
                <w:kern w:val="2"/>
                <w:sz w:val="24"/>
                <w:szCs w:val="24"/>
                <w:lang w:val="en-US" w:eastAsia="zh-CN" w:bidi="ar"/>
              </w:rPr>
              <w:t>量核算</w:t>
            </w:r>
          </w:p>
          <w:p w14:paraId="44B4B44C">
            <w:pPr>
              <w:pStyle w:val="64"/>
              <w:keepNext w:val="0"/>
              <w:keepLines w:val="0"/>
              <w:pageBreakBefore w:val="0"/>
              <w:widowControl w:val="0"/>
              <w:kinsoku/>
              <w:wordWrap/>
              <w:overflowPunct/>
              <w:topLinePunct w:val="0"/>
              <w:autoSpaceDE/>
              <w:autoSpaceDN/>
              <w:bidi w:val="0"/>
              <w:adjustRightInd w:val="0"/>
              <w:snapToGrid/>
              <w:spacing w:before="0" w:line="480" w:lineRule="exact"/>
              <w:ind w:left="0" w:leftChars="0" w:firstLine="0" w:firstLineChars="0"/>
              <w:jc w:val="center"/>
              <w:textAlignment w:val="auto"/>
              <w:rPr>
                <w:rFonts w:hint="default" w:ascii="Times New Roman" w:hAnsi="Times New Roman" w:eastAsia="宋体" w:cs="Times New Roman"/>
                <w:b/>
                <w:bCs/>
                <w:color w:val="auto"/>
                <w:spacing w:val="0"/>
                <w:position w:val="0"/>
                <w:sz w:val="21"/>
                <w:szCs w:val="16"/>
                <w:lang w:val="en-US" w:eastAsia="zh-CN"/>
              </w:rPr>
            </w:pPr>
            <w:r>
              <w:rPr>
                <w:rFonts w:hint="default" w:ascii="Times New Roman" w:hAnsi="Times New Roman" w:eastAsia="宋体" w:cs="Times New Roman"/>
                <w:b/>
                <w:bCs/>
                <w:color w:val="auto"/>
                <w:spacing w:val="0"/>
                <w:position w:val="0"/>
                <w:sz w:val="21"/>
                <w:szCs w:val="16"/>
                <w:lang w:val="en-US" w:eastAsia="zh-CN"/>
              </w:rPr>
              <w:t>表4-</w:t>
            </w:r>
            <w:r>
              <w:rPr>
                <w:rFonts w:hint="eastAsia" w:ascii="Times New Roman" w:hAnsi="Times New Roman" w:eastAsia="宋体" w:cs="Times New Roman"/>
                <w:b/>
                <w:bCs/>
                <w:color w:val="auto"/>
                <w:spacing w:val="0"/>
                <w:position w:val="0"/>
                <w:sz w:val="21"/>
                <w:szCs w:val="16"/>
                <w:lang w:val="en-US" w:eastAsia="zh-CN"/>
              </w:rPr>
              <w:t>41</w:t>
            </w:r>
            <w:r>
              <w:rPr>
                <w:rFonts w:hint="default" w:ascii="Times New Roman" w:hAnsi="Times New Roman" w:eastAsia="宋体" w:cs="Times New Roman"/>
                <w:b/>
                <w:bCs/>
                <w:color w:val="auto"/>
                <w:spacing w:val="0"/>
                <w:position w:val="0"/>
                <w:sz w:val="21"/>
                <w:szCs w:val="16"/>
                <w:lang w:val="en-US" w:eastAsia="zh-CN"/>
              </w:rPr>
              <w:t xml:space="preserve">  项目固废排放信息一览表</w:t>
            </w:r>
          </w:p>
          <w:tbl>
            <w:tblPr>
              <w:tblStyle w:val="26"/>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9"/>
              <w:gridCol w:w="1665"/>
              <w:gridCol w:w="1550"/>
              <w:gridCol w:w="1291"/>
              <w:gridCol w:w="2628"/>
              <w:gridCol w:w="1313"/>
            </w:tblGrid>
            <w:tr w14:paraId="24C43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jc w:val="center"/>
              </w:trPr>
              <w:tc>
                <w:tcPr>
                  <w:tcW w:w="709" w:type="dxa"/>
                  <w:tcBorders>
                    <w:tl2br w:val="nil"/>
                    <w:tr2bl w:val="nil"/>
                  </w:tcBorders>
                  <w:noWrap w:val="0"/>
                  <w:vAlign w:val="center"/>
                </w:tcPr>
                <w:p w14:paraId="614569EC">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序号</w:t>
                  </w:r>
                </w:p>
              </w:tc>
              <w:tc>
                <w:tcPr>
                  <w:tcW w:w="1665" w:type="dxa"/>
                  <w:tcBorders>
                    <w:tl2br w:val="nil"/>
                    <w:tr2bl w:val="nil"/>
                  </w:tcBorders>
                  <w:noWrap w:val="0"/>
                  <w:vAlign w:val="center"/>
                </w:tcPr>
                <w:p w14:paraId="02DB8478">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eastAsia" w:cs="Times New Roman"/>
                      <w:b/>
                      <w:bCs/>
                      <w:i w:val="0"/>
                      <w:iCs w:val="0"/>
                      <w:color w:val="auto"/>
                      <w:kern w:val="0"/>
                      <w:sz w:val="21"/>
                      <w:szCs w:val="21"/>
                      <w:u w:val="none"/>
                      <w:lang w:val="en-US" w:eastAsia="zh-CN" w:bidi="ar"/>
                    </w:rPr>
                    <w:t>固废来源</w:t>
                  </w:r>
                </w:p>
              </w:tc>
              <w:tc>
                <w:tcPr>
                  <w:tcW w:w="1550" w:type="dxa"/>
                  <w:tcBorders>
                    <w:tl2br w:val="nil"/>
                    <w:tr2bl w:val="nil"/>
                  </w:tcBorders>
                  <w:noWrap w:val="0"/>
                  <w:vAlign w:val="center"/>
                </w:tcPr>
                <w:p w14:paraId="104B0765">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固废名称</w:t>
                  </w:r>
                </w:p>
              </w:tc>
              <w:tc>
                <w:tcPr>
                  <w:tcW w:w="1291" w:type="dxa"/>
                  <w:tcBorders>
                    <w:tl2br w:val="nil"/>
                    <w:tr2bl w:val="nil"/>
                  </w:tcBorders>
                  <w:noWrap w:val="0"/>
                  <w:vAlign w:val="center"/>
                </w:tcPr>
                <w:p w14:paraId="77E1D813">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eastAsia" w:ascii="Times New Roman" w:hAnsi="Times New Roman" w:eastAsia="宋体" w:cs="Times New Roman"/>
                      <w:b/>
                      <w:bCs/>
                      <w:i w:val="0"/>
                      <w:iCs w:val="0"/>
                      <w:color w:val="auto"/>
                      <w:kern w:val="0"/>
                      <w:sz w:val="21"/>
                      <w:szCs w:val="21"/>
                      <w:u w:val="none"/>
                      <w:lang w:val="en-US" w:eastAsia="zh-CN" w:bidi="ar"/>
                    </w:rPr>
                    <w:t>产生量</w:t>
                  </w:r>
                </w:p>
              </w:tc>
              <w:tc>
                <w:tcPr>
                  <w:tcW w:w="2628" w:type="dxa"/>
                  <w:tcBorders>
                    <w:tl2br w:val="nil"/>
                    <w:tr2bl w:val="nil"/>
                  </w:tcBorders>
                  <w:noWrap w:val="0"/>
                  <w:vAlign w:val="center"/>
                </w:tcPr>
                <w:p w14:paraId="1AD2B398">
                  <w:pPr>
                    <w:keepNext w:val="0"/>
                    <w:keepLines w:val="0"/>
                    <w:widowControl/>
                    <w:suppressLineNumbers w:val="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处置方式</w:t>
                  </w:r>
                </w:p>
              </w:tc>
              <w:tc>
                <w:tcPr>
                  <w:tcW w:w="1313" w:type="dxa"/>
                  <w:tcBorders>
                    <w:tl2br w:val="nil"/>
                    <w:tr2bl w:val="nil"/>
                  </w:tcBorders>
                  <w:noWrap w:val="0"/>
                  <w:vAlign w:val="center"/>
                </w:tcPr>
                <w:p w14:paraId="6D8942F9">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1"/>
                      <w:szCs w:val="21"/>
                      <w:u w:val="none"/>
                      <w:lang w:val="en-US" w:eastAsia="zh-CN" w:bidi="ar"/>
                    </w:rPr>
                  </w:pPr>
                  <w:r>
                    <w:rPr>
                      <w:rFonts w:hint="eastAsia" w:ascii="Times New Roman" w:hAnsi="Times New Roman" w:eastAsia="宋体" w:cs="Times New Roman"/>
                      <w:b/>
                      <w:bCs/>
                      <w:i w:val="0"/>
                      <w:iCs w:val="0"/>
                      <w:color w:val="auto"/>
                      <w:kern w:val="0"/>
                      <w:sz w:val="21"/>
                      <w:szCs w:val="21"/>
                      <w:u w:val="none"/>
                      <w:lang w:val="en-US" w:eastAsia="zh-CN" w:bidi="ar"/>
                    </w:rPr>
                    <w:t>排放量</w:t>
                  </w:r>
                </w:p>
              </w:tc>
            </w:tr>
            <w:tr w14:paraId="05EB6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709" w:type="dxa"/>
                  <w:tcBorders>
                    <w:tl2br w:val="nil"/>
                    <w:tr2bl w:val="nil"/>
                  </w:tcBorders>
                  <w:shd w:val="clear" w:color="auto" w:fill="auto"/>
                  <w:noWrap/>
                  <w:vAlign w:val="center"/>
                </w:tcPr>
                <w:p w14:paraId="0599950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w:t>
                  </w:r>
                </w:p>
              </w:tc>
              <w:tc>
                <w:tcPr>
                  <w:tcW w:w="1665" w:type="dxa"/>
                  <w:tcBorders>
                    <w:tl2br w:val="nil"/>
                    <w:tr2bl w:val="nil"/>
                  </w:tcBorders>
                  <w:noWrap w:val="0"/>
                  <w:vAlign w:val="center"/>
                </w:tcPr>
                <w:p w14:paraId="44C15C3A">
                  <w:pPr>
                    <w:keepNext w:val="0"/>
                    <w:keepLines w:val="0"/>
                    <w:widowControl/>
                    <w:suppressLineNumbers w:val="0"/>
                    <w:jc w:val="center"/>
                    <w:textAlignment w:val="center"/>
                    <w:rPr>
                      <w:rFonts w:hint="default" w:ascii="Times New Roman" w:hAnsi="Times New Roman"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污水处理</w:t>
                  </w:r>
                </w:p>
              </w:tc>
              <w:tc>
                <w:tcPr>
                  <w:tcW w:w="1550" w:type="dxa"/>
                  <w:tcBorders>
                    <w:tl2br w:val="nil"/>
                    <w:tr2bl w:val="nil"/>
                  </w:tcBorders>
                  <w:shd w:val="clear" w:color="auto" w:fill="auto"/>
                  <w:noWrap w:val="0"/>
                  <w:vAlign w:val="center"/>
                </w:tcPr>
                <w:p w14:paraId="2DDC5C6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沉淀池泥渣</w:t>
                  </w:r>
                </w:p>
              </w:tc>
              <w:tc>
                <w:tcPr>
                  <w:tcW w:w="1291" w:type="dxa"/>
                  <w:tcBorders>
                    <w:tl2br w:val="nil"/>
                    <w:tr2bl w:val="nil"/>
                  </w:tcBorders>
                  <w:noWrap w:val="0"/>
                  <w:vAlign w:val="center"/>
                </w:tcPr>
                <w:p w14:paraId="67E5E322">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cs="Times New Roman"/>
                      <w:i w:val="0"/>
                      <w:iCs w:val="0"/>
                      <w:color w:val="auto"/>
                      <w:sz w:val="21"/>
                      <w:szCs w:val="21"/>
                      <w:u w:val="none"/>
                      <w:vertAlign w:val="baseline"/>
                      <w:lang w:val="en-US" w:eastAsia="zh-CN"/>
                    </w:rPr>
                    <w:t>47.868</w:t>
                  </w:r>
                </w:p>
              </w:tc>
              <w:tc>
                <w:tcPr>
                  <w:tcW w:w="2628" w:type="dxa"/>
                  <w:tcBorders>
                    <w:tl2br w:val="nil"/>
                    <w:tr2bl w:val="nil"/>
                  </w:tcBorders>
                  <w:noWrap w:val="0"/>
                  <w:vAlign w:val="center"/>
                </w:tcPr>
                <w:p w14:paraId="548ACD6F">
                  <w:pPr>
                    <w:keepNext w:val="0"/>
                    <w:keepLines w:val="0"/>
                    <w:widowControl/>
                    <w:suppressLineNumbers w:val="0"/>
                    <w:jc w:val="center"/>
                    <w:textAlignment w:val="center"/>
                    <w:rPr>
                      <w:rFonts w:hint="default" w:ascii="Times New Roman" w:hAnsi="Times New Roman"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暂存污泥池，外售综合利用。</w:t>
                  </w:r>
                </w:p>
              </w:tc>
              <w:tc>
                <w:tcPr>
                  <w:tcW w:w="1313" w:type="dxa"/>
                  <w:vMerge w:val="restart"/>
                  <w:tcBorders>
                    <w:tl2br w:val="nil"/>
                    <w:tr2bl w:val="nil"/>
                  </w:tcBorders>
                  <w:noWrap w:val="0"/>
                  <w:vAlign w:val="center"/>
                </w:tcPr>
                <w:p w14:paraId="6FDD0469">
                  <w:pPr>
                    <w:keepNext w:val="0"/>
                    <w:keepLines w:val="0"/>
                    <w:widowControl/>
                    <w:suppressLineNumbers w:val="0"/>
                    <w:jc w:val="center"/>
                    <w:textAlignment w:val="center"/>
                    <w:rPr>
                      <w:rFonts w:hint="default"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0（合理处置，对环境影响较小）</w:t>
                  </w:r>
                </w:p>
              </w:tc>
            </w:tr>
            <w:tr w14:paraId="3E983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9" w:type="dxa"/>
                  <w:tcBorders>
                    <w:tl2br w:val="nil"/>
                    <w:tr2bl w:val="nil"/>
                  </w:tcBorders>
                  <w:shd w:val="clear" w:color="auto" w:fill="auto"/>
                  <w:noWrap/>
                  <w:vAlign w:val="center"/>
                </w:tcPr>
                <w:p w14:paraId="0A71759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w:t>
                  </w:r>
                </w:p>
              </w:tc>
              <w:tc>
                <w:tcPr>
                  <w:tcW w:w="1665" w:type="dxa"/>
                  <w:vMerge w:val="restart"/>
                  <w:tcBorders>
                    <w:tl2br w:val="nil"/>
                    <w:tr2bl w:val="nil"/>
                  </w:tcBorders>
                  <w:noWrap w:val="0"/>
                  <w:vAlign w:val="center"/>
                </w:tcPr>
                <w:p w14:paraId="268CCA6D">
                  <w:pPr>
                    <w:keepNext w:val="0"/>
                    <w:keepLines w:val="0"/>
                    <w:widowControl/>
                    <w:suppressLineNumbers w:val="0"/>
                    <w:jc w:val="center"/>
                    <w:textAlignment w:val="center"/>
                    <w:rPr>
                      <w:rFonts w:hint="default" w:ascii="Times New Roman" w:hAnsi="Times New Roman"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废气治理</w:t>
                  </w:r>
                </w:p>
              </w:tc>
              <w:tc>
                <w:tcPr>
                  <w:tcW w:w="1550" w:type="dxa"/>
                  <w:tcBorders>
                    <w:tl2br w:val="nil"/>
                    <w:tr2bl w:val="nil"/>
                  </w:tcBorders>
                  <w:shd w:val="clear" w:color="auto" w:fill="auto"/>
                  <w:noWrap w:val="0"/>
                  <w:vAlign w:val="center"/>
                </w:tcPr>
                <w:p w14:paraId="5BBB7C1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除尘器收尘</w:t>
                  </w:r>
                </w:p>
              </w:tc>
              <w:tc>
                <w:tcPr>
                  <w:tcW w:w="1291" w:type="dxa"/>
                  <w:tcBorders>
                    <w:tl2br w:val="nil"/>
                    <w:tr2bl w:val="nil"/>
                  </w:tcBorders>
                  <w:noWrap w:val="0"/>
                  <w:vAlign w:val="center"/>
                </w:tcPr>
                <w:p w14:paraId="29A93D2A">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Style w:val="67"/>
                      <w:rFonts w:hint="default" w:ascii="Times New Roman" w:hAnsi="Times New Roman" w:cs="Times New Roman"/>
                      <w:i w:val="0"/>
                      <w:iCs w:val="0"/>
                      <w:color w:val="auto"/>
                      <w:sz w:val="21"/>
                      <w:szCs w:val="21"/>
                      <w:vertAlign w:val="baseline"/>
                      <w:lang w:val="en-US" w:eastAsia="zh-CN" w:bidi="ar"/>
                    </w:rPr>
                    <w:t>20.475</w:t>
                  </w:r>
                </w:p>
              </w:tc>
              <w:tc>
                <w:tcPr>
                  <w:tcW w:w="2628" w:type="dxa"/>
                  <w:vMerge w:val="restart"/>
                  <w:tcBorders>
                    <w:tl2br w:val="nil"/>
                    <w:tr2bl w:val="nil"/>
                  </w:tcBorders>
                  <w:noWrap w:val="0"/>
                  <w:vAlign w:val="center"/>
                </w:tcPr>
                <w:p w14:paraId="228B401E">
                  <w:pPr>
                    <w:keepNext w:val="0"/>
                    <w:keepLines w:val="0"/>
                    <w:widowControl/>
                    <w:suppressLineNumbers w:val="0"/>
                    <w:jc w:val="center"/>
                    <w:textAlignment w:val="center"/>
                    <w:rPr>
                      <w:rFonts w:hint="default" w:ascii="Times New Roman" w:hAnsi="Times New Roman"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收集后暂存固废库，外售综合利用。</w:t>
                  </w:r>
                </w:p>
              </w:tc>
              <w:tc>
                <w:tcPr>
                  <w:tcW w:w="1313" w:type="dxa"/>
                  <w:vMerge w:val="continue"/>
                  <w:tcBorders>
                    <w:tl2br w:val="nil"/>
                    <w:tr2bl w:val="nil"/>
                  </w:tcBorders>
                  <w:noWrap w:val="0"/>
                  <w:vAlign w:val="center"/>
                </w:tcPr>
                <w:p w14:paraId="53DEC63C">
                  <w:pPr>
                    <w:keepNext w:val="0"/>
                    <w:keepLines w:val="0"/>
                    <w:widowControl/>
                    <w:suppressLineNumbers w:val="0"/>
                    <w:jc w:val="center"/>
                    <w:textAlignment w:val="center"/>
                    <w:rPr>
                      <w:rFonts w:hint="eastAsia" w:cs="Times New Roman"/>
                      <w:i w:val="0"/>
                      <w:iCs w:val="0"/>
                      <w:color w:val="auto"/>
                      <w:sz w:val="21"/>
                      <w:szCs w:val="21"/>
                      <w:u w:val="none"/>
                      <w:lang w:val="en-US" w:eastAsia="zh-CN"/>
                    </w:rPr>
                  </w:pPr>
                </w:p>
              </w:tc>
            </w:tr>
            <w:tr w14:paraId="1AB1E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9" w:type="dxa"/>
                  <w:tcBorders>
                    <w:tl2br w:val="nil"/>
                    <w:tr2bl w:val="nil"/>
                  </w:tcBorders>
                  <w:shd w:val="clear" w:color="auto" w:fill="auto"/>
                  <w:noWrap/>
                  <w:vAlign w:val="center"/>
                </w:tcPr>
                <w:p w14:paraId="78A1716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3</w:t>
                  </w:r>
                </w:p>
              </w:tc>
              <w:tc>
                <w:tcPr>
                  <w:tcW w:w="1665" w:type="dxa"/>
                  <w:vMerge w:val="continue"/>
                  <w:tcBorders>
                    <w:tl2br w:val="nil"/>
                    <w:tr2bl w:val="nil"/>
                  </w:tcBorders>
                  <w:noWrap w:val="0"/>
                  <w:vAlign w:val="center"/>
                </w:tcPr>
                <w:p w14:paraId="2F49EAA9">
                  <w:pPr>
                    <w:keepNext w:val="0"/>
                    <w:keepLines w:val="0"/>
                    <w:widowControl/>
                    <w:suppressLineNumbers w:val="0"/>
                    <w:jc w:val="center"/>
                    <w:textAlignment w:val="center"/>
                    <w:rPr>
                      <w:rFonts w:hint="eastAsia" w:cs="Times New Roman"/>
                      <w:i w:val="0"/>
                      <w:iCs w:val="0"/>
                      <w:color w:val="auto"/>
                      <w:sz w:val="21"/>
                      <w:szCs w:val="21"/>
                      <w:u w:val="none"/>
                      <w:lang w:val="en-US" w:eastAsia="zh-CN"/>
                    </w:rPr>
                  </w:pPr>
                </w:p>
              </w:tc>
              <w:tc>
                <w:tcPr>
                  <w:tcW w:w="1550" w:type="dxa"/>
                  <w:tcBorders>
                    <w:tl2br w:val="nil"/>
                    <w:tr2bl w:val="nil"/>
                  </w:tcBorders>
                  <w:shd w:val="clear" w:color="auto" w:fill="auto"/>
                  <w:noWrap w:val="0"/>
                  <w:vAlign w:val="center"/>
                </w:tcPr>
                <w:p w14:paraId="4E941B53">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废布袋</w:t>
                  </w:r>
                </w:p>
              </w:tc>
              <w:tc>
                <w:tcPr>
                  <w:tcW w:w="1291" w:type="dxa"/>
                  <w:tcBorders>
                    <w:tl2br w:val="nil"/>
                    <w:tr2bl w:val="nil"/>
                  </w:tcBorders>
                  <w:noWrap w:val="0"/>
                  <w:vAlign w:val="center"/>
                </w:tcPr>
                <w:p w14:paraId="79879C00">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cs="Times New Roman"/>
                      <w:i w:val="0"/>
                      <w:iCs w:val="0"/>
                      <w:color w:val="auto"/>
                      <w:sz w:val="21"/>
                      <w:szCs w:val="21"/>
                      <w:u w:val="none"/>
                      <w:vertAlign w:val="baseline"/>
                      <w:lang w:val="en-US" w:eastAsia="zh-CN"/>
                    </w:rPr>
                    <w:t>6</w:t>
                  </w:r>
                  <w:r>
                    <w:rPr>
                      <w:rStyle w:val="67"/>
                      <w:rFonts w:hint="default" w:ascii="Times New Roman" w:hAnsi="Times New Roman" w:cs="Times New Roman"/>
                      <w:i w:val="0"/>
                      <w:iCs w:val="0"/>
                      <w:color w:val="auto"/>
                      <w:sz w:val="21"/>
                      <w:szCs w:val="21"/>
                      <w:vertAlign w:val="baseline"/>
                      <w:lang w:val="en-US" w:eastAsia="zh-CN" w:bidi="ar"/>
                    </w:rPr>
                    <w:t>个/年</w:t>
                  </w:r>
                </w:p>
              </w:tc>
              <w:tc>
                <w:tcPr>
                  <w:tcW w:w="2628" w:type="dxa"/>
                  <w:vMerge w:val="continue"/>
                  <w:tcBorders>
                    <w:tl2br w:val="nil"/>
                    <w:tr2bl w:val="nil"/>
                  </w:tcBorders>
                  <w:noWrap w:val="0"/>
                  <w:vAlign w:val="center"/>
                </w:tcPr>
                <w:p w14:paraId="3878BF1E">
                  <w:pPr>
                    <w:keepNext w:val="0"/>
                    <w:keepLines w:val="0"/>
                    <w:widowControl/>
                    <w:suppressLineNumbers w:val="0"/>
                    <w:jc w:val="center"/>
                    <w:textAlignment w:val="center"/>
                    <w:rPr>
                      <w:rFonts w:hint="eastAsia" w:cs="Times New Roman"/>
                      <w:i w:val="0"/>
                      <w:iCs w:val="0"/>
                      <w:color w:val="auto"/>
                      <w:sz w:val="21"/>
                      <w:szCs w:val="21"/>
                      <w:u w:val="none"/>
                      <w:lang w:val="en-US" w:eastAsia="zh-CN"/>
                    </w:rPr>
                  </w:pPr>
                </w:p>
              </w:tc>
              <w:tc>
                <w:tcPr>
                  <w:tcW w:w="1313" w:type="dxa"/>
                  <w:vMerge w:val="continue"/>
                  <w:tcBorders>
                    <w:tl2br w:val="nil"/>
                    <w:tr2bl w:val="nil"/>
                  </w:tcBorders>
                  <w:noWrap w:val="0"/>
                  <w:vAlign w:val="center"/>
                </w:tcPr>
                <w:p w14:paraId="7FAA842E">
                  <w:pPr>
                    <w:keepNext w:val="0"/>
                    <w:keepLines w:val="0"/>
                    <w:widowControl/>
                    <w:suppressLineNumbers w:val="0"/>
                    <w:jc w:val="center"/>
                    <w:textAlignment w:val="center"/>
                    <w:rPr>
                      <w:rFonts w:hint="eastAsia" w:cs="Times New Roman"/>
                      <w:i w:val="0"/>
                      <w:iCs w:val="0"/>
                      <w:color w:val="auto"/>
                      <w:sz w:val="21"/>
                      <w:szCs w:val="21"/>
                      <w:u w:val="none"/>
                      <w:lang w:val="en-US" w:eastAsia="zh-CN"/>
                    </w:rPr>
                  </w:pPr>
                </w:p>
              </w:tc>
            </w:tr>
            <w:tr w14:paraId="40DF1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709" w:type="dxa"/>
                  <w:tcBorders>
                    <w:tl2br w:val="nil"/>
                    <w:tr2bl w:val="nil"/>
                  </w:tcBorders>
                  <w:shd w:val="clear" w:color="auto" w:fill="auto"/>
                  <w:noWrap/>
                  <w:vAlign w:val="center"/>
                </w:tcPr>
                <w:p w14:paraId="72EBAB79">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4</w:t>
                  </w:r>
                </w:p>
              </w:tc>
              <w:tc>
                <w:tcPr>
                  <w:tcW w:w="1665" w:type="dxa"/>
                  <w:tcBorders>
                    <w:tl2br w:val="nil"/>
                    <w:tr2bl w:val="nil"/>
                  </w:tcBorders>
                  <w:shd w:val="clear" w:color="auto" w:fill="auto"/>
                  <w:noWrap/>
                  <w:vAlign w:val="center"/>
                </w:tcPr>
                <w:p w14:paraId="73C26D9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auto"/>
                      <w:sz w:val="21"/>
                      <w:szCs w:val="21"/>
                      <w:u w:val="none"/>
                      <w:lang w:val="en-US" w:eastAsia="zh-CN"/>
                    </w:rPr>
                    <w:t>废化学原料包装</w:t>
                  </w:r>
                </w:p>
              </w:tc>
              <w:tc>
                <w:tcPr>
                  <w:tcW w:w="1550" w:type="dxa"/>
                  <w:tcBorders>
                    <w:tl2br w:val="nil"/>
                    <w:tr2bl w:val="nil"/>
                  </w:tcBorders>
                  <w:shd w:val="clear" w:color="auto" w:fill="auto"/>
                  <w:noWrap/>
                  <w:vAlign w:val="center"/>
                </w:tcPr>
                <w:p w14:paraId="60054FB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sz w:val="21"/>
                      <w:szCs w:val="21"/>
                      <w:u w:val="none"/>
                      <w:lang w:val="en-US" w:eastAsia="zh-CN"/>
                    </w:rPr>
                    <w:t>废化学原料包装材料</w:t>
                  </w:r>
                </w:p>
              </w:tc>
              <w:tc>
                <w:tcPr>
                  <w:tcW w:w="1291" w:type="dxa"/>
                  <w:tcBorders>
                    <w:tl2br w:val="nil"/>
                    <w:tr2bl w:val="nil"/>
                  </w:tcBorders>
                  <w:noWrap w:val="0"/>
                  <w:vAlign w:val="center"/>
                </w:tcPr>
                <w:p w14:paraId="4FA48D34">
                  <w:pPr>
                    <w:keepNext w:val="0"/>
                    <w:keepLines w:val="0"/>
                    <w:widowControl/>
                    <w:suppressLineNumbers w:val="0"/>
                    <w:jc w:val="center"/>
                    <w:textAlignment w:val="center"/>
                    <w:rPr>
                      <w:rFonts w:hint="default" w:ascii="Times New Roman" w:hAnsi="Times New Roman" w:cs="Times New Roman"/>
                      <w:i w:val="0"/>
                      <w:iCs w:val="0"/>
                      <w:color w:val="auto"/>
                      <w:sz w:val="21"/>
                      <w:szCs w:val="21"/>
                      <w:u w:val="none"/>
                      <w:lang w:val="en-US" w:eastAsia="zh-CN"/>
                    </w:rPr>
                  </w:pPr>
                  <w:r>
                    <w:rPr>
                      <w:rStyle w:val="67"/>
                      <w:rFonts w:hint="default" w:ascii="Times New Roman" w:hAnsi="Times New Roman" w:cs="Times New Roman"/>
                      <w:i w:val="0"/>
                      <w:iCs w:val="0"/>
                      <w:color w:val="auto"/>
                      <w:sz w:val="21"/>
                      <w:szCs w:val="21"/>
                      <w:vertAlign w:val="baseline"/>
                      <w:lang w:val="en-US" w:eastAsia="zh-CN" w:bidi="ar"/>
                    </w:rPr>
                    <w:t>0.14</w:t>
                  </w:r>
                </w:p>
              </w:tc>
              <w:tc>
                <w:tcPr>
                  <w:tcW w:w="2628" w:type="dxa"/>
                  <w:vMerge w:val="restart"/>
                  <w:tcBorders>
                    <w:tl2br w:val="nil"/>
                    <w:tr2bl w:val="nil"/>
                  </w:tcBorders>
                  <w:noWrap w:val="0"/>
                  <w:vAlign w:val="center"/>
                </w:tcPr>
                <w:p w14:paraId="0DFC4D71">
                  <w:pPr>
                    <w:jc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危废库贮存，</w:t>
                  </w:r>
                  <w:r>
                    <w:rPr>
                      <w:rFonts w:hint="default" w:ascii="Times New Roman" w:hAnsi="Times New Roman" w:eastAsia="宋体" w:cs="Times New Roman"/>
                      <w:bCs/>
                      <w:color w:val="auto"/>
                      <w:spacing w:val="0"/>
                      <w:position w:val="0"/>
                      <w:sz w:val="21"/>
                      <w:szCs w:val="21"/>
                      <w:lang w:val="en-US" w:eastAsia="zh-CN"/>
                    </w:rPr>
                    <w:t>委托有资质的单位回收处理</w:t>
                  </w:r>
                  <w:r>
                    <w:rPr>
                      <w:rFonts w:hint="eastAsia" w:cs="Times New Roman"/>
                      <w:bCs/>
                      <w:color w:val="auto"/>
                      <w:spacing w:val="0"/>
                      <w:position w:val="0"/>
                      <w:sz w:val="21"/>
                      <w:szCs w:val="21"/>
                      <w:lang w:val="en-US" w:eastAsia="zh-CN"/>
                    </w:rPr>
                    <w:t>。</w:t>
                  </w:r>
                </w:p>
              </w:tc>
              <w:tc>
                <w:tcPr>
                  <w:tcW w:w="1313" w:type="dxa"/>
                  <w:vMerge w:val="continue"/>
                  <w:tcBorders>
                    <w:tl2br w:val="nil"/>
                    <w:tr2bl w:val="nil"/>
                  </w:tcBorders>
                  <w:noWrap w:val="0"/>
                  <w:vAlign w:val="center"/>
                </w:tcPr>
                <w:p w14:paraId="30D9755E">
                  <w:pPr>
                    <w:jc w:val="center"/>
                    <w:rPr>
                      <w:rFonts w:hint="default" w:ascii="Times New Roman" w:hAnsi="Times New Roman" w:eastAsia="宋体" w:cs="Times New Roman"/>
                      <w:i w:val="0"/>
                      <w:iCs w:val="0"/>
                      <w:color w:val="auto"/>
                      <w:kern w:val="0"/>
                      <w:sz w:val="21"/>
                      <w:szCs w:val="21"/>
                      <w:u w:val="none"/>
                      <w:lang w:val="en-US" w:eastAsia="zh-CN" w:bidi="ar"/>
                    </w:rPr>
                  </w:pPr>
                </w:p>
              </w:tc>
            </w:tr>
            <w:tr w14:paraId="00E34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9" w:type="dxa"/>
                  <w:tcBorders>
                    <w:tl2br w:val="nil"/>
                    <w:tr2bl w:val="nil"/>
                  </w:tcBorders>
                  <w:shd w:val="clear" w:color="auto" w:fill="auto"/>
                  <w:noWrap/>
                  <w:vAlign w:val="center"/>
                </w:tcPr>
                <w:p w14:paraId="267967B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2"/>
                      <w:sz w:val="21"/>
                      <w:szCs w:val="21"/>
                      <w:u w:val="none"/>
                      <w:lang w:val="en-US" w:eastAsia="zh-CN" w:bidi="ar-SA"/>
                    </w:rPr>
                    <w:t>5</w:t>
                  </w:r>
                </w:p>
              </w:tc>
              <w:tc>
                <w:tcPr>
                  <w:tcW w:w="1665" w:type="dxa"/>
                  <w:tcBorders>
                    <w:tl2br w:val="nil"/>
                    <w:tr2bl w:val="nil"/>
                  </w:tcBorders>
                  <w:shd w:val="clear" w:color="auto" w:fill="auto"/>
                  <w:noWrap/>
                  <w:vAlign w:val="center"/>
                </w:tcPr>
                <w:p w14:paraId="6E87058E">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废气治理</w:t>
                  </w:r>
                </w:p>
              </w:tc>
              <w:tc>
                <w:tcPr>
                  <w:tcW w:w="1550" w:type="dxa"/>
                  <w:tcBorders>
                    <w:tl2br w:val="nil"/>
                    <w:tr2bl w:val="nil"/>
                  </w:tcBorders>
                  <w:shd w:val="clear" w:color="auto" w:fill="auto"/>
                  <w:noWrap/>
                  <w:vAlign w:val="center"/>
                </w:tcPr>
                <w:p w14:paraId="0ADB368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废活性炭</w:t>
                  </w:r>
                </w:p>
              </w:tc>
              <w:tc>
                <w:tcPr>
                  <w:tcW w:w="1291" w:type="dxa"/>
                  <w:tcBorders>
                    <w:tl2br w:val="nil"/>
                    <w:tr2bl w:val="nil"/>
                  </w:tcBorders>
                  <w:noWrap w:val="0"/>
                  <w:vAlign w:val="center"/>
                </w:tcPr>
                <w:p w14:paraId="3E572177">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vertAlign w:val="baseline"/>
                      <w:lang w:val="en-US" w:eastAsia="zh-CN" w:bidi="ar"/>
                    </w:rPr>
                    <w:t>63.112</w:t>
                  </w:r>
                </w:p>
              </w:tc>
              <w:tc>
                <w:tcPr>
                  <w:tcW w:w="2628" w:type="dxa"/>
                  <w:vMerge w:val="continue"/>
                  <w:tcBorders>
                    <w:tl2br w:val="nil"/>
                    <w:tr2bl w:val="nil"/>
                  </w:tcBorders>
                  <w:noWrap w:val="0"/>
                  <w:vAlign w:val="center"/>
                </w:tcPr>
                <w:p w14:paraId="05140DFD">
                  <w:pPr>
                    <w:jc w:val="center"/>
                    <w:rPr>
                      <w:rFonts w:hint="default" w:ascii="Times New Roman" w:hAnsi="Times New Roman" w:cs="Times New Roman"/>
                      <w:i w:val="0"/>
                      <w:iCs w:val="0"/>
                      <w:color w:val="auto"/>
                      <w:kern w:val="0"/>
                      <w:sz w:val="21"/>
                      <w:szCs w:val="21"/>
                      <w:u w:val="none"/>
                      <w:lang w:val="en-US" w:eastAsia="zh-CN" w:bidi="ar"/>
                    </w:rPr>
                  </w:pPr>
                </w:p>
              </w:tc>
              <w:tc>
                <w:tcPr>
                  <w:tcW w:w="1313" w:type="dxa"/>
                  <w:vMerge w:val="continue"/>
                  <w:tcBorders>
                    <w:tl2br w:val="nil"/>
                    <w:tr2bl w:val="nil"/>
                  </w:tcBorders>
                  <w:noWrap w:val="0"/>
                  <w:vAlign w:val="center"/>
                </w:tcPr>
                <w:p w14:paraId="646AB1F0">
                  <w:pPr>
                    <w:jc w:val="center"/>
                    <w:rPr>
                      <w:rFonts w:hint="default" w:ascii="Times New Roman" w:hAnsi="Times New Roman" w:cs="Times New Roman"/>
                      <w:i w:val="0"/>
                      <w:iCs w:val="0"/>
                      <w:color w:val="auto"/>
                      <w:kern w:val="0"/>
                      <w:sz w:val="21"/>
                      <w:szCs w:val="21"/>
                      <w:u w:val="none"/>
                      <w:lang w:val="en-US" w:eastAsia="zh-CN" w:bidi="ar"/>
                    </w:rPr>
                  </w:pPr>
                </w:p>
              </w:tc>
            </w:tr>
            <w:tr w14:paraId="332BA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9" w:type="dxa"/>
                  <w:tcBorders>
                    <w:tl2br w:val="nil"/>
                    <w:tr2bl w:val="nil"/>
                  </w:tcBorders>
                  <w:shd w:val="clear" w:color="auto" w:fill="auto"/>
                  <w:noWrap/>
                  <w:vAlign w:val="center"/>
                </w:tcPr>
                <w:p w14:paraId="2366D33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6</w:t>
                  </w:r>
                </w:p>
              </w:tc>
              <w:tc>
                <w:tcPr>
                  <w:tcW w:w="1665" w:type="dxa"/>
                  <w:vMerge w:val="restart"/>
                  <w:tcBorders>
                    <w:tl2br w:val="nil"/>
                    <w:tr2bl w:val="nil"/>
                  </w:tcBorders>
                  <w:shd w:val="clear" w:color="auto" w:fill="auto"/>
                  <w:noWrap/>
                  <w:vAlign w:val="center"/>
                </w:tcPr>
                <w:p w14:paraId="396B7B7C">
                  <w:pPr>
                    <w:jc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sz w:val="21"/>
                      <w:szCs w:val="21"/>
                      <w:u w:val="none"/>
                      <w:lang w:val="en-US" w:eastAsia="zh-CN"/>
                    </w:rPr>
                    <w:t>设备维护</w:t>
                  </w:r>
                </w:p>
              </w:tc>
              <w:tc>
                <w:tcPr>
                  <w:tcW w:w="1550" w:type="dxa"/>
                  <w:tcBorders>
                    <w:tl2br w:val="nil"/>
                    <w:tr2bl w:val="nil"/>
                  </w:tcBorders>
                  <w:shd w:val="clear" w:color="auto" w:fill="auto"/>
                  <w:noWrap/>
                  <w:vAlign w:val="center"/>
                </w:tcPr>
                <w:p w14:paraId="55C6C22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废润滑油</w:t>
                  </w:r>
                </w:p>
              </w:tc>
              <w:tc>
                <w:tcPr>
                  <w:tcW w:w="1291" w:type="dxa"/>
                  <w:tcBorders>
                    <w:tl2br w:val="nil"/>
                    <w:tr2bl w:val="nil"/>
                  </w:tcBorders>
                  <w:noWrap w:val="0"/>
                  <w:vAlign w:val="center"/>
                </w:tcPr>
                <w:p w14:paraId="5840458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vertAlign w:val="baseline"/>
                      <w:lang w:val="en-US" w:eastAsia="zh-CN" w:bidi="ar"/>
                    </w:rPr>
                    <w:t>0.</w:t>
                  </w:r>
                  <w:r>
                    <w:rPr>
                      <w:rFonts w:hint="default" w:ascii="Times New Roman" w:hAnsi="Times New Roman" w:cs="Times New Roman"/>
                      <w:i w:val="0"/>
                      <w:iCs w:val="0"/>
                      <w:color w:val="auto"/>
                      <w:kern w:val="0"/>
                      <w:sz w:val="21"/>
                      <w:szCs w:val="21"/>
                      <w:u w:val="none"/>
                      <w:vertAlign w:val="baseline"/>
                      <w:lang w:val="en-US" w:eastAsia="zh-CN" w:bidi="ar"/>
                    </w:rPr>
                    <w:t>16</w:t>
                  </w:r>
                </w:p>
              </w:tc>
              <w:tc>
                <w:tcPr>
                  <w:tcW w:w="2628" w:type="dxa"/>
                  <w:vMerge w:val="continue"/>
                  <w:tcBorders>
                    <w:tl2br w:val="nil"/>
                    <w:tr2bl w:val="nil"/>
                  </w:tcBorders>
                  <w:noWrap w:val="0"/>
                  <w:vAlign w:val="center"/>
                </w:tcPr>
                <w:p w14:paraId="33D7E35B">
                  <w:pPr>
                    <w:jc w:val="center"/>
                    <w:rPr>
                      <w:rFonts w:hint="default" w:ascii="Times New Roman" w:hAnsi="Times New Roman" w:eastAsia="宋体" w:cs="Times New Roman"/>
                      <w:i w:val="0"/>
                      <w:iCs w:val="0"/>
                      <w:color w:val="auto"/>
                      <w:sz w:val="21"/>
                      <w:szCs w:val="21"/>
                      <w:u w:val="none"/>
                    </w:rPr>
                  </w:pPr>
                </w:p>
              </w:tc>
              <w:tc>
                <w:tcPr>
                  <w:tcW w:w="1313" w:type="dxa"/>
                  <w:vMerge w:val="continue"/>
                  <w:tcBorders>
                    <w:tl2br w:val="nil"/>
                    <w:tr2bl w:val="nil"/>
                  </w:tcBorders>
                  <w:noWrap w:val="0"/>
                  <w:vAlign w:val="center"/>
                </w:tcPr>
                <w:p w14:paraId="7BBDE013">
                  <w:pPr>
                    <w:jc w:val="center"/>
                    <w:rPr>
                      <w:rFonts w:hint="default" w:ascii="Times New Roman" w:hAnsi="Times New Roman" w:eastAsia="宋体" w:cs="Times New Roman"/>
                      <w:i w:val="0"/>
                      <w:iCs w:val="0"/>
                      <w:color w:val="auto"/>
                      <w:sz w:val="21"/>
                      <w:szCs w:val="21"/>
                      <w:u w:val="none"/>
                    </w:rPr>
                  </w:pPr>
                </w:p>
              </w:tc>
            </w:tr>
            <w:tr w14:paraId="5F03A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9" w:type="dxa"/>
                  <w:tcBorders>
                    <w:tl2br w:val="nil"/>
                    <w:tr2bl w:val="nil"/>
                  </w:tcBorders>
                  <w:shd w:val="clear" w:color="auto" w:fill="auto"/>
                  <w:noWrap/>
                  <w:vAlign w:val="center"/>
                </w:tcPr>
                <w:p w14:paraId="1B68245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7</w:t>
                  </w:r>
                </w:p>
              </w:tc>
              <w:tc>
                <w:tcPr>
                  <w:tcW w:w="1665" w:type="dxa"/>
                  <w:vMerge w:val="continue"/>
                  <w:tcBorders>
                    <w:tl2br w:val="nil"/>
                    <w:tr2bl w:val="nil"/>
                  </w:tcBorders>
                  <w:noWrap/>
                  <w:vAlign w:val="center"/>
                </w:tcPr>
                <w:p w14:paraId="679A4459">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1550" w:type="dxa"/>
                  <w:tcBorders>
                    <w:tl2br w:val="nil"/>
                    <w:tr2bl w:val="nil"/>
                  </w:tcBorders>
                  <w:shd w:val="clear" w:color="auto" w:fill="auto"/>
                  <w:noWrap/>
                  <w:vAlign w:val="center"/>
                </w:tcPr>
                <w:p w14:paraId="424C863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lang w:val="en-US" w:eastAsia="zh-CN" w:bidi="ar"/>
                    </w:rPr>
                    <w:t>废液压油</w:t>
                  </w:r>
                </w:p>
              </w:tc>
              <w:tc>
                <w:tcPr>
                  <w:tcW w:w="1291" w:type="dxa"/>
                  <w:tcBorders>
                    <w:tl2br w:val="nil"/>
                    <w:tr2bl w:val="nil"/>
                  </w:tcBorders>
                  <w:noWrap w:val="0"/>
                  <w:vAlign w:val="center"/>
                </w:tcPr>
                <w:p w14:paraId="3F7CEC3F">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vertAlign w:val="baseline"/>
                      <w:lang w:val="en-US" w:eastAsia="zh-CN" w:bidi="ar"/>
                    </w:rPr>
                    <w:t>0.8</w:t>
                  </w:r>
                </w:p>
              </w:tc>
              <w:tc>
                <w:tcPr>
                  <w:tcW w:w="2628" w:type="dxa"/>
                  <w:vMerge w:val="continue"/>
                  <w:tcBorders>
                    <w:tl2br w:val="nil"/>
                    <w:tr2bl w:val="nil"/>
                  </w:tcBorders>
                  <w:noWrap w:val="0"/>
                  <w:vAlign w:val="center"/>
                </w:tcPr>
                <w:p w14:paraId="7E12CA35">
                  <w:pPr>
                    <w:jc w:val="center"/>
                    <w:rPr>
                      <w:rFonts w:hint="default" w:ascii="Times New Roman" w:hAnsi="Times New Roman" w:cs="Times New Roman"/>
                      <w:i w:val="0"/>
                      <w:iCs w:val="0"/>
                      <w:color w:val="auto"/>
                      <w:kern w:val="0"/>
                      <w:sz w:val="21"/>
                      <w:szCs w:val="21"/>
                      <w:u w:val="none"/>
                      <w:lang w:val="en-US" w:eastAsia="zh-CN" w:bidi="ar"/>
                    </w:rPr>
                  </w:pPr>
                </w:p>
              </w:tc>
              <w:tc>
                <w:tcPr>
                  <w:tcW w:w="1313" w:type="dxa"/>
                  <w:vMerge w:val="continue"/>
                  <w:tcBorders>
                    <w:tl2br w:val="nil"/>
                    <w:tr2bl w:val="nil"/>
                  </w:tcBorders>
                  <w:noWrap w:val="0"/>
                  <w:vAlign w:val="center"/>
                </w:tcPr>
                <w:p w14:paraId="5E96373A">
                  <w:pPr>
                    <w:jc w:val="center"/>
                    <w:rPr>
                      <w:rFonts w:hint="default" w:ascii="Times New Roman" w:hAnsi="Times New Roman" w:cs="Times New Roman"/>
                      <w:i w:val="0"/>
                      <w:iCs w:val="0"/>
                      <w:color w:val="auto"/>
                      <w:kern w:val="0"/>
                      <w:sz w:val="21"/>
                      <w:szCs w:val="21"/>
                      <w:u w:val="none"/>
                      <w:lang w:val="en-US" w:eastAsia="zh-CN" w:bidi="ar"/>
                    </w:rPr>
                  </w:pPr>
                </w:p>
              </w:tc>
            </w:tr>
            <w:tr w14:paraId="77818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9" w:type="dxa"/>
                  <w:tcBorders>
                    <w:tl2br w:val="nil"/>
                    <w:tr2bl w:val="nil"/>
                  </w:tcBorders>
                  <w:shd w:val="clear" w:color="auto" w:fill="auto"/>
                  <w:noWrap/>
                  <w:vAlign w:val="center"/>
                </w:tcPr>
                <w:p w14:paraId="7A5856A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8</w:t>
                  </w:r>
                </w:p>
              </w:tc>
              <w:tc>
                <w:tcPr>
                  <w:tcW w:w="1665" w:type="dxa"/>
                  <w:vMerge w:val="continue"/>
                  <w:tcBorders>
                    <w:tl2br w:val="nil"/>
                    <w:tr2bl w:val="nil"/>
                  </w:tcBorders>
                  <w:noWrap/>
                  <w:vAlign w:val="center"/>
                </w:tcPr>
                <w:p w14:paraId="57A14888">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p>
              </w:tc>
              <w:tc>
                <w:tcPr>
                  <w:tcW w:w="1550" w:type="dxa"/>
                  <w:tcBorders>
                    <w:tl2br w:val="nil"/>
                    <w:tr2bl w:val="nil"/>
                  </w:tcBorders>
                  <w:shd w:val="clear" w:color="auto" w:fill="auto"/>
                  <w:noWrap/>
                  <w:vAlign w:val="center"/>
                </w:tcPr>
                <w:p w14:paraId="598F714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0"/>
                      <w:sz w:val="21"/>
                      <w:szCs w:val="21"/>
                      <w:u w:val="none"/>
                      <w:lang w:val="en-US" w:eastAsia="zh-CN" w:bidi="ar"/>
                    </w:rPr>
                    <w:t>废油桶</w:t>
                  </w:r>
                </w:p>
              </w:tc>
              <w:tc>
                <w:tcPr>
                  <w:tcW w:w="1291" w:type="dxa"/>
                  <w:tcBorders>
                    <w:tl2br w:val="nil"/>
                    <w:tr2bl w:val="nil"/>
                  </w:tcBorders>
                  <w:noWrap w:val="0"/>
                  <w:vAlign w:val="center"/>
                </w:tcPr>
                <w:p w14:paraId="7D6C0DDC">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cs="Times New Roman"/>
                      <w:i w:val="0"/>
                      <w:iCs w:val="0"/>
                      <w:color w:val="auto"/>
                      <w:kern w:val="0"/>
                      <w:sz w:val="21"/>
                      <w:szCs w:val="21"/>
                      <w:u w:val="none"/>
                      <w:vertAlign w:val="baseline"/>
                      <w:lang w:val="en-US" w:eastAsia="zh-CN" w:bidi="ar"/>
                    </w:rPr>
                    <w:t>0.072</w:t>
                  </w:r>
                </w:p>
              </w:tc>
              <w:tc>
                <w:tcPr>
                  <w:tcW w:w="2628" w:type="dxa"/>
                  <w:vMerge w:val="continue"/>
                  <w:tcBorders>
                    <w:tl2br w:val="nil"/>
                    <w:tr2bl w:val="nil"/>
                  </w:tcBorders>
                  <w:noWrap w:val="0"/>
                  <w:vAlign w:val="center"/>
                </w:tcPr>
                <w:p w14:paraId="40B3A75A">
                  <w:pPr>
                    <w:jc w:val="center"/>
                    <w:rPr>
                      <w:rFonts w:hint="default" w:ascii="Times New Roman" w:hAnsi="Times New Roman" w:eastAsia="宋体" w:cs="Times New Roman"/>
                      <w:i w:val="0"/>
                      <w:iCs w:val="0"/>
                      <w:color w:val="auto"/>
                      <w:sz w:val="21"/>
                      <w:szCs w:val="21"/>
                      <w:u w:val="none"/>
                    </w:rPr>
                  </w:pPr>
                </w:p>
              </w:tc>
              <w:tc>
                <w:tcPr>
                  <w:tcW w:w="1313" w:type="dxa"/>
                  <w:vMerge w:val="continue"/>
                  <w:tcBorders>
                    <w:tl2br w:val="nil"/>
                    <w:tr2bl w:val="nil"/>
                  </w:tcBorders>
                  <w:noWrap w:val="0"/>
                  <w:vAlign w:val="center"/>
                </w:tcPr>
                <w:p w14:paraId="20D420A7">
                  <w:pPr>
                    <w:jc w:val="center"/>
                    <w:rPr>
                      <w:rFonts w:hint="default" w:ascii="Times New Roman" w:hAnsi="Times New Roman" w:eastAsia="宋体" w:cs="Times New Roman"/>
                      <w:i w:val="0"/>
                      <w:iCs w:val="0"/>
                      <w:color w:val="auto"/>
                      <w:sz w:val="21"/>
                      <w:szCs w:val="21"/>
                      <w:u w:val="none"/>
                    </w:rPr>
                  </w:pPr>
                </w:p>
              </w:tc>
            </w:tr>
            <w:tr w14:paraId="4DE1C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9" w:type="dxa"/>
                  <w:tcBorders>
                    <w:tl2br w:val="nil"/>
                    <w:tr2bl w:val="nil"/>
                  </w:tcBorders>
                  <w:shd w:val="clear" w:color="auto" w:fill="auto"/>
                  <w:noWrap/>
                  <w:vAlign w:val="center"/>
                </w:tcPr>
                <w:p w14:paraId="7F539F0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9</w:t>
                  </w:r>
                </w:p>
              </w:tc>
              <w:tc>
                <w:tcPr>
                  <w:tcW w:w="1665" w:type="dxa"/>
                  <w:vMerge w:val="continue"/>
                  <w:tcBorders>
                    <w:tl2br w:val="nil"/>
                    <w:tr2bl w:val="nil"/>
                  </w:tcBorders>
                  <w:noWrap/>
                  <w:vAlign w:val="center"/>
                </w:tcPr>
                <w:p w14:paraId="4F02FF0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1550" w:type="dxa"/>
                  <w:tcBorders>
                    <w:tl2br w:val="nil"/>
                    <w:tr2bl w:val="nil"/>
                  </w:tcBorders>
                  <w:shd w:val="clear" w:color="auto" w:fill="auto"/>
                  <w:noWrap/>
                  <w:vAlign w:val="center"/>
                </w:tcPr>
                <w:p w14:paraId="5DDFC55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含油废手套</w:t>
                  </w:r>
                </w:p>
              </w:tc>
              <w:tc>
                <w:tcPr>
                  <w:tcW w:w="1291" w:type="dxa"/>
                  <w:tcBorders>
                    <w:tl2br w:val="nil"/>
                    <w:tr2bl w:val="nil"/>
                  </w:tcBorders>
                  <w:noWrap w:val="0"/>
                  <w:vAlign w:val="center"/>
                </w:tcPr>
                <w:p w14:paraId="1EABE1F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vertAlign w:val="baseline"/>
                      <w:lang w:val="en-US" w:eastAsia="zh-CN" w:bidi="ar"/>
                    </w:rPr>
                    <w:t>0.0</w:t>
                  </w:r>
                  <w:r>
                    <w:rPr>
                      <w:rFonts w:hint="default" w:ascii="Times New Roman" w:hAnsi="Times New Roman" w:cs="Times New Roman"/>
                      <w:i w:val="0"/>
                      <w:iCs w:val="0"/>
                      <w:color w:val="auto"/>
                      <w:kern w:val="0"/>
                      <w:sz w:val="21"/>
                      <w:szCs w:val="21"/>
                      <w:u w:val="none"/>
                      <w:vertAlign w:val="baseline"/>
                      <w:lang w:val="en-US" w:eastAsia="zh-CN" w:bidi="ar"/>
                    </w:rPr>
                    <w:t>1</w:t>
                  </w:r>
                </w:p>
              </w:tc>
              <w:tc>
                <w:tcPr>
                  <w:tcW w:w="2628" w:type="dxa"/>
                  <w:vMerge w:val="continue"/>
                  <w:tcBorders>
                    <w:tl2br w:val="nil"/>
                    <w:tr2bl w:val="nil"/>
                  </w:tcBorders>
                  <w:noWrap w:val="0"/>
                  <w:vAlign w:val="center"/>
                </w:tcPr>
                <w:p w14:paraId="18691EE3">
                  <w:pPr>
                    <w:jc w:val="center"/>
                    <w:rPr>
                      <w:rFonts w:hint="default" w:ascii="Times New Roman" w:hAnsi="Times New Roman" w:eastAsia="宋体" w:cs="Times New Roman"/>
                      <w:i w:val="0"/>
                      <w:iCs w:val="0"/>
                      <w:color w:val="auto"/>
                      <w:sz w:val="21"/>
                      <w:szCs w:val="21"/>
                      <w:u w:val="none"/>
                    </w:rPr>
                  </w:pPr>
                </w:p>
              </w:tc>
              <w:tc>
                <w:tcPr>
                  <w:tcW w:w="1313" w:type="dxa"/>
                  <w:vMerge w:val="continue"/>
                  <w:tcBorders>
                    <w:tl2br w:val="nil"/>
                    <w:tr2bl w:val="nil"/>
                  </w:tcBorders>
                  <w:noWrap w:val="0"/>
                  <w:vAlign w:val="center"/>
                </w:tcPr>
                <w:p w14:paraId="08E9C09E">
                  <w:pPr>
                    <w:jc w:val="center"/>
                    <w:rPr>
                      <w:rFonts w:hint="default" w:ascii="Times New Roman" w:hAnsi="Times New Roman" w:eastAsia="宋体" w:cs="Times New Roman"/>
                      <w:i w:val="0"/>
                      <w:iCs w:val="0"/>
                      <w:color w:val="auto"/>
                      <w:sz w:val="21"/>
                      <w:szCs w:val="21"/>
                      <w:u w:val="none"/>
                    </w:rPr>
                  </w:pPr>
                </w:p>
              </w:tc>
            </w:tr>
            <w:tr w14:paraId="784ED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709" w:type="dxa"/>
                  <w:tcBorders>
                    <w:tl2br w:val="nil"/>
                    <w:tr2bl w:val="nil"/>
                  </w:tcBorders>
                  <w:shd w:val="clear" w:color="auto" w:fill="auto"/>
                  <w:noWrap/>
                  <w:vAlign w:val="center"/>
                </w:tcPr>
                <w:p w14:paraId="5989588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10</w:t>
                  </w:r>
                </w:p>
              </w:tc>
              <w:tc>
                <w:tcPr>
                  <w:tcW w:w="1665" w:type="dxa"/>
                  <w:tcBorders>
                    <w:tl2br w:val="nil"/>
                    <w:tr2bl w:val="nil"/>
                  </w:tcBorders>
                  <w:noWrap/>
                  <w:vAlign w:val="center"/>
                </w:tcPr>
                <w:p w14:paraId="319B9B6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职工生活</w:t>
                  </w:r>
                </w:p>
              </w:tc>
              <w:tc>
                <w:tcPr>
                  <w:tcW w:w="1550" w:type="dxa"/>
                  <w:tcBorders>
                    <w:tl2br w:val="nil"/>
                    <w:tr2bl w:val="nil"/>
                  </w:tcBorders>
                  <w:shd w:val="clear" w:color="auto" w:fill="auto"/>
                  <w:noWrap/>
                  <w:vAlign w:val="center"/>
                </w:tcPr>
                <w:p w14:paraId="1FC571E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生活垃圾</w:t>
                  </w:r>
                </w:p>
              </w:tc>
              <w:tc>
                <w:tcPr>
                  <w:tcW w:w="1291" w:type="dxa"/>
                  <w:tcBorders>
                    <w:tl2br w:val="nil"/>
                    <w:tr2bl w:val="nil"/>
                  </w:tcBorders>
                  <w:noWrap w:val="0"/>
                  <w:vAlign w:val="center"/>
                </w:tcPr>
                <w:p w14:paraId="6EE1ABB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vertAlign w:val="baseline"/>
                      <w:lang w:val="en-US" w:eastAsia="zh-CN" w:bidi="ar"/>
                    </w:rPr>
                    <w:t>4.5</w:t>
                  </w:r>
                </w:p>
              </w:tc>
              <w:tc>
                <w:tcPr>
                  <w:tcW w:w="2628" w:type="dxa"/>
                  <w:tcBorders>
                    <w:tl2br w:val="nil"/>
                    <w:tr2bl w:val="nil"/>
                  </w:tcBorders>
                  <w:noWrap w:val="0"/>
                  <w:vAlign w:val="center"/>
                </w:tcPr>
                <w:p w14:paraId="25A5768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环卫部门定期清运</w:t>
                  </w:r>
                </w:p>
              </w:tc>
              <w:tc>
                <w:tcPr>
                  <w:tcW w:w="1313" w:type="dxa"/>
                  <w:vMerge w:val="continue"/>
                  <w:tcBorders>
                    <w:tl2br w:val="nil"/>
                    <w:tr2bl w:val="nil"/>
                  </w:tcBorders>
                  <w:noWrap w:val="0"/>
                  <w:vAlign w:val="center"/>
                </w:tcPr>
                <w:p w14:paraId="576785B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r>
          </w:tbl>
          <w:p w14:paraId="5A7F47EE">
            <w:pPr>
              <w:pStyle w:val="48"/>
              <w:spacing w:line="480" w:lineRule="atLeast"/>
              <w:ind w:left="0" w:leftChars="0" w:firstLine="0" w:firstLineChars="0"/>
              <w:jc w:val="left"/>
              <w:rPr>
                <w:rFonts w:hint="default" w:ascii="Times New Roman" w:hAnsi="Times New Roman" w:cs="Times New Roman"/>
                <w:b/>
                <w:bCs/>
                <w:color w:val="auto"/>
                <w:spacing w:val="0"/>
                <w:position w:val="0"/>
              </w:rPr>
            </w:pPr>
            <w:r>
              <w:rPr>
                <w:rFonts w:hint="eastAsia" w:ascii="Times New Roman" w:hAnsi="Times New Roman" w:cs="Times New Roman"/>
                <w:b/>
                <w:bCs/>
                <w:color w:val="auto"/>
                <w:spacing w:val="0"/>
                <w:position w:val="0"/>
                <w:lang w:val="en-US" w:eastAsia="zh-CN"/>
              </w:rPr>
              <w:t>4.8</w:t>
            </w:r>
            <w:r>
              <w:rPr>
                <w:rFonts w:hint="default" w:ascii="Times New Roman" w:hAnsi="Times New Roman" w:cs="Times New Roman"/>
                <w:b/>
                <w:bCs/>
                <w:color w:val="auto"/>
                <w:spacing w:val="0"/>
                <w:position w:val="0"/>
              </w:rPr>
              <w:t>环境管理与环境监测</w:t>
            </w:r>
          </w:p>
          <w:p w14:paraId="5FF758AA">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1、环境管理</w:t>
            </w:r>
          </w:p>
          <w:p w14:paraId="2F115E7B">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①环保机构的组成</w:t>
            </w:r>
          </w:p>
          <w:p w14:paraId="48625DAA">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环保机构分为环境管理机构和环境监测机构两部分。按管理和监测的对象不同，又分为厂内和厂外环境管理及环境监测机构。</w:t>
            </w:r>
          </w:p>
          <w:p w14:paraId="00B01974">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建设单位计划安全环保部工作人员的数量为2人，分工负责环保设施运行、环保档案和日常监督管理等工作。为保证工作质量，上述人员需定期培训。</w:t>
            </w:r>
          </w:p>
          <w:p w14:paraId="7ECD30AF">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②环境管理机构的主要职责</w:t>
            </w:r>
          </w:p>
          <w:p w14:paraId="20D19699">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环境管理机构的主要职责包括：</w:t>
            </w:r>
          </w:p>
          <w:p w14:paraId="238B35B0">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1）贯彻执行中华人民共和国及地方环境保护法规和标准。</w:t>
            </w:r>
          </w:p>
          <w:p w14:paraId="2E976D11">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2）制定并组织实施各项环境保护的规则和计划。</w:t>
            </w:r>
          </w:p>
          <w:p w14:paraId="023FEDA3">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3）组织制定和修改本单位的环境保护管理规章制度并监督执行。</w:t>
            </w:r>
          </w:p>
          <w:p w14:paraId="698C2C20">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4）领导和组织环境监测计划。</w:t>
            </w:r>
          </w:p>
          <w:p w14:paraId="4185C462">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5）检查本单位环境保护设施运行状况。</w:t>
            </w:r>
          </w:p>
          <w:p w14:paraId="43CBBEA4">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6）推广、应用环境保护先进技术和经验。</w:t>
            </w:r>
          </w:p>
          <w:p w14:paraId="7A5D67A6">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7）组织开展本单位的环境保护专业技术培训，提高各级环保人员的素质。</w:t>
            </w:r>
          </w:p>
          <w:p w14:paraId="6C5E55D8">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8）加强与环境管理部门的联系，积极配合环保管理部门的工作。</w:t>
            </w:r>
          </w:p>
          <w:p w14:paraId="7A103A20">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③环境管理措施</w:t>
            </w:r>
          </w:p>
          <w:p w14:paraId="5B92C4CD">
            <w:pPr>
              <w:pStyle w:val="48"/>
              <w:spacing w:line="480" w:lineRule="atLeast"/>
              <w:ind w:firstLine="480" w:firstLineChars="200"/>
              <w:jc w:val="left"/>
              <w:rPr>
                <w:rFonts w:hint="eastAsia" w:ascii="Times New Roman" w:hAnsi="Times New Roman" w:eastAsia="宋体" w:cs="Times New Roman"/>
                <w:color w:val="auto"/>
                <w:spacing w:val="0"/>
                <w:position w:val="0"/>
                <w:lang w:eastAsia="zh-CN"/>
              </w:rPr>
            </w:pPr>
            <w:r>
              <w:rPr>
                <w:rFonts w:hint="default" w:ascii="Times New Roman" w:hAnsi="Times New Roman" w:cs="Times New Roman"/>
                <w:color w:val="auto"/>
                <w:spacing w:val="0"/>
                <w:position w:val="0"/>
              </w:rPr>
              <w:t>1） 制定各环保设施操作规程，定期维修制度，使各项环保设施在生产过程中处于良好的运行状态</w:t>
            </w:r>
            <w:r>
              <w:rPr>
                <w:rFonts w:hint="eastAsia" w:ascii="Times New Roman" w:hAnsi="Times New Roman" w:cs="Times New Roman"/>
                <w:color w:val="auto"/>
                <w:spacing w:val="0"/>
                <w:position w:val="0"/>
                <w:lang w:eastAsia="zh-CN"/>
              </w:rPr>
              <w:t>；</w:t>
            </w:r>
          </w:p>
          <w:p w14:paraId="2894CAF6">
            <w:pPr>
              <w:pStyle w:val="48"/>
              <w:spacing w:line="480" w:lineRule="atLeast"/>
              <w:ind w:firstLine="480" w:firstLineChars="200"/>
              <w:jc w:val="left"/>
              <w:rPr>
                <w:rFonts w:hint="eastAsia" w:ascii="Times New Roman" w:hAnsi="Times New Roman" w:eastAsia="宋体" w:cs="Times New Roman"/>
                <w:color w:val="auto"/>
                <w:spacing w:val="0"/>
                <w:position w:val="0"/>
                <w:lang w:eastAsia="zh-CN"/>
              </w:rPr>
            </w:pPr>
            <w:r>
              <w:rPr>
                <w:rFonts w:hint="default" w:ascii="Times New Roman" w:hAnsi="Times New Roman" w:cs="Times New Roman"/>
                <w:color w:val="auto"/>
                <w:spacing w:val="0"/>
                <w:position w:val="0"/>
              </w:rPr>
              <w:t>2）对技术工人进行上岗前的环保知识法规教育及操作规范的培训，使各项环保设施的操作规范化，保证环保设施的正常运转</w:t>
            </w:r>
            <w:r>
              <w:rPr>
                <w:rFonts w:hint="eastAsia" w:ascii="Times New Roman" w:hAnsi="Times New Roman" w:cs="Times New Roman"/>
                <w:color w:val="auto"/>
                <w:spacing w:val="0"/>
                <w:position w:val="0"/>
                <w:lang w:eastAsia="zh-CN"/>
              </w:rPr>
              <w:t>；</w:t>
            </w:r>
          </w:p>
          <w:p w14:paraId="6F3AF4B7">
            <w:pPr>
              <w:pStyle w:val="48"/>
              <w:spacing w:line="480" w:lineRule="atLeast"/>
              <w:ind w:firstLine="480" w:firstLineChars="200"/>
              <w:jc w:val="left"/>
              <w:rPr>
                <w:rFonts w:hint="eastAsia" w:ascii="Times New Roman" w:hAnsi="Times New Roman" w:eastAsia="宋体" w:cs="Times New Roman"/>
                <w:color w:val="auto"/>
                <w:spacing w:val="0"/>
                <w:position w:val="0"/>
                <w:lang w:eastAsia="zh-CN"/>
              </w:rPr>
            </w:pPr>
            <w:r>
              <w:rPr>
                <w:rFonts w:hint="default" w:ascii="Times New Roman" w:hAnsi="Times New Roman" w:cs="Times New Roman"/>
                <w:color w:val="auto"/>
                <w:spacing w:val="0"/>
                <w:position w:val="0"/>
              </w:rPr>
              <w:t>3）加强对环保设施的运行管理，制定定期维修制度，如环保设施出现故障，应立即停产检修，严禁事故排放</w:t>
            </w:r>
            <w:r>
              <w:rPr>
                <w:rFonts w:hint="eastAsia" w:ascii="Times New Roman" w:hAnsi="Times New Roman" w:cs="Times New Roman"/>
                <w:color w:val="auto"/>
                <w:spacing w:val="0"/>
                <w:position w:val="0"/>
                <w:lang w:eastAsia="zh-CN"/>
              </w:rPr>
              <w:t>；</w:t>
            </w:r>
          </w:p>
          <w:p w14:paraId="43CAF6E8">
            <w:pPr>
              <w:pStyle w:val="48"/>
              <w:spacing w:line="480" w:lineRule="atLeast"/>
              <w:ind w:firstLine="480" w:firstLineChars="200"/>
              <w:jc w:val="left"/>
              <w:rPr>
                <w:rFonts w:hint="eastAsia" w:ascii="Times New Roman" w:hAnsi="Times New Roman" w:eastAsia="宋体" w:cs="Times New Roman"/>
                <w:color w:val="auto"/>
                <w:spacing w:val="0"/>
                <w:position w:val="0"/>
                <w:lang w:eastAsia="zh-CN"/>
              </w:rPr>
            </w:pPr>
            <w:r>
              <w:rPr>
                <w:rFonts w:hint="default" w:ascii="Times New Roman" w:hAnsi="Times New Roman" w:cs="Times New Roman"/>
                <w:color w:val="auto"/>
                <w:spacing w:val="0"/>
                <w:position w:val="0"/>
              </w:rPr>
              <w:t>4）加强环境监测工作，重点是各污染源的监测，并注意做好记录，监测中如发现异常情况应及时向有关部门通报，及时采取应急措施，防止事故排放</w:t>
            </w:r>
            <w:r>
              <w:rPr>
                <w:rFonts w:hint="eastAsia" w:ascii="Times New Roman" w:hAnsi="Times New Roman" w:cs="Times New Roman"/>
                <w:color w:val="auto"/>
                <w:spacing w:val="0"/>
                <w:position w:val="0"/>
                <w:lang w:eastAsia="zh-CN"/>
              </w:rPr>
              <w:t>；</w:t>
            </w:r>
          </w:p>
          <w:p w14:paraId="5C6F07CF">
            <w:pPr>
              <w:pStyle w:val="48"/>
              <w:spacing w:line="480" w:lineRule="atLeast"/>
              <w:ind w:firstLine="480" w:firstLineChars="200"/>
              <w:jc w:val="left"/>
              <w:rPr>
                <w:rFonts w:hint="default" w:ascii="Times New Roman" w:hAnsi="Times New Roman" w:cs="Times New Roman"/>
                <w:color w:val="auto"/>
                <w:spacing w:val="0"/>
                <w:position w:val="0"/>
              </w:rPr>
            </w:pPr>
            <w:r>
              <w:rPr>
                <w:rFonts w:hint="default" w:ascii="Times New Roman" w:hAnsi="Times New Roman" w:cs="Times New Roman"/>
                <w:color w:val="auto"/>
                <w:spacing w:val="0"/>
                <w:position w:val="0"/>
              </w:rPr>
              <w:t>5）建立环境保护工作档案，包括污染物排放情况</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污染治理设施的运行、操作和管理情况</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监测记录</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污染事故情况及有关记录</w:t>
            </w:r>
            <w:r>
              <w:rPr>
                <w:rFonts w:hint="eastAsia" w:ascii="Times New Roman" w:hAnsi="Times New Roman" w:cs="Times New Roman"/>
                <w:color w:val="auto"/>
                <w:spacing w:val="0"/>
                <w:position w:val="0"/>
                <w:lang w:eastAsia="zh-CN"/>
              </w:rPr>
              <w:t>；</w:t>
            </w:r>
            <w:r>
              <w:rPr>
                <w:rFonts w:hint="default" w:ascii="Times New Roman" w:hAnsi="Times New Roman" w:cs="Times New Roman"/>
                <w:color w:val="auto"/>
                <w:spacing w:val="0"/>
                <w:position w:val="0"/>
              </w:rPr>
              <w:t>其他与污染防治有关的情况和资料等。</w:t>
            </w:r>
          </w:p>
          <w:p w14:paraId="2A8B6EC3">
            <w:pPr>
              <w:pStyle w:val="48"/>
              <w:spacing w:line="480" w:lineRule="atLeast"/>
              <w:ind w:firstLine="480" w:firstLineChars="200"/>
              <w:jc w:val="left"/>
              <w:rPr>
                <w:rFonts w:hint="default" w:ascii="Times New Roman" w:hAnsi="Times New Roman" w:cs="Times New Roman"/>
                <w:color w:val="auto"/>
                <w:spacing w:val="0"/>
                <w:position w:val="0"/>
                <w:sz w:val="24"/>
              </w:rPr>
            </w:pPr>
            <w:r>
              <w:rPr>
                <w:rFonts w:hint="default" w:ascii="Times New Roman" w:hAnsi="Times New Roman" w:cs="Times New Roman"/>
                <w:color w:val="auto"/>
                <w:spacing w:val="0"/>
                <w:position w:val="0"/>
                <w:sz w:val="24"/>
              </w:rPr>
              <w:t>2、环境监测</w:t>
            </w:r>
          </w:p>
          <w:p w14:paraId="1D5E3FD7">
            <w:pPr>
              <w:pStyle w:val="48"/>
              <w:spacing w:line="480" w:lineRule="atLeast"/>
              <w:ind w:firstLine="480" w:firstLineChars="200"/>
              <w:jc w:val="both"/>
              <w:rPr>
                <w:rFonts w:hint="default" w:ascii="Times New Roman" w:hAnsi="Times New Roman" w:cs="Times New Roman"/>
                <w:color w:val="auto"/>
                <w:spacing w:val="0"/>
                <w:position w:val="0"/>
                <w:sz w:val="24"/>
              </w:rPr>
            </w:pPr>
            <w:r>
              <w:rPr>
                <w:rFonts w:hint="default" w:ascii="Times New Roman" w:hAnsi="Times New Roman" w:cs="Times New Roman"/>
                <w:b w:val="0"/>
                <w:bCs w:val="0"/>
                <w:color w:val="auto"/>
                <w:spacing w:val="0"/>
                <w:kern w:val="0"/>
                <w:sz w:val="24"/>
                <w:szCs w:val="24"/>
                <w:lang w:val="en-US" w:eastAsia="zh-CN"/>
              </w:rPr>
              <w:t>根据</w:t>
            </w:r>
            <w:r>
              <w:rPr>
                <w:rFonts w:hint="default" w:ascii="Times New Roman" w:hAnsi="Times New Roman" w:eastAsia="宋体" w:cs="Times New Roman"/>
                <w:b w:val="0"/>
                <w:bCs w:val="0"/>
                <w:color w:val="auto"/>
                <w:spacing w:val="0"/>
                <w:kern w:val="0"/>
                <w:sz w:val="24"/>
                <w:szCs w:val="24"/>
                <w:lang w:val="en-US" w:eastAsia="zh-CN"/>
              </w:rPr>
              <w:t>《排污单位自行监测技术指南 总则》</w:t>
            </w:r>
            <w:r>
              <w:rPr>
                <w:rFonts w:hint="default" w:ascii="Times New Roman" w:hAnsi="Times New Roman" w:cs="Times New Roman"/>
                <w:b w:val="0"/>
                <w:bCs w:val="0"/>
                <w:color w:val="auto"/>
                <w:spacing w:val="0"/>
                <w:kern w:val="0"/>
                <w:sz w:val="24"/>
                <w:szCs w:val="24"/>
                <w:lang w:val="en-US" w:eastAsia="zh-CN"/>
              </w:rPr>
              <w:t>（</w:t>
            </w:r>
            <w:r>
              <w:rPr>
                <w:rFonts w:hint="default" w:ascii="Times New Roman" w:hAnsi="Times New Roman" w:eastAsia="宋体" w:cs="Times New Roman"/>
                <w:b w:val="0"/>
                <w:bCs w:val="0"/>
                <w:color w:val="auto"/>
                <w:spacing w:val="0"/>
                <w:kern w:val="0"/>
                <w:sz w:val="24"/>
                <w:szCs w:val="24"/>
                <w:lang w:val="en-US" w:eastAsia="zh-CN"/>
              </w:rPr>
              <w:t>HJ819-2017）</w:t>
            </w:r>
            <w:r>
              <w:rPr>
                <w:rFonts w:hint="eastAsia" w:ascii="Times New Roman" w:hAnsi="Times New Roman" w:eastAsia="宋体" w:cs="Times New Roman"/>
                <w:b w:val="0"/>
                <w:bCs w:val="0"/>
                <w:color w:val="auto"/>
                <w:spacing w:val="0"/>
                <w:kern w:val="0"/>
                <w:sz w:val="24"/>
                <w:szCs w:val="24"/>
                <w:lang w:val="en-US" w:eastAsia="zh-CN"/>
              </w:rPr>
              <w:t>、</w:t>
            </w:r>
            <w:r>
              <w:rPr>
                <w:rFonts w:hint="default" w:ascii="Times New Roman" w:hAnsi="Times New Roman" w:eastAsia="宋体" w:cs="Times New Roman"/>
                <w:b w:val="0"/>
                <w:bCs w:val="0"/>
                <w:color w:val="auto"/>
                <w:kern w:val="0"/>
                <w:sz w:val="24"/>
                <w:szCs w:val="24"/>
                <w:lang w:val="en-US" w:eastAsia="zh-CN"/>
              </w:rPr>
              <w:t>《</w:t>
            </w:r>
            <w:r>
              <w:rPr>
                <w:rFonts w:hint="default" w:ascii="Times New Roman" w:hAnsi="Times New Roman" w:cs="Times New Roman"/>
                <w:b w:val="0"/>
                <w:bCs w:val="0"/>
                <w:color w:val="auto"/>
                <w:kern w:val="0"/>
                <w:sz w:val="24"/>
                <w:szCs w:val="24"/>
                <w:lang w:val="en-US" w:eastAsia="zh-CN"/>
              </w:rPr>
              <w:t>排污</w:t>
            </w:r>
            <w:r>
              <w:rPr>
                <w:rFonts w:hint="default" w:ascii="Times New Roman" w:hAnsi="Times New Roman" w:eastAsia="宋体" w:cs="Times New Roman"/>
                <w:b w:val="0"/>
                <w:bCs w:val="0"/>
                <w:color w:val="auto"/>
                <w:kern w:val="0"/>
                <w:sz w:val="24"/>
                <w:szCs w:val="24"/>
                <w:lang w:val="en-US" w:eastAsia="zh-CN"/>
              </w:rPr>
              <w:t xml:space="preserve">许可证申请与核发技术规范 </w:t>
            </w:r>
            <w:r>
              <w:rPr>
                <w:rFonts w:hint="default" w:ascii="Times New Roman" w:hAnsi="Times New Roman" w:cs="Times New Roman"/>
                <w:b w:val="0"/>
                <w:bCs w:val="0"/>
                <w:color w:val="auto"/>
                <w:kern w:val="0"/>
                <w:sz w:val="24"/>
                <w:szCs w:val="24"/>
                <w:lang w:val="en-US" w:eastAsia="zh-CN"/>
              </w:rPr>
              <w:t>废弃资源加工工业</w:t>
            </w:r>
            <w:r>
              <w:rPr>
                <w:rFonts w:hint="default" w:ascii="Times New Roman" w:hAnsi="Times New Roman" w:eastAsia="宋体" w:cs="Times New Roman"/>
                <w:b w:val="0"/>
                <w:bCs w:val="0"/>
                <w:color w:val="auto"/>
                <w:kern w:val="0"/>
                <w:sz w:val="24"/>
                <w:szCs w:val="24"/>
                <w:lang w:val="en-US" w:eastAsia="zh-CN"/>
              </w:rPr>
              <w:t>》</w:t>
            </w:r>
            <w:r>
              <w:rPr>
                <w:rFonts w:hint="default" w:ascii="Times New Roman" w:hAnsi="Times New Roman" w:cs="Times New Roman"/>
                <w:b w:val="0"/>
                <w:bCs w:val="0"/>
                <w:color w:val="auto"/>
                <w:kern w:val="0"/>
                <w:sz w:val="24"/>
                <w:szCs w:val="24"/>
                <w:lang w:val="en-US" w:eastAsia="zh-CN"/>
              </w:rPr>
              <w:t>（</w:t>
            </w:r>
            <w:r>
              <w:rPr>
                <w:rFonts w:hint="default" w:ascii="Times New Roman" w:hAnsi="Times New Roman" w:eastAsia="宋体" w:cs="Times New Roman"/>
                <w:b w:val="0"/>
                <w:bCs w:val="0"/>
                <w:color w:val="auto"/>
                <w:kern w:val="0"/>
                <w:sz w:val="24"/>
                <w:szCs w:val="24"/>
                <w:lang w:val="en-US" w:eastAsia="zh-CN"/>
              </w:rPr>
              <w:t>HJ1</w:t>
            </w:r>
            <w:r>
              <w:rPr>
                <w:rFonts w:hint="default" w:ascii="Times New Roman" w:hAnsi="Times New Roman" w:cs="Times New Roman"/>
                <w:b w:val="0"/>
                <w:bCs w:val="0"/>
                <w:color w:val="auto"/>
                <w:kern w:val="0"/>
                <w:sz w:val="24"/>
                <w:szCs w:val="24"/>
                <w:lang w:val="en-US" w:eastAsia="zh-CN"/>
              </w:rPr>
              <w:t>034</w:t>
            </w:r>
            <w:r>
              <w:rPr>
                <w:rFonts w:hint="default" w:ascii="Times New Roman" w:hAnsi="Times New Roman" w:eastAsia="宋体" w:cs="Times New Roman"/>
                <w:b w:val="0"/>
                <w:bCs w:val="0"/>
                <w:color w:val="auto"/>
                <w:kern w:val="0"/>
                <w:sz w:val="24"/>
                <w:szCs w:val="24"/>
                <w:lang w:val="en-US" w:eastAsia="zh-CN"/>
              </w:rPr>
              <w:t>-20</w:t>
            </w:r>
            <w:r>
              <w:rPr>
                <w:rFonts w:hint="default" w:ascii="Times New Roman" w:hAnsi="Times New Roman" w:cs="Times New Roman"/>
                <w:b w:val="0"/>
                <w:bCs w:val="0"/>
                <w:color w:val="auto"/>
                <w:kern w:val="0"/>
                <w:sz w:val="24"/>
                <w:szCs w:val="24"/>
                <w:lang w:val="en-US" w:eastAsia="zh-CN"/>
              </w:rPr>
              <w:t>19</w:t>
            </w:r>
            <w:r>
              <w:rPr>
                <w:rFonts w:hint="default" w:ascii="Times New Roman" w:hAnsi="Times New Roman" w:eastAsia="宋体" w:cs="Times New Roman"/>
                <w:b w:val="0"/>
                <w:bCs w:val="0"/>
                <w:color w:val="auto"/>
                <w:kern w:val="0"/>
                <w:sz w:val="24"/>
                <w:szCs w:val="24"/>
                <w:lang w:val="en-US" w:eastAsia="zh-CN"/>
              </w:rPr>
              <w:t>）</w:t>
            </w:r>
            <w:r>
              <w:rPr>
                <w:rFonts w:hint="default" w:ascii="Times New Roman" w:hAnsi="Times New Roman" w:eastAsia="宋体" w:cs="Times New Roman"/>
                <w:b w:val="0"/>
                <w:bCs w:val="0"/>
                <w:color w:val="auto"/>
                <w:spacing w:val="0"/>
                <w:kern w:val="0"/>
                <w:sz w:val="24"/>
                <w:szCs w:val="24"/>
                <w:lang w:val="en-US" w:eastAsia="zh-CN"/>
              </w:rPr>
              <w:t>、《排污许可证申请与核发技术规</w:t>
            </w:r>
            <w:r>
              <w:rPr>
                <w:rFonts w:hint="default" w:ascii="Times New Roman" w:hAnsi="Times New Roman" w:eastAsia="宋体" w:cs="Times New Roman"/>
                <w:color w:val="auto"/>
                <w:spacing w:val="0"/>
                <w:sz w:val="24"/>
              </w:rPr>
              <w:t>范</w:t>
            </w:r>
            <w:r>
              <w:rPr>
                <w:rFonts w:hint="default" w:ascii="Times New Roman" w:hAnsi="Times New Roman" w:eastAsia="宋体" w:cs="Times New Roman"/>
                <w:color w:val="auto"/>
                <w:spacing w:val="0"/>
                <w:sz w:val="24"/>
                <w:lang w:val="en-US" w:eastAsia="zh-CN"/>
              </w:rPr>
              <w:t xml:space="preserve"> 工业噪声</w:t>
            </w:r>
            <w:r>
              <w:rPr>
                <w:rFonts w:hint="default" w:ascii="Times New Roman" w:hAnsi="Times New Roman" w:eastAsia="宋体" w:cs="Times New Roman"/>
                <w:color w:val="auto"/>
                <w:spacing w:val="0"/>
                <w:sz w:val="24"/>
                <w:lang w:eastAsia="zh-CN"/>
              </w:rPr>
              <w:t>》</w:t>
            </w:r>
            <w:r>
              <w:rPr>
                <w:rFonts w:hint="default" w:ascii="Times New Roman" w:hAnsi="Times New Roman" w:cs="Times New Roman"/>
                <w:color w:val="auto"/>
                <w:spacing w:val="0"/>
                <w:sz w:val="24"/>
                <w:lang w:eastAsia="zh-CN"/>
              </w:rPr>
              <w:t>（</w:t>
            </w:r>
            <w:r>
              <w:rPr>
                <w:rFonts w:hint="default" w:ascii="Times New Roman" w:hAnsi="Times New Roman" w:eastAsia="宋体" w:cs="Times New Roman"/>
                <w:color w:val="auto"/>
                <w:spacing w:val="0"/>
                <w:sz w:val="24"/>
                <w:lang w:val="en-US" w:eastAsia="zh-CN"/>
              </w:rPr>
              <w:t>HJ1301-2023</w:t>
            </w:r>
            <w:r>
              <w:rPr>
                <w:rFonts w:hint="default" w:ascii="Times New Roman" w:hAnsi="Times New Roman" w:eastAsia="宋体" w:cs="Times New Roman"/>
                <w:color w:val="auto"/>
                <w:spacing w:val="0"/>
                <w:sz w:val="24"/>
                <w:lang w:eastAsia="zh-CN"/>
              </w:rPr>
              <w:t>）</w:t>
            </w:r>
            <w:r>
              <w:rPr>
                <w:rFonts w:hint="eastAsia" w:ascii="Times New Roman" w:hAnsi="Times New Roman" w:eastAsia="宋体" w:cs="Times New Roman"/>
                <w:color w:val="auto"/>
                <w:spacing w:val="0"/>
                <w:position w:val="0"/>
                <w:sz w:val="24"/>
                <w:lang w:eastAsia="zh-CN"/>
              </w:rPr>
              <w:t>，</w:t>
            </w:r>
            <w:r>
              <w:rPr>
                <w:rFonts w:hint="default" w:ascii="Times New Roman" w:hAnsi="Times New Roman" w:cs="Times New Roman"/>
                <w:color w:val="auto"/>
                <w:spacing w:val="0"/>
                <w:position w:val="0"/>
                <w:sz w:val="24"/>
              </w:rPr>
              <w:t>则项目自行监测计划如下：</w:t>
            </w:r>
          </w:p>
          <w:p w14:paraId="43C3DA92">
            <w:pPr>
              <w:pStyle w:val="48"/>
              <w:spacing w:line="480" w:lineRule="atLeast"/>
              <w:ind w:firstLine="0"/>
              <w:jc w:val="center"/>
              <w:rPr>
                <w:rFonts w:hint="default" w:ascii="Times New Roman" w:hAnsi="Times New Roman" w:cs="Times New Roman"/>
                <w:b/>
                <w:bCs/>
                <w:color w:val="auto"/>
                <w:spacing w:val="0"/>
                <w:position w:val="0"/>
                <w:sz w:val="21"/>
                <w:szCs w:val="21"/>
              </w:rPr>
            </w:pPr>
            <w:r>
              <w:rPr>
                <w:rFonts w:hint="default" w:ascii="Times New Roman" w:hAnsi="Times New Roman" w:cs="Times New Roman"/>
                <w:b/>
                <w:bCs/>
                <w:color w:val="auto"/>
                <w:spacing w:val="0"/>
                <w:position w:val="0"/>
                <w:sz w:val="21"/>
                <w:szCs w:val="21"/>
              </w:rPr>
              <w:t>表4-</w:t>
            </w:r>
            <w:r>
              <w:rPr>
                <w:rFonts w:hint="eastAsia" w:ascii="Times New Roman" w:hAnsi="Times New Roman" w:cs="Times New Roman"/>
                <w:b/>
                <w:bCs/>
                <w:color w:val="auto"/>
                <w:spacing w:val="0"/>
                <w:position w:val="0"/>
                <w:sz w:val="21"/>
                <w:szCs w:val="21"/>
                <w:lang w:val="en-US" w:eastAsia="zh-CN"/>
              </w:rPr>
              <w:t>42</w:t>
            </w:r>
            <w:r>
              <w:rPr>
                <w:rFonts w:hint="default" w:ascii="Times New Roman" w:hAnsi="Times New Roman" w:cs="Times New Roman"/>
                <w:b/>
                <w:bCs/>
                <w:color w:val="auto"/>
                <w:spacing w:val="0"/>
                <w:position w:val="0"/>
                <w:sz w:val="21"/>
                <w:szCs w:val="21"/>
              </w:rPr>
              <w:t xml:space="preserve">  本项目环境监测计划一览表</w:t>
            </w:r>
          </w:p>
          <w:tbl>
            <w:tblPr>
              <w:tblStyle w:val="26"/>
              <w:tblW w:w="91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3"/>
              <w:gridCol w:w="1306"/>
              <w:gridCol w:w="2857"/>
              <w:gridCol w:w="1195"/>
              <w:gridCol w:w="3077"/>
            </w:tblGrid>
            <w:tr w14:paraId="61FF5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24E7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类别</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68C3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监测点位</w:t>
                  </w: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B52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监测指标</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D6C4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监测频次</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112E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执行标准</w:t>
                  </w:r>
                </w:p>
              </w:tc>
            </w:tr>
            <w:tr w14:paraId="60B4D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7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3B7A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废气</w:t>
                  </w:r>
                </w:p>
              </w:tc>
              <w:tc>
                <w:tcPr>
                  <w:tcW w:w="13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53D0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DA001</w:t>
                  </w: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099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1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1D29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季度</w:t>
                  </w:r>
                </w:p>
              </w:tc>
              <w:tc>
                <w:tcPr>
                  <w:tcW w:w="30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9C03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《危险废物焚烧污染控制标准》（</w:t>
                  </w:r>
                  <w:r>
                    <w:rPr>
                      <w:rFonts w:hint="default" w:ascii="Times New Roman" w:hAnsi="Times New Roman" w:eastAsia="宋体" w:cs="Times New Roman"/>
                      <w:i w:val="0"/>
                      <w:iCs w:val="0"/>
                      <w:color w:val="000000"/>
                      <w:kern w:val="0"/>
                      <w:sz w:val="21"/>
                      <w:szCs w:val="21"/>
                      <w:u w:val="none"/>
                      <w:lang w:val="en-US" w:eastAsia="zh-CN" w:bidi="ar"/>
                    </w:rPr>
                    <w:t>GB18484-2020</w:t>
                  </w:r>
                  <w:r>
                    <w:rPr>
                      <w:rFonts w:hint="eastAsia" w:ascii="宋体" w:hAnsi="宋体" w:eastAsia="宋体" w:cs="宋体"/>
                      <w:i w:val="0"/>
                      <w:iCs w:val="0"/>
                      <w:color w:val="000000"/>
                      <w:kern w:val="0"/>
                      <w:sz w:val="21"/>
                      <w:szCs w:val="21"/>
                      <w:u w:val="none"/>
                      <w:lang w:val="en-US" w:eastAsia="zh-CN" w:bidi="ar"/>
                    </w:rPr>
                    <w:t>）、《大气污染物综合排放标准》（</w:t>
                  </w:r>
                  <w:r>
                    <w:rPr>
                      <w:rFonts w:hint="default" w:ascii="Times New Roman" w:hAnsi="Times New Roman" w:eastAsia="宋体" w:cs="Times New Roman"/>
                      <w:i w:val="0"/>
                      <w:iCs w:val="0"/>
                      <w:color w:val="000000"/>
                      <w:kern w:val="0"/>
                      <w:sz w:val="21"/>
                      <w:szCs w:val="21"/>
                      <w:u w:val="none"/>
                      <w:lang w:val="en-US" w:eastAsia="zh-CN" w:bidi="ar"/>
                    </w:rPr>
                    <w:t>GB16297-1996</w:t>
                  </w:r>
                  <w:r>
                    <w:rPr>
                      <w:rFonts w:hint="eastAsia" w:ascii="宋体" w:hAnsi="宋体" w:eastAsia="宋体" w:cs="宋体"/>
                      <w:i w:val="0"/>
                      <w:iCs w:val="0"/>
                      <w:color w:val="000000"/>
                      <w:kern w:val="0"/>
                      <w:sz w:val="21"/>
                      <w:szCs w:val="21"/>
                      <w:u w:val="none"/>
                      <w:lang w:val="en-US" w:eastAsia="zh-CN" w:bidi="ar"/>
                    </w:rPr>
                    <w:t>）</w:t>
                  </w:r>
                </w:p>
              </w:tc>
            </w:tr>
            <w:tr w14:paraId="1B234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8B2E2">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F36BE">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C2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E0EE9">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EE3AF">
                  <w:pPr>
                    <w:jc w:val="center"/>
                    <w:rPr>
                      <w:rFonts w:hint="eastAsia" w:ascii="宋体" w:hAnsi="宋体" w:eastAsia="宋体" w:cs="宋体"/>
                      <w:i w:val="0"/>
                      <w:iCs w:val="0"/>
                      <w:color w:val="000000"/>
                      <w:sz w:val="21"/>
                      <w:szCs w:val="21"/>
                      <w:u w:val="none"/>
                    </w:rPr>
                  </w:pPr>
                </w:p>
              </w:tc>
            </w:tr>
            <w:tr w14:paraId="50B01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2608B">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10825">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71E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3A692">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0C5F2">
                  <w:pPr>
                    <w:jc w:val="center"/>
                    <w:rPr>
                      <w:rFonts w:hint="eastAsia" w:ascii="宋体" w:hAnsi="宋体" w:eastAsia="宋体" w:cs="宋体"/>
                      <w:i w:val="0"/>
                      <w:iCs w:val="0"/>
                      <w:color w:val="000000"/>
                      <w:sz w:val="21"/>
                      <w:szCs w:val="21"/>
                      <w:u w:val="none"/>
                    </w:rPr>
                  </w:pPr>
                </w:p>
              </w:tc>
            </w:tr>
            <w:tr w14:paraId="3C033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DB68C">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FE687">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EA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锡及其化合物</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F24C0">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B115E">
                  <w:pPr>
                    <w:jc w:val="center"/>
                    <w:rPr>
                      <w:rFonts w:hint="eastAsia" w:ascii="宋体" w:hAnsi="宋体" w:eastAsia="宋体" w:cs="宋体"/>
                      <w:i w:val="0"/>
                      <w:iCs w:val="0"/>
                      <w:color w:val="000000"/>
                      <w:sz w:val="21"/>
                      <w:szCs w:val="21"/>
                      <w:u w:val="none"/>
                    </w:rPr>
                  </w:pPr>
                </w:p>
              </w:tc>
            </w:tr>
            <w:tr w14:paraId="555AC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57917">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F9B07">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AB8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B52D1">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BE711">
                  <w:pPr>
                    <w:jc w:val="center"/>
                    <w:rPr>
                      <w:rFonts w:hint="eastAsia" w:ascii="宋体" w:hAnsi="宋体" w:eastAsia="宋体" w:cs="宋体"/>
                      <w:i w:val="0"/>
                      <w:iCs w:val="0"/>
                      <w:color w:val="000000"/>
                      <w:sz w:val="21"/>
                      <w:szCs w:val="21"/>
                      <w:u w:val="none"/>
                    </w:rPr>
                  </w:pPr>
                </w:p>
              </w:tc>
            </w:tr>
            <w:tr w14:paraId="34EEA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61AC6">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1A9E1">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75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39F7D">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C2DD0">
                  <w:pPr>
                    <w:jc w:val="center"/>
                    <w:rPr>
                      <w:rFonts w:hint="eastAsia" w:ascii="宋体" w:hAnsi="宋体" w:eastAsia="宋体" w:cs="宋体"/>
                      <w:i w:val="0"/>
                      <w:iCs w:val="0"/>
                      <w:color w:val="000000"/>
                      <w:sz w:val="21"/>
                      <w:szCs w:val="21"/>
                      <w:u w:val="none"/>
                    </w:rPr>
                  </w:pPr>
                </w:p>
              </w:tc>
            </w:tr>
            <w:tr w14:paraId="24E73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564F6">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50ED2">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1DD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D65AF">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19830">
                  <w:pPr>
                    <w:jc w:val="center"/>
                    <w:rPr>
                      <w:rFonts w:hint="eastAsia" w:ascii="宋体" w:hAnsi="宋体" w:eastAsia="宋体" w:cs="宋体"/>
                      <w:i w:val="0"/>
                      <w:iCs w:val="0"/>
                      <w:color w:val="000000"/>
                      <w:sz w:val="21"/>
                      <w:szCs w:val="21"/>
                      <w:u w:val="none"/>
                    </w:rPr>
                  </w:pPr>
                </w:p>
              </w:tc>
            </w:tr>
            <w:tr w14:paraId="041B2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39506">
                  <w:pPr>
                    <w:jc w:val="center"/>
                    <w:rPr>
                      <w:rFonts w:hint="eastAsia" w:ascii="宋体" w:hAnsi="宋体" w:eastAsia="宋体" w:cs="宋体"/>
                      <w:i w:val="0"/>
                      <w:iCs w:val="0"/>
                      <w:color w:val="000000"/>
                      <w:sz w:val="21"/>
                      <w:szCs w:val="21"/>
                      <w:u w:val="none"/>
                    </w:rPr>
                  </w:pP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679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DA002</w:t>
                  </w: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D08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7C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年</w:t>
                  </w:r>
                </w:p>
              </w:tc>
              <w:tc>
                <w:tcPr>
                  <w:tcW w:w="3077" w:type="dxa"/>
                  <w:vMerge w:val="restart"/>
                  <w:tcBorders>
                    <w:top w:val="single" w:color="000000" w:sz="4" w:space="0"/>
                    <w:left w:val="single" w:color="000000" w:sz="4" w:space="0"/>
                    <w:bottom w:val="nil"/>
                    <w:right w:val="single" w:color="000000" w:sz="4" w:space="0"/>
                  </w:tcBorders>
                  <w:shd w:val="clear" w:color="auto" w:fill="auto"/>
                  <w:vAlign w:val="center"/>
                </w:tcPr>
                <w:p w14:paraId="5DFCE0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《大气污染物综合排放标准》（</w:t>
                  </w:r>
                  <w:r>
                    <w:rPr>
                      <w:rFonts w:hint="default" w:ascii="Times New Roman" w:hAnsi="Times New Roman" w:eastAsia="宋体" w:cs="Times New Roman"/>
                      <w:i w:val="0"/>
                      <w:iCs w:val="0"/>
                      <w:color w:val="000000"/>
                      <w:kern w:val="0"/>
                      <w:sz w:val="21"/>
                      <w:szCs w:val="21"/>
                      <w:u w:val="none"/>
                      <w:lang w:val="en-US" w:eastAsia="zh-CN" w:bidi="ar"/>
                    </w:rPr>
                    <w:t>GB16297-1996</w:t>
                  </w:r>
                  <w:r>
                    <w:rPr>
                      <w:rFonts w:hint="eastAsia" w:ascii="宋体" w:hAnsi="宋体" w:eastAsia="宋体" w:cs="宋体"/>
                      <w:i w:val="0"/>
                      <w:iCs w:val="0"/>
                      <w:color w:val="000000"/>
                      <w:kern w:val="0"/>
                      <w:sz w:val="21"/>
                      <w:szCs w:val="21"/>
                      <w:u w:val="none"/>
                      <w:lang w:val="en-US" w:eastAsia="zh-CN" w:bidi="ar"/>
                    </w:rPr>
                    <w:t>）</w:t>
                  </w:r>
                </w:p>
              </w:tc>
            </w:tr>
            <w:tr w14:paraId="3D239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9B09A">
                  <w:pPr>
                    <w:jc w:val="center"/>
                    <w:rPr>
                      <w:rFonts w:hint="eastAsia" w:ascii="宋体" w:hAnsi="宋体" w:eastAsia="宋体" w:cs="宋体"/>
                      <w:i w:val="0"/>
                      <w:iCs w:val="0"/>
                      <w:color w:val="000000"/>
                      <w:sz w:val="21"/>
                      <w:szCs w:val="21"/>
                      <w:u w:val="none"/>
                    </w:rPr>
                  </w:pPr>
                </w:p>
              </w:tc>
              <w:tc>
                <w:tcPr>
                  <w:tcW w:w="13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B66A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DA003</w:t>
                  </w: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FF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1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D40E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季度</w:t>
                  </w:r>
                </w:p>
              </w:tc>
              <w:tc>
                <w:tcPr>
                  <w:tcW w:w="30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5FE4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《危险废物焚烧污染控制标准》（</w:t>
                  </w:r>
                  <w:r>
                    <w:rPr>
                      <w:rFonts w:hint="default" w:ascii="Times New Roman" w:hAnsi="Times New Roman" w:eastAsia="宋体" w:cs="Times New Roman"/>
                      <w:i w:val="0"/>
                      <w:iCs w:val="0"/>
                      <w:color w:val="000000"/>
                      <w:kern w:val="0"/>
                      <w:sz w:val="21"/>
                      <w:szCs w:val="21"/>
                      <w:u w:val="none"/>
                      <w:lang w:val="en-US" w:eastAsia="zh-CN" w:bidi="ar"/>
                    </w:rPr>
                    <w:t>GB18484-2020</w:t>
                  </w:r>
                  <w:r>
                    <w:rPr>
                      <w:rFonts w:hint="eastAsia" w:ascii="宋体" w:hAnsi="宋体" w:eastAsia="宋体" w:cs="宋体"/>
                      <w:i w:val="0"/>
                      <w:iCs w:val="0"/>
                      <w:color w:val="000000"/>
                      <w:kern w:val="0"/>
                      <w:sz w:val="21"/>
                      <w:szCs w:val="21"/>
                      <w:u w:val="none"/>
                      <w:lang w:val="en-US" w:eastAsia="zh-CN" w:bidi="ar"/>
                    </w:rPr>
                    <w:t>）、《大气污染物综合排放标准》（</w:t>
                  </w:r>
                  <w:r>
                    <w:rPr>
                      <w:rFonts w:hint="default" w:ascii="Times New Roman" w:hAnsi="Times New Roman" w:eastAsia="宋体" w:cs="Times New Roman"/>
                      <w:i w:val="0"/>
                      <w:iCs w:val="0"/>
                      <w:color w:val="000000"/>
                      <w:kern w:val="0"/>
                      <w:sz w:val="21"/>
                      <w:szCs w:val="21"/>
                      <w:u w:val="none"/>
                      <w:lang w:val="en-US" w:eastAsia="zh-CN" w:bidi="ar"/>
                    </w:rPr>
                    <w:t>GB16297-1996</w:t>
                  </w:r>
                  <w:r>
                    <w:rPr>
                      <w:rFonts w:hint="eastAsia" w:ascii="宋体" w:hAnsi="宋体" w:eastAsia="宋体" w:cs="宋体"/>
                      <w:i w:val="0"/>
                      <w:iCs w:val="0"/>
                      <w:color w:val="000000"/>
                      <w:kern w:val="0"/>
                      <w:sz w:val="21"/>
                      <w:szCs w:val="21"/>
                      <w:u w:val="none"/>
                      <w:lang w:val="en-US" w:eastAsia="zh-CN" w:bidi="ar"/>
                    </w:rPr>
                    <w:t>）</w:t>
                  </w:r>
                </w:p>
              </w:tc>
            </w:tr>
            <w:tr w14:paraId="4F899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22738">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2377F">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636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8F838">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9B1A0">
                  <w:pPr>
                    <w:jc w:val="center"/>
                    <w:rPr>
                      <w:rFonts w:hint="eastAsia" w:ascii="宋体" w:hAnsi="宋体" w:eastAsia="宋体" w:cs="宋体"/>
                      <w:i w:val="0"/>
                      <w:iCs w:val="0"/>
                      <w:color w:val="000000"/>
                      <w:sz w:val="21"/>
                      <w:szCs w:val="21"/>
                      <w:u w:val="none"/>
                    </w:rPr>
                  </w:pPr>
                </w:p>
              </w:tc>
            </w:tr>
            <w:tr w14:paraId="3F87E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19965">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926FE">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6F0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A9D14">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8FF9C">
                  <w:pPr>
                    <w:jc w:val="center"/>
                    <w:rPr>
                      <w:rFonts w:hint="eastAsia" w:ascii="宋体" w:hAnsi="宋体" w:eastAsia="宋体" w:cs="宋体"/>
                      <w:i w:val="0"/>
                      <w:iCs w:val="0"/>
                      <w:color w:val="000000"/>
                      <w:sz w:val="21"/>
                      <w:szCs w:val="21"/>
                      <w:u w:val="none"/>
                    </w:rPr>
                  </w:pPr>
                </w:p>
              </w:tc>
            </w:tr>
            <w:tr w14:paraId="7B3EA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12828">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F915C">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5FF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锡及其化合物</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48685">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C5B34">
                  <w:pPr>
                    <w:jc w:val="center"/>
                    <w:rPr>
                      <w:rFonts w:hint="eastAsia" w:ascii="宋体" w:hAnsi="宋体" w:eastAsia="宋体" w:cs="宋体"/>
                      <w:i w:val="0"/>
                      <w:iCs w:val="0"/>
                      <w:color w:val="000000"/>
                      <w:sz w:val="21"/>
                      <w:szCs w:val="21"/>
                      <w:u w:val="none"/>
                    </w:rPr>
                  </w:pPr>
                </w:p>
              </w:tc>
            </w:tr>
            <w:tr w14:paraId="63A18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00D92">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C3940">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1A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33ED4">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46D6A">
                  <w:pPr>
                    <w:jc w:val="center"/>
                    <w:rPr>
                      <w:rFonts w:hint="eastAsia" w:ascii="宋体" w:hAnsi="宋体" w:eastAsia="宋体" w:cs="宋体"/>
                      <w:i w:val="0"/>
                      <w:iCs w:val="0"/>
                      <w:color w:val="000000"/>
                      <w:sz w:val="21"/>
                      <w:szCs w:val="21"/>
                      <w:u w:val="none"/>
                    </w:rPr>
                  </w:pPr>
                </w:p>
              </w:tc>
            </w:tr>
            <w:tr w14:paraId="7D78F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1E452">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121A6">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570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BB41B">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11D5E">
                  <w:pPr>
                    <w:jc w:val="center"/>
                    <w:rPr>
                      <w:rFonts w:hint="eastAsia" w:ascii="宋体" w:hAnsi="宋体" w:eastAsia="宋体" w:cs="宋体"/>
                      <w:i w:val="0"/>
                      <w:iCs w:val="0"/>
                      <w:color w:val="000000"/>
                      <w:sz w:val="21"/>
                      <w:szCs w:val="21"/>
                      <w:u w:val="none"/>
                    </w:rPr>
                  </w:pPr>
                </w:p>
              </w:tc>
            </w:tr>
            <w:tr w14:paraId="4F697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D70DB">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09F30">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59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7F13E">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E23F5">
                  <w:pPr>
                    <w:jc w:val="center"/>
                    <w:rPr>
                      <w:rFonts w:hint="eastAsia" w:ascii="宋体" w:hAnsi="宋体" w:eastAsia="宋体" w:cs="宋体"/>
                      <w:i w:val="0"/>
                      <w:iCs w:val="0"/>
                      <w:color w:val="000000"/>
                      <w:sz w:val="21"/>
                      <w:szCs w:val="21"/>
                      <w:u w:val="none"/>
                    </w:rPr>
                  </w:pPr>
                </w:p>
              </w:tc>
            </w:tr>
            <w:tr w14:paraId="33593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BF949">
                  <w:pPr>
                    <w:jc w:val="center"/>
                    <w:rPr>
                      <w:rFonts w:hint="eastAsia" w:ascii="宋体" w:hAnsi="宋体" w:eastAsia="宋体" w:cs="宋体"/>
                      <w:i w:val="0"/>
                      <w:iCs w:val="0"/>
                      <w:color w:val="000000"/>
                      <w:sz w:val="21"/>
                      <w:szCs w:val="21"/>
                      <w:u w:val="none"/>
                    </w:rPr>
                  </w:pP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D3C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DA004</w:t>
                  </w: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A45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颗粒物（含炭黑尘）</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BC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年</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338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《大气污染物综合排放标准》（</w:t>
                  </w:r>
                  <w:r>
                    <w:rPr>
                      <w:rFonts w:hint="default" w:ascii="Times New Roman" w:hAnsi="Times New Roman" w:eastAsia="宋体" w:cs="Times New Roman"/>
                      <w:i w:val="0"/>
                      <w:iCs w:val="0"/>
                      <w:color w:val="000000"/>
                      <w:kern w:val="0"/>
                      <w:sz w:val="21"/>
                      <w:szCs w:val="21"/>
                      <w:u w:val="none"/>
                      <w:lang w:val="en-US" w:eastAsia="zh-CN" w:bidi="ar"/>
                    </w:rPr>
                    <w:t>GB16297-1996</w:t>
                  </w:r>
                  <w:r>
                    <w:rPr>
                      <w:rFonts w:hint="eastAsia" w:ascii="宋体" w:hAnsi="宋体" w:eastAsia="宋体" w:cs="宋体"/>
                      <w:i w:val="0"/>
                      <w:iCs w:val="0"/>
                      <w:color w:val="000000"/>
                      <w:kern w:val="0"/>
                      <w:sz w:val="21"/>
                      <w:szCs w:val="21"/>
                      <w:u w:val="none"/>
                      <w:lang w:val="en-US" w:eastAsia="zh-CN" w:bidi="ar"/>
                    </w:rPr>
                    <w:t>）</w:t>
                  </w:r>
                </w:p>
              </w:tc>
            </w:tr>
            <w:tr w14:paraId="2F590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EBAEC">
                  <w:pPr>
                    <w:jc w:val="center"/>
                    <w:rPr>
                      <w:rFonts w:hint="eastAsia" w:ascii="宋体" w:hAnsi="宋体" w:eastAsia="宋体" w:cs="宋体"/>
                      <w:i w:val="0"/>
                      <w:iCs w:val="0"/>
                      <w:color w:val="000000"/>
                      <w:sz w:val="21"/>
                      <w:szCs w:val="21"/>
                      <w:u w:val="none"/>
                    </w:rPr>
                  </w:pPr>
                </w:p>
              </w:tc>
              <w:tc>
                <w:tcPr>
                  <w:tcW w:w="1306" w:type="dxa"/>
                  <w:vMerge w:val="restart"/>
                  <w:tcBorders>
                    <w:top w:val="single" w:color="000000" w:sz="4" w:space="0"/>
                    <w:left w:val="single" w:color="000000" w:sz="4" w:space="0"/>
                    <w:bottom w:val="nil"/>
                    <w:right w:val="single" w:color="000000" w:sz="4" w:space="0"/>
                  </w:tcBorders>
                  <w:shd w:val="clear" w:color="auto" w:fill="auto"/>
                  <w:vAlign w:val="center"/>
                </w:tcPr>
                <w:p w14:paraId="781F50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厂界</w:t>
                  </w: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A21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195" w:type="dxa"/>
                  <w:vMerge w:val="restart"/>
                  <w:tcBorders>
                    <w:top w:val="single" w:color="000000" w:sz="4" w:space="0"/>
                    <w:left w:val="single" w:color="000000" w:sz="4" w:space="0"/>
                    <w:bottom w:val="nil"/>
                    <w:right w:val="single" w:color="000000" w:sz="4" w:space="0"/>
                  </w:tcBorders>
                  <w:shd w:val="clear" w:color="auto" w:fill="auto"/>
                  <w:vAlign w:val="center"/>
                </w:tcPr>
                <w:p w14:paraId="142588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1次/年</w:t>
                  </w:r>
                </w:p>
              </w:tc>
              <w:tc>
                <w:tcPr>
                  <w:tcW w:w="3077" w:type="dxa"/>
                  <w:vMerge w:val="restart"/>
                  <w:tcBorders>
                    <w:top w:val="single" w:color="000000" w:sz="4" w:space="0"/>
                    <w:left w:val="single" w:color="000000" w:sz="4" w:space="0"/>
                    <w:bottom w:val="nil"/>
                    <w:right w:val="single" w:color="000000" w:sz="4" w:space="0"/>
                  </w:tcBorders>
                  <w:shd w:val="clear" w:color="auto" w:fill="auto"/>
                  <w:vAlign w:val="center"/>
                </w:tcPr>
                <w:p w14:paraId="2D217A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《大气污染物综合排放标准》（</w:t>
                  </w:r>
                  <w:r>
                    <w:rPr>
                      <w:rFonts w:hint="default" w:ascii="Times New Roman" w:hAnsi="Times New Roman" w:eastAsia="宋体" w:cs="Times New Roman"/>
                      <w:i w:val="0"/>
                      <w:iCs w:val="0"/>
                      <w:color w:val="000000"/>
                      <w:kern w:val="0"/>
                      <w:sz w:val="21"/>
                      <w:szCs w:val="21"/>
                      <w:u w:val="none"/>
                      <w:lang w:val="en-US" w:eastAsia="zh-CN" w:bidi="ar"/>
                    </w:rPr>
                    <w:t>GB16297-1996</w:t>
                  </w:r>
                  <w:r>
                    <w:rPr>
                      <w:rFonts w:hint="eastAsia" w:ascii="宋体" w:hAnsi="宋体" w:eastAsia="宋体" w:cs="宋体"/>
                      <w:i w:val="0"/>
                      <w:iCs w:val="0"/>
                      <w:color w:val="000000"/>
                      <w:kern w:val="0"/>
                      <w:sz w:val="21"/>
                      <w:szCs w:val="21"/>
                      <w:u w:val="none"/>
                      <w:lang w:val="en-US" w:eastAsia="zh-CN" w:bidi="ar"/>
                    </w:rPr>
                    <w:t>）</w:t>
                  </w:r>
                </w:p>
              </w:tc>
            </w:tr>
            <w:tr w14:paraId="5120B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4EB4E">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nil"/>
                    <w:right w:val="single" w:color="000000" w:sz="4" w:space="0"/>
                  </w:tcBorders>
                  <w:shd w:val="clear" w:color="auto" w:fill="auto"/>
                  <w:vAlign w:val="center"/>
                </w:tcPr>
                <w:p w14:paraId="13E7A875">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DC6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195" w:type="dxa"/>
                  <w:vMerge w:val="continue"/>
                  <w:tcBorders>
                    <w:top w:val="single" w:color="000000" w:sz="4" w:space="0"/>
                    <w:left w:val="single" w:color="000000" w:sz="4" w:space="0"/>
                    <w:bottom w:val="nil"/>
                    <w:right w:val="single" w:color="000000" w:sz="4" w:space="0"/>
                  </w:tcBorders>
                  <w:shd w:val="clear" w:color="auto" w:fill="auto"/>
                  <w:vAlign w:val="center"/>
                </w:tcPr>
                <w:p w14:paraId="7EC99EBF">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nil"/>
                    <w:right w:val="single" w:color="000000" w:sz="4" w:space="0"/>
                  </w:tcBorders>
                  <w:shd w:val="clear" w:color="auto" w:fill="auto"/>
                  <w:vAlign w:val="center"/>
                </w:tcPr>
                <w:p w14:paraId="12E5D51E">
                  <w:pPr>
                    <w:jc w:val="center"/>
                    <w:rPr>
                      <w:rFonts w:hint="eastAsia" w:ascii="宋体" w:hAnsi="宋体" w:eastAsia="宋体" w:cs="宋体"/>
                      <w:i w:val="0"/>
                      <w:iCs w:val="0"/>
                      <w:color w:val="000000"/>
                      <w:sz w:val="21"/>
                      <w:szCs w:val="21"/>
                      <w:u w:val="none"/>
                    </w:rPr>
                  </w:pPr>
                </w:p>
              </w:tc>
            </w:tr>
            <w:tr w14:paraId="294D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7AFED">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nil"/>
                    <w:right w:val="single" w:color="000000" w:sz="4" w:space="0"/>
                  </w:tcBorders>
                  <w:shd w:val="clear" w:color="auto" w:fill="auto"/>
                  <w:vAlign w:val="center"/>
                </w:tcPr>
                <w:p w14:paraId="20F98276">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513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195" w:type="dxa"/>
                  <w:vMerge w:val="continue"/>
                  <w:tcBorders>
                    <w:top w:val="single" w:color="000000" w:sz="4" w:space="0"/>
                    <w:left w:val="single" w:color="000000" w:sz="4" w:space="0"/>
                    <w:bottom w:val="nil"/>
                    <w:right w:val="single" w:color="000000" w:sz="4" w:space="0"/>
                  </w:tcBorders>
                  <w:shd w:val="clear" w:color="auto" w:fill="auto"/>
                  <w:vAlign w:val="center"/>
                </w:tcPr>
                <w:p w14:paraId="4442952F">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nil"/>
                    <w:right w:val="single" w:color="000000" w:sz="4" w:space="0"/>
                  </w:tcBorders>
                  <w:shd w:val="clear" w:color="auto" w:fill="auto"/>
                  <w:vAlign w:val="center"/>
                </w:tcPr>
                <w:p w14:paraId="479F9DF6">
                  <w:pPr>
                    <w:jc w:val="center"/>
                    <w:rPr>
                      <w:rFonts w:hint="eastAsia" w:ascii="宋体" w:hAnsi="宋体" w:eastAsia="宋体" w:cs="宋体"/>
                      <w:i w:val="0"/>
                      <w:iCs w:val="0"/>
                      <w:color w:val="000000"/>
                      <w:sz w:val="21"/>
                      <w:szCs w:val="21"/>
                      <w:u w:val="none"/>
                    </w:rPr>
                  </w:pPr>
                </w:p>
              </w:tc>
            </w:tr>
            <w:tr w14:paraId="22368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A8FA1">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nil"/>
                    <w:right w:val="single" w:color="000000" w:sz="4" w:space="0"/>
                  </w:tcBorders>
                  <w:shd w:val="clear" w:color="auto" w:fill="auto"/>
                  <w:vAlign w:val="center"/>
                </w:tcPr>
                <w:p w14:paraId="147C14A2">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03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锡及其化合物</w:t>
                  </w:r>
                </w:p>
              </w:tc>
              <w:tc>
                <w:tcPr>
                  <w:tcW w:w="1195" w:type="dxa"/>
                  <w:vMerge w:val="continue"/>
                  <w:tcBorders>
                    <w:top w:val="single" w:color="000000" w:sz="4" w:space="0"/>
                    <w:left w:val="single" w:color="000000" w:sz="4" w:space="0"/>
                    <w:bottom w:val="nil"/>
                    <w:right w:val="single" w:color="000000" w:sz="4" w:space="0"/>
                  </w:tcBorders>
                  <w:shd w:val="clear" w:color="auto" w:fill="auto"/>
                  <w:vAlign w:val="center"/>
                </w:tcPr>
                <w:p w14:paraId="0B243C78">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nil"/>
                    <w:right w:val="single" w:color="000000" w:sz="4" w:space="0"/>
                  </w:tcBorders>
                  <w:shd w:val="clear" w:color="auto" w:fill="auto"/>
                  <w:vAlign w:val="center"/>
                </w:tcPr>
                <w:p w14:paraId="59AD24A8">
                  <w:pPr>
                    <w:jc w:val="center"/>
                    <w:rPr>
                      <w:rFonts w:hint="eastAsia" w:ascii="宋体" w:hAnsi="宋体" w:eastAsia="宋体" w:cs="宋体"/>
                      <w:i w:val="0"/>
                      <w:iCs w:val="0"/>
                      <w:color w:val="000000"/>
                      <w:sz w:val="21"/>
                      <w:szCs w:val="21"/>
                      <w:u w:val="none"/>
                    </w:rPr>
                  </w:pPr>
                </w:p>
              </w:tc>
            </w:tr>
            <w:tr w14:paraId="438BF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50CBC">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nil"/>
                    <w:right w:val="single" w:color="000000" w:sz="4" w:space="0"/>
                  </w:tcBorders>
                  <w:shd w:val="clear" w:color="auto" w:fill="auto"/>
                  <w:vAlign w:val="center"/>
                </w:tcPr>
                <w:p w14:paraId="3E508B46">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48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195" w:type="dxa"/>
                  <w:vMerge w:val="continue"/>
                  <w:tcBorders>
                    <w:top w:val="single" w:color="000000" w:sz="4" w:space="0"/>
                    <w:left w:val="single" w:color="000000" w:sz="4" w:space="0"/>
                    <w:bottom w:val="nil"/>
                    <w:right w:val="single" w:color="000000" w:sz="4" w:space="0"/>
                  </w:tcBorders>
                  <w:shd w:val="clear" w:color="auto" w:fill="auto"/>
                  <w:vAlign w:val="center"/>
                </w:tcPr>
                <w:p w14:paraId="521894B1">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nil"/>
                    <w:right w:val="single" w:color="000000" w:sz="4" w:space="0"/>
                  </w:tcBorders>
                  <w:shd w:val="clear" w:color="auto" w:fill="auto"/>
                  <w:vAlign w:val="center"/>
                </w:tcPr>
                <w:p w14:paraId="76D47F88">
                  <w:pPr>
                    <w:jc w:val="center"/>
                    <w:rPr>
                      <w:rFonts w:hint="eastAsia" w:ascii="宋体" w:hAnsi="宋体" w:eastAsia="宋体" w:cs="宋体"/>
                      <w:i w:val="0"/>
                      <w:iCs w:val="0"/>
                      <w:color w:val="000000"/>
                      <w:sz w:val="21"/>
                      <w:szCs w:val="21"/>
                      <w:u w:val="none"/>
                    </w:rPr>
                  </w:pPr>
                </w:p>
              </w:tc>
            </w:tr>
            <w:tr w14:paraId="55F26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C8B72">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nil"/>
                    <w:right w:val="single" w:color="000000" w:sz="4" w:space="0"/>
                  </w:tcBorders>
                  <w:shd w:val="clear" w:color="auto" w:fill="auto"/>
                  <w:vAlign w:val="center"/>
                </w:tcPr>
                <w:p w14:paraId="6F92223A">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9C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195" w:type="dxa"/>
                  <w:vMerge w:val="continue"/>
                  <w:tcBorders>
                    <w:top w:val="single" w:color="000000" w:sz="4" w:space="0"/>
                    <w:left w:val="single" w:color="000000" w:sz="4" w:space="0"/>
                    <w:bottom w:val="nil"/>
                    <w:right w:val="single" w:color="000000" w:sz="4" w:space="0"/>
                  </w:tcBorders>
                  <w:shd w:val="clear" w:color="auto" w:fill="auto"/>
                  <w:vAlign w:val="center"/>
                </w:tcPr>
                <w:p w14:paraId="4B9CB80C">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nil"/>
                    <w:right w:val="single" w:color="000000" w:sz="4" w:space="0"/>
                  </w:tcBorders>
                  <w:shd w:val="clear" w:color="auto" w:fill="auto"/>
                  <w:vAlign w:val="center"/>
                </w:tcPr>
                <w:p w14:paraId="259C2C5A">
                  <w:pPr>
                    <w:jc w:val="center"/>
                    <w:rPr>
                      <w:rFonts w:hint="eastAsia" w:ascii="宋体" w:hAnsi="宋体" w:eastAsia="宋体" w:cs="宋体"/>
                      <w:i w:val="0"/>
                      <w:iCs w:val="0"/>
                      <w:color w:val="000000"/>
                      <w:sz w:val="21"/>
                      <w:szCs w:val="21"/>
                      <w:u w:val="none"/>
                    </w:rPr>
                  </w:pPr>
                </w:p>
              </w:tc>
            </w:tr>
            <w:tr w14:paraId="1660F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AF8EF">
                  <w:pPr>
                    <w:jc w:val="center"/>
                    <w:rPr>
                      <w:rFonts w:hint="eastAsia" w:ascii="宋体" w:hAnsi="宋体" w:eastAsia="宋体" w:cs="宋体"/>
                      <w:i w:val="0"/>
                      <w:iCs w:val="0"/>
                      <w:color w:val="000000"/>
                      <w:sz w:val="21"/>
                      <w:szCs w:val="21"/>
                      <w:u w:val="none"/>
                    </w:rPr>
                  </w:pPr>
                </w:p>
              </w:tc>
              <w:tc>
                <w:tcPr>
                  <w:tcW w:w="1306" w:type="dxa"/>
                  <w:vMerge w:val="continue"/>
                  <w:tcBorders>
                    <w:top w:val="single" w:color="000000" w:sz="4" w:space="0"/>
                    <w:left w:val="single" w:color="000000" w:sz="4" w:space="0"/>
                    <w:bottom w:val="nil"/>
                    <w:right w:val="single" w:color="000000" w:sz="4" w:space="0"/>
                  </w:tcBorders>
                  <w:shd w:val="clear" w:color="auto" w:fill="auto"/>
                  <w:vAlign w:val="center"/>
                </w:tcPr>
                <w:p w14:paraId="7BF9EE63">
                  <w:pPr>
                    <w:jc w:val="center"/>
                    <w:rPr>
                      <w:rFonts w:hint="default" w:ascii="Times New Roman" w:hAnsi="Times New Roman" w:eastAsia="宋体" w:cs="Times New Roman"/>
                      <w:i w:val="0"/>
                      <w:iCs w:val="0"/>
                      <w:color w:val="000000"/>
                      <w:sz w:val="21"/>
                      <w:szCs w:val="21"/>
                      <w:u w:val="none"/>
                    </w:rPr>
                  </w:pP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AD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195" w:type="dxa"/>
                  <w:vMerge w:val="continue"/>
                  <w:tcBorders>
                    <w:top w:val="single" w:color="000000" w:sz="4" w:space="0"/>
                    <w:left w:val="single" w:color="000000" w:sz="4" w:space="0"/>
                    <w:bottom w:val="nil"/>
                    <w:right w:val="single" w:color="000000" w:sz="4" w:space="0"/>
                  </w:tcBorders>
                  <w:shd w:val="clear" w:color="auto" w:fill="auto"/>
                  <w:vAlign w:val="center"/>
                </w:tcPr>
                <w:p w14:paraId="5ED64010">
                  <w:pPr>
                    <w:jc w:val="center"/>
                    <w:rPr>
                      <w:rFonts w:hint="default" w:ascii="Times New Roman" w:hAnsi="Times New Roman" w:eastAsia="宋体" w:cs="Times New Roman"/>
                      <w:i w:val="0"/>
                      <w:iCs w:val="0"/>
                      <w:color w:val="000000"/>
                      <w:sz w:val="21"/>
                      <w:szCs w:val="21"/>
                      <w:u w:val="none"/>
                    </w:rPr>
                  </w:pPr>
                </w:p>
              </w:tc>
              <w:tc>
                <w:tcPr>
                  <w:tcW w:w="3077" w:type="dxa"/>
                  <w:vMerge w:val="continue"/>
                  <w:tcBorders>
                    <w:top w:val="single" w:color="000000" w:sz="4" w:space="0"/>
                    <w:left w:val="single" w:color="000000" w:sz="4" w:space="0"/>
                    <w:bottom w:val="nil"/>
                    <w:right w:val="single" w:color="000000" w:sz="4" w:space="0"/>
                  </w:tcBorders>
                  <w:shd w:val="clear" w:color="auto" w:fill="auto"/>
                  <w:vAlign w:val="center"/>
                </w:tcPr>
                <w:p w14:paraId="39A94296">
                  <w:pPr>
                    <w:jc w:val="center"/>
                    <w:rPr>
                      <w:rFonts w:hint="eastAsia" w:ascii="宋体" w:hAnsi="宋体" w:eastAsia="宋体" w:cs="宋体"/>
                      <w:i w:val="0"/>
                      <w:iCs w:val="0"/>
                      <w:color w:val="000000"/>
                      <w:sz w:val="21"/>
                      <w:szCs w:val="21"/>
                      <w:u w:val="none"/>
                    </w:rPr>
                  </w:pPr>
                </w:p>
              </w:tc>
            </w:tr>
            <w:tr w14:paraId="38417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jc w:val="center"/>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BEE25">
                  <w:pPr>
                    <w:jc w:val="center"/>
                    <w:rPr>
                      <w:rFonts w:hint="eastAsia" w:ascii="宋体" w:hAnsi="宋体" w:eastAsia="宋体" w:cs="宋体"/>
                      <w:i w:val="0"/>
                      <w:iCs w:val="0"/>
                      <w:color w:val="000000"/>
                      <w:sz w:val="21"/>
                      <w:szCs w:val="21"/>
                      <w:u w:val="none"/>
                    </w:rPr>
                  </w:pP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66D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厂区内</w:t>
                  </w: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BA4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88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年</w:t>
                  </w:r>
                </w:p>
              </w:tc>
              <w:tc>
                <w:tcPr>
                  <w:tcW w:w="3077" w:type="dxa"/>
                  <w:tcBorders>
                    <w:top w:val="single" w:color="000000" w:sz="4" w:space="0"/>
                    <w:left w:val="single" w:color="000000" w:sz="4" w:space="0"/>
                    <w:bottom w:val="nil"/>
                    <w:right w:val="single" w:color="000000" w:sz="4" w:space="0"/>
                  </w:tcBorders>
                  <w:shd w:val="clear" w:color="auto" w:fill="auto"/>
                  <w:vAlign w:val="center"/>
                </w:tcPr>
                <w:p w14:paraId="609E4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《挥发性有机物无组织排放控制标准》（</w:t>
                  </w:r>
                  <w:r>
                    <w:rPr>
                      <w:rFonts w:hint="default" w:ascii="Times New Roman" w:hAnsi="Times New Roman" w:eastAsia="宋体" w:cs="Times New Roman"/>
                      <w:i w:val="0"/>
                      <w:iCs w:val="0"/>
                      <w:color w:val="000000"/>
                      <w:kern w:val="0"/>
                      <w:sz w:val="21"/>
                      <w:szCs w:val="21"/>
                      <w:u w:val="none"/>
                      <w:lang w:val="en-US" w:eastAsia="zh-CN" w:bidi="ar"/>
                    </w:rPr>
                    <w:t>GB37822-2019</w:t>
                  </w:r>
                  <w:r>
                    <w:rPr>
                      <w:rFonts w:hint="eastAsia" w:ascii="宋体" w:hAnsi="宋体" w:eastAsia="宋体" w:cs="宋体"/>
                      <w:i w:val="0"/>
                      <w:iCs w:val="0"/>
                      <w:color w:val="000000"/>
                      <w:kern w:val="0"/>
                      <w:sz w:val="21"/>
                      <w:szCs w:val="21"/>
                      <w:u w:val="none"/>
                      <w:lang w:val="en-US" w:eastAsia="zh-CN" w:bidi="ar"/>
                    </w:rPr>
                    <w:t>）</w:t>
                  </w:r>
                </w:p>
              </w:tc>
            </w:tr>
            <w:tr w14:paraId="73769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jc w:val="center"/>
              </w:trPr>
              <w:tc>
                <w:tcPr>
                  <w:tcW w:w="743" w:type="dxa"/>
                  <w:vMerge w:val="restart"/>
                  <w:tcBorders>
                    <w:top w:val="nil"/>
                    <w:left w:val="single" w:color="000000" w:sz="4" w:space="0"/>
                    <w:bottom w:val="single" w:color="000000" w:sz="4" w:space="0"/>
                    <w:right w:val="single" w:color="000000" w:sz="4" w:space="0"/>
                  </w:tcBorders>
                  <w:shd w:val="clear" w:color="auto" w:fill="auto"/>
                  <w:vAlign w:val="center"/>
                </w:tcPr>
                <w:p w14:paraId="720BD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废水</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39A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废水总</w:t>
                  </w:r>
                  <w:r>
                    <w:rPr>
                      <w:rFonts w:hint="eastAsia" w:ascii="宋体" w:hAnsi="宋体" w:eastAsia="宋体" w:cs="宋体"/>
                      <w:i w:val="0"/>
                      <w:iCs w:val="0"/>
                      <w:color w:val="000000"/>
                      <w:kern w:val="0"/>
                      <w:sz w:val="21"/>
                      <w:szCs w:val="21"/>
                      <w:u w:val="none"/>
                      <w:lang w:val="en-US" w:eastAsia="zh-CN" w:bidi="ar"/>
                    </w:rPr>
                    <w:t>排放口（</w:t>
                  </w:r>
                  <w:r>
                    <w:rPr>
                      <w:rFonts w:hint="default" w:ascii="Times New Roman" w:hAnsi="Times New Roman" w:eastAsia="宋体" w:cs="Times New Roman"/>
                      <w:i w:val="0"/>
                      <w:iCs w:val="0"/>
                      <w:color w:val="000000"/>
                      <w:kern w:val="0"/>
                      <w:sz w:val="21"/>
                      <w:szCs w:val="21"/>
                      <w:u w:val="none"/>
                      <w:lang w:val="en-US" w:eastAsia="zh-CN" w:bidi="ar"/>
                    </w:rPr>
                    <w:t>DW001</w:t>
                  </w:r>
                  <w:r>
                    <w:rPr>
                      <w:rFonts w:hint="eastAsia" w:ascii="宋体" w:hAnsi="宋体" w:eastAsia="宋体" w:cs="宋体"/>
                      <w:i w:val="0"/>
                      <w:iCs w:val="0"/>
                      <w:color w:val="000000"/>
                      <w:kern w:val="0"/>
                      <w:sz w:val="21"/>
                      <w:szCs w:val="21"/>
                      <w:u w:val="none"/>
                      <w:lang w:val="en-US" w:eastAsia="zh-CN" w:bidi="ar"/>
                    </w:rPr>
                    <w:t>）</w:t>
                  </w: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333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流量、</w:t>
                  </w:r>
                  <w:r>
                    <w:rPr>
                      <w:rFonts w:hint="default" w:ascii="Times New Roman" w:hAnsi="Times New Roman" w:eastAsia="宋体" w:cs="Times New Roman"/>
                      <w:i w:val="0"/>
                      <w:iCs w:val="0"/>
                      <w:color w:val="000000"/>
                      <w:kern w:val="0"/>
                      <w:sz w:val="21"/>
                      <w:szCs w:val="21"/>
                      <w:u w:val="none"/>
                      <w:lang w:val="en-US" w:eastAsia="zh-CN" w:bidi="ar"/>
                    </w:rPr>
                    <w:t>pH</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COD</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BOD</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SS</w:t>
                  </w:r>
                  <w:r>
                    <w:rPr>
                      <w:rFonts w:hint="eastAsia" w:ascii="宋体" w:hAnsi="宋体" w:eastAsia="宋体" w:cs="宋体"/>
                      <w:i w:val="0"/>
                      <w:iCs w:val="0"/>
                      <w:color w:val="000000"/>
                      <w:kern w:val="0"/>
                      <w:sz w:val="21"/>
                      <w:szCs w:val="21"/>
                      <w:u w:val="none"/>
                      <w:lang w:val="en-US" w:eastAsia="zh-CN" w:bidi="ar"/>
                    </w:rPr>
                    <w:t>、氨氮、</w:t>
                  </w:r>
                  <w:r>
                    <w:rPr>
                      <w:rFonts w:hint="default" w:ascii="Times New Roman" w:hAnsi="Times New Roman" w:eastAsia="宋体" w:cs="Times New Roman"/>
                      <w:i w:val="0"/>
                      <w:iCs w:val="0"/>
                      <w:color w:val="000000"/>
                      <w:kern w:val="0"/>
                      <w:sz w:val="21"/>
                      <w:szCs w:val="21"/>
                      <w:u w:val="none"/>
                      <w:lang w:val="en-US" w:eastAsia="zh-CN" w:bidi="ar"/>
                    </w:rPr>
                    <w:t>TP</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TN</w:t>
                  </w:r>
                  <w:r>
                    <w:rPr>
                      <w:rFonts w:hint="default"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氟化物</w:t>
                  </w:r>
                  <w:r>
                    <w:rPr>
                      <w:rFonts w:hint="default" w:ascii="Times New Roman" w:hAnsi="Times New Roman" w:cs="Times New Roman"/>
                      <w:i w:val="0"/>
                      <w:iCs w:val="0"/>
                      <w:color w:val="000000"/>
                      <w:kern w:val="0"/>
                      <w:sz w:val="21"/>
                      <w:szCs w:val="21"/>
                      <w:u w:val="none"/>
                      <w:lang w:val="en-US" w:eastAsia="zh-CN" w:bidi="ar"/>
                    </w:rPr>
                    <w:t>、TOC、色度</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0C7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年</w:t>
                  </w:r>
                </w:p>
              </w:tc>
              <w:tc>
                <w:tcPr>
                  <w:tcW w:w="30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5C6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皖江江南新兴产业集中区第一污水处理厂接管限值及《污水综合排放标准》（</w:t>
                  </w:r>
                  <w:r>
                    <w:rPr>
                      <w:rFonts w:hint="default" w:ascii="Times New Roman" w:hAnsi="Times New Roman" w:eastAsia="宋体" w:cs="Times New Roman"/>
                      <w:i w:val="0"/>
                      <w:iCs w:val="0"/>
                      <w:color w:val="000000"/>
                      <w:kern w:val="0"/>
                      <w:sz w:val="21"/>
                      <w:szCs w:val="21"/>
                      <w:u w:val="none"/>
                      <w:lang w:val="en-US" w:eastAsia="zh-CN" w:bidi="ar"/>
                    </w:rPr>
                    <w:t>GB8978-1996</w:t>
                  </w:r>
                  <w:r>
                    <w:rPr>
                      <w:rFonts w:hint="eastAsia" w:ascii="宋体" w:hAnsi="宋体" w:eastAsia="宋体" w:cs="宋体"/>
                      <w:i w:val="0"/>
                      <w:iCs w:val="0"/>
                      <w:color w:val="000000"/>
                      <w:kern w:val="0"/>
                      <w:sz w:val="21"/>
                      <w:szCs w:val="21"/>
                      <w:u w:val="none"/>
                      <w:lang w:val="en-US" w:eastAsia="zh-CN" w:bidi="ar"/>
                    </w:rPr>
                    <w:t>）表</w:t>
                  </w: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中三级标准</w:t>
                  </w:r>
                </w:p>
              </w:tc>
            </w:tr>
            <w:tr w14:paraId="43851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38E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噪声</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F1F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厂界四周</w:t>
                  </w:r>
                </w:p>
              </w:tc>
              <w:tc>
                <w:tcPr>
                  <w:tcW w:w="2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1CF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等效连续</w:t>
                  </w:r>
                  <w:r>
                    <w:rPr>
                      <w:rFonts w:hint="default" w:ascii="Times New Roman" w:hAnsi="Times New Roman" w:eastAsia="宋体" w:cs="Times New Roman"/>
                      <w:i w:val="0"/>
                      <w:iCs w:val="0"/>
                      <w:color w:val="000000"/>
                      <w:kern w:val="0"/>
                      <w:sz w:val="21"/>
                      <w:szCs w:val="21"/>
                      <w:u w:val="none"/>
                      <w:lang w:val="en-US" w:eastAsia="zh-CN" w:bidi="ar"/>
                    </w:rPr>
                    <w:t>A</w:t>
                  </w:r>
                  <w:r>
                    <w:rPr>
                      <w:rFonts w:hint="eastAsia" w:ascii="宋体" w:hAnsi="宋体" w:eastAsia="宋体" w:cs="宋体"/>
                      <w:i w:val="0"/>
                      <w:iCs w:val="0"/>
                      <w:color w:val="000000"/>
                      <w:kern w:val="0"/>
                      <w:sz w:val="21"/>
                      <w:szCs w:val="21"/>
                      <w:u w:val="none"/>
                      <w:lang w:val="en-US" w:eastAsia="zh-CN" w:bidi="ar"/>
                    </w:rPr>
                    <w:t>声级（</w:t>
                  </w:r>
                  <w:r>
                    <w:rPr>
                      <w:rFonts w:hint="default" w:ascii="Times New Roman" w:hAnsi="Times New Roman" w:eastAsia="宋体" w:cs="Times New Roman"/>
                      <w:i w:val="0"/>
                      <w:iCs w:val="0"/>
                      <w:color w:val="000000"/>
                      <w:kern w:val="0"/>
                      <w:sz w:val="21"/>
                      <w:szCs w:val="21"/>
                      <w:u w:val="none"/>
                      <w:lang w:val="en-US" w:eastAsia="zh-CN" w:bidi="ar"/>
                    </w:rPr>
                    <w:t>L</w:t>
                  </w:r>
                  <w:r>
                    <w:rPr>
                      <w:rFonts w:hint="default" w:ascii="Times New Roman" w:hAnsi="Times New Roman" w:eastAsia="宋体" w:cs="Times New Roman"/>
                      <w:i w:val="0"/>
                      <w:iCs w:val="0"/>
                      <w:color w:val="000000"/>
                      <w:kern w:val="0"/>
                      <w:sz w:val="21"/>
                      <w:szCs w:val="21"/>
                      <w:u w:val="none"/>
                      <w:vertAlign w:val="subscript"/>
                      <w:lang w:val="en-US" w:eastAsia="zh-CN" w:bidi="ar"/>
                    </w:rPr>
                    <w:t>eq</w:t>
                  </w:r>
                  <w:r>
                    <w:rPr>
                      <w:rFonts w:hint="eastAsia" w:ascii="宋体" w:hAnsi="宋体" w:eastAsia="宋体" w:cs="宋体"/>
                      <w:i w:val="0"/>
                      <w:iCs w:val="0"/>
                      <w:color w:val="000000"/>
                      <w:kern w:val="0"/>
                      <w:sz w:val="21"/>
                      <w:szCs w:val="21"/>
                      <w:u w:val="none"/>
                      <w:lang w:val="en-US" w:eastAsia="zh-CN" w:bidi="ar"/>
                    </w:rPr>
                    <w:t>）</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7D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季度</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30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《声环境质量标准》（</w:t>
                  </w:r>
                  <w:r>
                    <w:rPr>
                      <w:rFonts w:hint="default" w:ascii="Times New Roman" w:hAnsi="Times New Roman" w:eastAsia="宋体" w:cs="Times New Roman"/>
                      <w:i w:val="0"/>
                      <w:iCs w:val="0"/>
                      <w:color w:val="000000"/>
                      <w:kern w:val="0"/>
                      <w:sz w:val="21"/>
                      <w:szCs w:val="21"/>
                      <w:u w:val="none"/>
                      <w:lang w:val="en-US" w:eastAsia="zh-CN" w:bidi="ar"/>
                    </w:rPr>
                    <w:t>GB3096-2008</w:t>
                  </w:r>
                  <w:r>
                    <w:rPr>
                      <w:rFonts w:hint="eastAsia" w:ascii="宋体" w:hAnsi="宋体" w:eastAsia="宋体" w:cs="宋体"/>
                      <w:i w:val="0"/>
                      <w:iCs w:val="0"/>
                      <w:color w:val="000000"/>
                      <w:kern w:val="0"/>
                      <w:sz w:val="21"/>
                      <w:szCs w:val="21"/>
                      <w:u w:val="none"/>
                      <w:lang w:val="en-US" w:eastAsia="zh-CN" w:bidi="ar"/>
                    </w:rPr>
                    <w:t>）中</w:t>
                  </w:r>
                  <w:r>
                    <w:rPr>
                      <w:rFonts w:hint="default" w:ascii="Times New Roman" w:hAnsi="Times New Roman" w:eastAsia="宋体" w:cs="Times New Roman"/>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类标准。</w:t>
                  </w:r>
                </w:p>
              </w:tc>
            </w:tr>
          </w:tbl>
          <w:p w14:paraId="43344444">
            <w:pPr>
              <w:keepNext w:val="0"/>
              <w:keepLines w:val="0"/>
              <w:pageBreakBefore w:val="0"/>
              <w:widowControl w:val="0"/>
              <w:kinsoku/>
              <w:wordWrap/>
              <w:overflowPunct/>
              <w:topLinePunct w:val="0"/>
              <w:autoSpaceDE/>
              <w:autoSpaceDN/>
              <w:bidi w:val="0"/>
              <w:snapToGrid w:val="0"/>
              <w:spacing w:line="480" w:lineRule="atLeast"/>
              <w:jc w:val="both"/>
              <w:textAlignment w:val="auto"/>
              <w:rPr>
                <w:rFonts w:hint="default" w:ascii="Times New Roman" w:hAnsi="Times New Roman" w:eastAsia="宋体" w:cs="Times New Roman"/>
                <w:b/>
                <w:bCs w:val="0"/>
                <w:caps w:val="0"/>
                <w:smallCaps w:val="0"/>
                <w:color w:val="auto"/>
                <w:spacing w:val="0"/>
                <w:w w:val="100"/>
                <w:position w:val="0"/>
                <w:sz w:val="24"/>
                <w:lang w:val="en-US" w:eastAsia="zh-CN"/>
              </w:rPr>
            </w:pPr>
            <w:r>
              <w:rPr>
                <w:rFonts w:hint="eastAsia" w:cs="Times New Roman"/>
                <w:b/>
                <w:bCs w:val="0"/>
                <w:caps w:val="0"/>
                <w:smallCaps w:val="0"/>
                <w:color w:val="auto"/>
                <w:spacing w:val="0"/>
                <w:w w:val="100"/>
                <w:position w:val="0"/>
                <w:sz w:val="24"/>
                <w:lang w:val="en-US" w:eastAsia="zh-CN"/>
              </w:rPr>
              <w:t>4.9</w:t>
            </w:r>
            <w:r>
              <w:rPr>
                <w:rFonts w:hint="default" w:ascii="Times New Roman" w:hAnsi="Times New Roman" w:eastAsia="宋体" w:cs="Times New Roman"/>
                <w:b/>
                <w:bCs w:val="0"/>
                <w:caps w:val="0"/>
                <w:smallCaps w:val="0"/>
                <w:color w:val="auto"/>
                <w:spacing w:val="0"/>
                <w:w w:val="100"/>
                <w:position w:val="0"/>
                <w:sz w:val="24"/>
                <w:lang w:val="en-US" w:eastAsia="zh-CN"/>
              </w:rPr>
              <w:t>排污口规范化设置</w:t>
            </w:r>
          </w:p>
          <w:p w14:paraId="51D47C20">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color w:val="auto"/>
                <w:spacing w:val="0"/>
                <w:sz w:val="24"/>
                <w:szCs w:val="24"/>
              </w:rPr>
            </w:pPr>
            <w:r>
              <w:rPr>
                <w:rFonts w:hint="default" w:ascii="Times New Roman" w:hAnsi="Times New Roman" w:eastAsia="宋体" w:cs="Times New Roman"/>
                <w:color w:val="auto"/>
                <w:spacing w:val="0"/>
                <w:sz w:val="24"/>
                <w:szCs w:val="24"/>
              </w:rPr>
              <w:t>根据国家环保总局《关于开展排污口规范化整治试点工作的意见》、《关于加快排污口规范化整治试点工作的通知》和《安徽省污染源排放口规范化整治管理办法》精神，企业所有排放口</w:t>
            </w:r>
            <w:r>
              <w:rPr>
                <w:rFonts w:hint="eastAsia" w:cs="Times New Roman"/>
                <w:color w:val="auto"/>
                <w:spacing w:val="0"/>
                <w:sz w:val="24"/>
                <w:szCs w:val="24"/>
                <w:lang w:eastAsia="zh-CN"/>
              </w:rPr>
              <w:t>（</w:t>
            </w:r>
            <w:r>
              <w:rPr>
                <w:rFonts w:hint="default" w:ascii="Times New Roman" w:hAnsi="Times New Roman" w:eastAsia="宋体" w:cs="Times New Roman"/>
                <w:color w:val="auto"/>
                <w:spacing w:val="0"/>
                <w:sz w:val="24"/>
                <w:szCs w:val="24"/>
              </w:rPr>
              <w:t>包括水、气、声、渣）必须按照“便于采集样品、便于计量监测、便于日常现场监督检查”的原则和规范化要求，排污口要立标管理，设立国家标准规定的标志牌，根据排污口污染物的排放特点，设置提示性或警告性环境保护图形标志牌，一般污染源设置提示性标志牌，毒性污染物设置警告性环境保护图形标志牌</w:t>
            </w:r>
            <w:r>
              <w:rPr>
                <w:rFonts w:hint="eastAsia" w:cs="Times New Roman"/>
                <w:color w:val="auto"/>
                <w:spacing w:val="0"/>
                <w:sz w:val="24"/>
                <w:szCs w:val="24"/>
                <w:lang w:eastAsia="zh-CN"/>
              </w:rPr>
              <w:t>；</w:t>
            </w:r>
            <w:r>
              <w:rPr>
                <w:rFonts w:hint="default" w:ascii="Times New Roman" w:hAnsi="Times New Roman" w:eastAsia="宋体" w:cs="Times New Roman"/>
                <w:color w:val="auto"/>
                <w:spacing w:val="0"/>
                <w:sz w:val="24"/>
                <w:szCs w:val="24"/>
              </w:rPr>
              <w:t>绘制企业排污口分布图，对治理设施安装运行监控装置、排污口的规范化要符合有关要求。</w:t>
            </w:r>
          </w:p>
          <w:p w14:paraId="64D91F8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eastAsia="宋体" w:cs="Times New Roman"/>
                <w:color w:val="auto"/>
                <w:spacing w:val="0"/>
                <w:sz w:val="24"/>
                <w:szCs w:val="24"/>
              </w:rPr>
            </w:pPr>
            <w:r>
              <w:rPr>
                <w:rFonts w:hint="eastAsia" w:cs="Times New Roman"/>
                <w:color w:val="auto"/>
                <w:spacing w:val="0"/>
                <w:sz w:val="24"/>
                <w:szCs w:val="24"/>
                <w:lang w:eastAsia="zh-CN"/>
              </w:rPr>
              <w:t>（</w:t>
            </w:r>
            <w:r>
              <w:rPr>
                <w:rFonts w:hint="default" w:ascii="Times New Roman" w:hAnsi="Times New Roman" w:eastAsia="宋体" w:cs="Times New Roman"/>
                <w:color w:val="auto"/>
                <w:spacing w:val="0"/>
                <w:sz w:val="24"/>
                <w:szCs w:val="24"/>
              </w:rPr>
              <w:t>1）合理设置排污口位置，排污口应按规范设计，并按《污染源监测技术规范》设置采样点</w:t>
            </w:r>
            <w:r>
              <w:rPr>
                <w:rFonts w:hint="eastAsia" w:cs="Times New Roman"/>
                <w:color w:val="auto"/>
                <w:spacing w:val="0"/>
                <w:sz w:val="24"/>
                <w:szCs w:val="24"/>
                <w:lang w:eastAsia="zh-CN"/>
              </w:rPr>
              <w:t>；</w:t>
            </w:r>
            <w:r>
              <w:rPr>
                <w:rFonts w:hint="default" w:ascii="Times New Roman" w:hAnsi="Times New Roman" w:eastAsia="宋体" w:cs="Times New Roman"/>
                <w:color w:val="auto"/>
                <w:spacing w:val="0"/>
                <w:sz w:val="24"/>
                <w:szCs w:val="24"/>
              </w:rPr>
              <w:t>项目共设置</w:t>
            </w:r>
            <w:r>
              <w:rPr>
                <w:rFonts w:hint="eastAsia" w:cs="Times New Roman"/>
                <w:color w:val="auto"/>
                <w:spacing w:val="0"/>
                <w:sz w:val="24"/>
                <w:szCs w:val="24"/>
                <w:lang w:val="en-US" w:eastAsia="zh-CN"/>
              </w:rPr>
              <w:t>4</w:t>
            </w:r>
            <w:r>
              <w:rPr>
                <w:rFonts w:hint="default" w:ascii="Times New Roman" w:hAnsi="Times New Roman" w:eastAsia="宋体" w:cs="Times New Roman"/>
                <w:color w:val="auto"/>
                <w:spacing w:val="0"/>
                <w:sz w:val="24"/>
                <w:szCs w:val="24"/>
              </w:rPr>
              <w:t>根排气筒。</w:t>
            </w:r>
          </w:p>
          <w:p w14:paraId="2450B6D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eastAsia="宋体" w:cs="Times New Roman"/>
                <w:color w:val="auto"/>
                <w:spacing w:val="0"/>
                <w:sz w:val="24"/>
                <w:szCs w:val="24"/>
              </w:rPr>
            </w:pPr>
            <w:r>
              <w:rPr>
                <w:rFonts w:hint="eastAsia" w:cs="Times New Roman"/>
                <w:color w:val="auto"/>
                <w:spacing w:val="0"/>
                <w:sz w:val="24"/>
                <w:szCs w:val="24"/>
                <w:lang w:eastAsia="zh-CN"/>
              </w:rPr>
              <w:t>（</w:t>
            </w:r>
            <w:r>
              <w:rPr>
                <w:rFonts w:hint="default" w:ascii="Times New Roman" w:hAnsi="Times New Roman" w:eastAsia="宋体" w:cs="Times New Roman"/>
                <w:color w:val="auto"/>
                <w:spacing w:val="0"/>
                <w:sz w:val="24"/>
                <w:szCs w:val="24"/>
              </w:rPr>
              <w:t>2）按照GB15562.1-1995及GB15562.2-1995《环境保护图形标志》的规定，规范化设置废气排气筒、噪声排放口、一般固废</w:t>
            </w:r>
            <w:r>
              <w:rPr>
                <w:rFonts w:hint="default" w:ascii="Times New Roman" w:hAnsi="Times New Roman" w:eastAsia="宋体" w:cs="Times New Roman"/>
                <w:color w:val="auto"/>
                <w:spacing w:val="0"/>
                <w:sz w:val="24"/>
                <w:szCs w:val="24"/>
                <w:lang w:val="en-US" w:eastAsia="zh-CN"/>
              </w:rPr>
              <w:t>库</w:t>
            </w:r>
            <w:r>
              <w:rPr>
                <w:rFonts w:hint="default" w:ascii="Times New Roman" w:hAnsi="Times New Roman" w:eastAsia="宋体" w:cs="Times New Roman"/>
                <w:color w:val="auto"/>
                <w:spacing w:val="0"/>
                <w:sz w:val="24"/>
                <w:szCs w:val="24"/>
              </w:rPr>
              <w:t>、</w:t>
            </w:r>
            <w:r>
              <w:rPr>
                <w:rFonts w:hint="default" w:ascii="Times New Roman" w:hAnsi="Times New Roman" w:eastAsia="宋体" w:cs="Times New Roman"/>
                <w:color w:val="auto"/>
                <w:spacing w:val="0"/>
                <w:sz w:val="24"/>
                <w:szCs w:val="24"/>
                <w:lang w:val="en-US" w:eastAsia="zh-CN"/>
              </w:rPr>
              <w:t>危废库</w:t>
            </w:r>
            <w:r>
              <w:rPr>
                <w:rFonts w:hint="default" w:ascii="Times New Roman" w:hAnsi="Times New Roman" w:eastAsia="宋体" w:cs="Times New Roman"/>
                <w:color w:val="auto"/>
                <w:spacing w:val="0"/>
                <w:sz w:val="24"/>
                <w:szCs w:val="24"/>
              </w:rPr>
              <w:t>等。</w:t>
            </w:r>
          </w:p>
          <w:p w14:paraId="1D1DD31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eastAsia="宋体" w:cs="Times New Roman"/>
                <w:color w:val="auto"/>
                <w:spacing w:val="0"/>
                <w:sz w:val="24"/>
                <w:szCs w:val="24"/>
              </w:rPr>
            </w:pPr>
            <w:r>
              <w:rPr>
                <w:rFonts w:hint="default" w:ascii="Times New Roman" w:hAnsi="Times New Roman" w:eastAsia="宋体" w:cs="Times New Roman"/>
                <w:color w:val="auto"/>
                <w:spacing w:val="0"/>
                <w:sz w:val="24"/>
                <w:szCs w:val="24"/>
              </w:rPr>
              <w:t>对企业车间废气处理装置的排口分别设置平面固定式提示标志牌或树立式固定式提示标志牌，平面固定式标志牌为0.48cm×0.3cm的长方形冷轧钢板，树立式提示标志牌为0.42cm×0.42cm的正方形冷轧钢板，提示牌的背景和立柱为绿色，图案、边框、支架和</w:t>
            </w:r>
            <w:r>
              <w:rPr>
                <w:rFonts w:hint="eastAsia" w:cs="Times New Roman"/>
                <w:color w:val="auto"/>
                <w:spacing w:val="0"/>
                <w:sz w:val="24"/>
                <w:szCs w:val="24"/>
                <w:lang w:val="en-US" w:eastAsia="zh-CN"/>
              </w:rPr>
              <w:t>辅</w:t>
            </w:r>
            <w:r>
              <w:rPr>
                <w:rFonts w:hint="default" w:ascii="Times New Roman" w:hAnsi="Times New Roman" w:eastAsia="宋体" w:cs="Times New Roman"/>
                <w:color w:val="auto"/>
                <w:spacing w:val="0"/>
                <w:sz w:val="24"/>
                <w:szCs w:val="24"/>
              </w:rPr>
              <w:t>助标志的文字为白色，文字字型为黑体，标志牌辅助标志内容包括排污单位名称、标志牌名称、排污口编号和主要污染物名称，并交付当地环保部门注明</w:t>
            </w:r>
            <w:r>
              <w:rPr>
                <w:rFonts w:hint="default" w:ascii="Times New Roman" w:hAnsi="Times New Roman" w:eastAsia="宋体" w:cs="Times New Roman"/>
                <w:color w:val="auto"/>
                <w:spacing w:val="0"/>
                <w:sz w:val="24"/>
                <w:szCs w:val="24"/>
                <w:lang w:eastAsia="zh-CN"/>
              </w:rPr>
              <w:t>。</w:t>
            </w:r>
          </w:p>
          <w:p w14:paraId="113E21C1">
            <w:pPr>
              <w:keepNext w:val="0"/>
              <w:keepLines w:val="0"/>
              <w:pageBreakBefore w:val="0"/>
              <w:widowControl w:val="0"/>
              <w:kinsoku/>
              <w:wordWrap/>
              <w:overflowPunct/>
              <w:topLinePunct w:val="0"/>
              <w:autoSpaceDE/>
              <w:autoSpaceDN/>
              <w:bidi w:val="0"/>
              <w:adjustRightInd w:val="0"/>
              <w:snapToGrid w:val="0"/>
              <w:spacing w:line="480" w:lineRule="atLeast"/>
              <w:ind w:firstLine="0" w:firstLineChars="0"/>
              <w:jc w:val="center"/>
              <w:textAlignment w:val="auto"/>
              <w:rPr>
                <w:rFonts w:hint="default" w:ascii="Times New Roman" w:hAnsi="Times New Roman" w:eastAsia="宋体" w:cs="Times New Roman"/>
                <w:b/>
                <w:caps w:val="0"/>
                <w:smallCaps w:val="0"/>
                <w:color w:val="auto"/>
                <w:spacing w:val="0"/>
                <w:w w:val="100"/>
                <w:kern w:val="0"/>
                <w:position w:val="0"/>
                <w:sz w:val="21"/>
                <w:szCs w:val="21"/>
                <w:highlight w:val="none"/>
              </w:rPr>
            </w:pPr>
            <w:r>
              <w:rPr>
                <w:rFonts w:hint="default" w:ascii="Times New Roman" w:hAnsi="Times New Roman" w:eastAsia="宋体" w:cs="Times New Roman"/>
                <w:b/>
                <w:caps w:val="0"/>
                <w:smallCaps w:val="0"/>
                <w:color w:val="auto"/>
                <w:spacing w:val="0"/>
                <w:w w:val="100"/>
                <w:kern w:val="0"/>
                <w:position w:val="0"/>
                <w:sz w:val="21"/>
                <w:szCs w:val="21"/>
                <w:highlight w:val="none"/>
              </w:rPr>
              <w:t>表</w:t>
            </w:r>
            <w:r>
              <w:rPr>
                <w:rFonts w:hint="default" w:ascii="Times New Roman" w:hAnsi="Times New Roman" w:eastAsia="宋体" w:cs="Times New Roman"/>
                <w:b/>
                <w:caps w:val="0"/>
                <w:smallCaps w:val="0"/>
                <w:color w:val="auto"/>
                <w:spacing w:val="0"/>
                <w:w w:val="100"/>
                <w:kern w:val="0"/>
                <w:position w:val="0"/>
                <w:sz w:val="21"/>
                <w:szCs w:val="21"/>
                <w:highlight w:val="none"/>
                <w:lang w:val="en-US" w:eastAsia="zh-CN"/>
              </w:rPr>
              <w:t>4-</w:t>
            </w:r>
            <w:r>
              <w:rPr>
                <w:rFonts w:hint="eastAsia" w:cs="Times New Roman"/>
                <w:b/>
                <w:caps w:val="0"/>
                <w:smallCaps w:val="0"/>
                <w:color w:val="auto"/>
                <w:spacing w:val="0"/>
                <w:w w:val="100"/>
                <w:kern w:val="0"/>
                <w:position w:val="0"/>
                <w:sz w:val="21"/>
                <w:szCs w:val="21"/>
                <w:highlight w:val="none"/>
                <w:lang w:val="en-US" w:eastAsia="zh-CN"/>
              </w:rPr>
              <w:t>43</w:t>
            </w:r>
            <w:r>
              <w:rPr>
                <w:rFonts w:hint="default" w:ascii="Times New Roman" w:hAnsi="Times New Roman" w:eastAsia="宋体" w:cs="Times New Roman"/>
                <w:b/>
                <w:caps w:val="0"/>
                <w:smallCaps w:val="0"/>
                <w:color w:val="auto"/>
                <w:spacing w:val="0"/>
                <w:w w:val="100"/>
                <w:kern w:val="0"/>
                <w:position w:val="0"/>
                <w:sz w:val="21"/>
                <w:szCs w:val="21"/>
                <w:highlight w:val="none"/>
                <w:lang w:val="en-US" w:eastAsia="zh-CN"/>
              </w:rPr>
              <w:t xml:space="preserve">  </w:t>
            </w:r>
            <w:r>
              <w:rPr>
                <w:rFonts w:hint="default" w:ascii="Times New Roman" w:hAnsi="Times New Roman" w:eastAsia="宋体" w:cs="Times New Roman"/>
                <w:b/>
                <w:caps w:val="0"/>
                <w:smallCaps w:val="0"/>
                <w:color w:val="auto"/>
                <w:spacing w:val="0"/>
                <w:w w:val="100"/>
                <w:kern w:val="0"/>
                <w:position w:val="0"/>
                <w:sz w:val="21"/>
                <w:szCs w:val="21"/>
                <w:highlight w:val="none"/>
              </w:rPr>
              <w:t>环保图形标志</w:t>
            </w:r>
          </w:p>
          <w:tbl>
            <w:tblPr>
              <w:tblStyle w:val="26"/>
              <w:tblW w:w="8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1"/>
              <w:gridCol w:w="2038"/>
              <w:gridCol w:w="2400"/>
              <w:gridCol w:w="1729"/>
              <w:gridCol w:w="1640"/>
            </w:tblGrid>
            <w:tr w14:paraId="23FF1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jc w:val="center"/>
              </w:trPr>
              <w:tc>
                <w:tcPr>
                  <w:tcW w:w="652" w:type="dxa"/>
                  <w:noWrap w:val="0"/>
                  <w:vAlign w:val="center"/>
                </w:tcPr>
                <w:p w14:paraId="3B8F5993">
                  <w:pPr>
                    <w:kinsoku/>
                    <w:wordWrap/>
                    <w:bidi w:val="0"/>
                    <w:spacing w:line="240" w:lineRule="auto"/>
                    <w:ind w:firstLine="0" w:firstLineChars="0"/>
                    <w:jc w:val="center"/>
                    <w:textAlignment w:val="baseline"/>
                    <w:rPr>
                      <w:rFonts w:hint="default" w:ascii="Times New Roman" w:hAnsi="Times New Roman" w:eastAsia="宋体" w:cs="Times New Roman"/>
                      <w:b/>
                      <w:bCs/>
                      <w:caps w:val="0"/>
                      <w:smallCaps w:val="0"/>
                      <w:color w:val="auto"/>
                      <w:spacing w:val="0"/>
                      <w:w w:val="100"/>
                      <w:kern w:val="0"/>
                      <w:position w:val="0"/>
                      <w:sz w:val="21"/>
                      <w:szCs w:val="21"/>
                      <w:highlight w:val="none"/>
                    </w:rPr>
                  </w:pPr>
                  <w:r>
                    <w:rPr>
                      <w:rFonts w:hint="default" w:ascii="Times New Roman" w:hAnsi="Times New Roman" w:eastAsia="宋体" w:cs="Times New Roman"/>
                      <w:b/>
                      <w:bCs/>
                      <w:caps w:val="0"/>
                      <w:smallCaps w:val="0"/>
                      <w:color w:val="auto"/>
                      <w:spacing w:val="0"/>
                      <w:w w:val="100"/>
                      <w:kern w:val="0"/>
                      <w:position w:val="0"/>
                      <w:sz w:val="21"/>
                      <w:szCs w:val="21"/>
                      <w:highlight w:val="none"/>
                    </w:rPr>
                    <w:t>序号</w:t>
                  </w:r>
                </w:p>
              </w:tc>
              <w:tc>
                <w:tcPr>
                  <w:tcW w:w="2038" w:type="dxa"/>
                  <w:noWrap w:val="0"/>
                  <w:vAlign w:val="center"/>
                </w:tcPr>
                <w:p w14:paraId="4F8F6F71">
                  <w:pPr>
                    <w:kinsoku/>
                    <w:wordWrap/>
                    <w:bidi w:val="0"/>
                    <w:spacing w:line="240" w:lineRule="auto"/>
                    <w:ind w:firstLine="0" w:firstLineChars="0"/>
                    <w:jc w:val="center"/>
                    <w:textAlignment w:val="baseline"/>
                    <w:rPr>
                      <w:rFonts w:hint="default" w:ascii="Times New Roman" w:hAnsi="Times New Roman" w:eastAsia="宋体" w:cs="Times New Roman"/>
                      <w:b/>
                      <w:bCs/>
                      <w:caps w:val="0"/>
                      <w:smallCaps w:val="0"/>
                      <w:color w:val="auto"/>
                      <w:spacing w:val="0"/>
                      <w:w w:val="100"/>
                      <w:kern w:val="0"/>
                      <w:position w:val="0"/>
                      <w:sz w:val="21"/>
                      <w:szCs w:val="21"/>
                      <w:highlight w:val="none"/>
                    </w:rPr>
                  </w:pPr>
                  <w:r>
                    <w:rPr>
                      <w:rFonts w:hint="default" w:ascii="Times New Roman" w:hAnsi="Times New Roman" w:eastAsia="宋体" w:cs="Times New Roman"/>
                      <w:b/>
                      <w:bCs/>
                      <w:caps w:val="0"/>
                      <w:smallCaps w:val="0"/>
                      <w:color w:val="auto"/>
                      <w:spacing w:val="0"/>
                      <w:w w:val="100"/>
                      <w:kern w:val="0"/>
                      <w:position w:val="0"/>
                      <w:sz w:val="21"/>
                      <w:szCs w:val="21"/>
                      <w:highlight w:val="none"/>
                    </w:rPr>
                    <w:t>提示性图形符号</w:t>
                  </w:r>
                </w:p>
              </w:tc>
              <w:tc>
                <w:tcPr>
                  <w:tcW w:w="2396" w:type="dxa"/>
                  <w:noWrap w:val="0"/>
                  <w:vAlign w:val="center"/>
                </w:tcPr>
                <w:p w14:paraId="6EA34A3F">
                  <w:pPr>
                    <w:kinsoku/>
                    <w:wordWrap/>
                    <w:bidi w:val="0"/>
                    <w:spacing w:line="240" w:lineRule="auto"/>
                    <w:ind w:firstLine="0" w:firstLineChars="0"/>
                    <w:jc w:val="center"/>
                    <w:textAlignment w:val="baseline"/>
                    <w:rPr>
                      <w:rFonts w:hint="default" w:ascii="Times New Roman" w:hAnsi="Times New Roman" w:eastAsia="宋体" w:cs="Times New Roman"/>
                      <w:b/>
                      <w:bCs/>
                      <w:caps w:val="0"/>
                      <w:smallCaps w:val="0"/>
                      <w:color w:val="auto"/>
                      <w:spacing w:val="0"/>
                      <w:w w:val="100"/>
                      <w:kern w:val="0"/>
                      <w:position w:val="0"/>
                      <w:sz w:val="21"/>
                      <w:szCs w:val="21"/>
                      <w:highlight w:val="none"/>
                    </w:rPr>
                  </w:pPr>
                  <w:r>
                    <w:rPr>
                      <w:rFonts w:hint="default" w:ascii="Times New Roman" w:hAnsi="Times New Roman" w:eastAsia="宋体" w:cs="Times New Roman"/>
                      <w:b/>
                      <w:bCs/>
                      <w:caps w:val="0"/>
                      <w:smallCaps w:val="0"/>
                      <w:color w:val="auto"/>
                      <w:spacing w:val="0"/>
                      <w:w w:val="100"/>
                      <w:kern w:val="0"/>
                      <w:position w:val="0"/>
                      <w:sz w:val="21"/>
                      <w:szCs w:val="21"/>
                      <w:highlight w:val="none"/>
                    </w:rPr>
                    <w:t>警告图形符号</w:t>
                  </w:r>
                </w:p>
              </w:tc>
              <w:tc>
                <w:tcPr>
                  <w:tcW w:w="1732" w:type="dxa"/>
                  <w:noWrap w:val="0"/>
                  <w:vAlign w:val="center"/>
                </w:tcPr>
                <w:p w14:paraId="123ECFED">
                  <w:pPr>
                    <w:kinsoku/>
                    <w:wordWrap/>
                    <w:bidi w:val="0"/>
                    <w:spacing w:line="240" w:lineRule="auto"/>
                    <w:ind w:firstLine="0" w:firstLineChars="0"/>
                    <w:jc w:val="center"/>
                    <w:textAlignment w:val="baseline"/>
                    <w:rPr>
                      <w:rFonts w:hint="default" w:ascii="Times New Roman" w:hAnsi="Times New Roman" w:eastAsia="宋体" w:cs="Times New Roman"/>
                      <w:b/>
                      <w:bCs/>
                      <w:caps w:val="0"/>
                      <w:smallCaps w:val="0"/>
                      <w:color w:val="auto"/>
                      <w:spacing w:val="0"/>
                      <w:w w:val="100"/>
                      <w:kern w:val="0"/>
                      <w:position w:val="0"/>
                      <w:sz w:val="21"/>
                      <w:szCs w:val="21"/>
                      <w:highlight w:val="none"/>
                    </w:rPr>
                  </w:pPr>
                  <w:r>
                    <w:rPr>
                      <w:rFonts w:hint="default" w:ascii="Times New Roman" w:hAnsi="Times New Roman" w:eastAsia="宋体" w:cs="Times New Roman"/>
                      <w:b/>
                      <w:bCs/>
                      <w:caps w:val="0"/>
                      <w:smallCaps w:val="0"/>
                      <w:color w:val="auto"/>
                      <w:spacing w:val="0"/>
                      <w:w w:val="100"/>
                      <w:kern w:val="0"/>
                      <w:position w:val="0"/>
                      <w:sz w:val="21"/>
                      <w:szCs w:val="21"/>
                      <w:highlight w:val="none"/>
                    </w:rPr>
                    <w:t>排放口及贮存、处置场</w:t>
                  </w:r>
                </w:p>
              </w:tc>
              <w:tc>
                <w:tcPr>
                  <w:tcW w:w="1640" w:type="dxa"/>
                  <w:noWrap w:val="0"/>
                  <w:vAlign w:val="center"/>
                </w:tcPr>
                <w:p w14:paraId="561A3D02">
                  <w:pPr>
                    <w:kinsoku/>
                    <w:wordWrap/>
                    <w:bidi w:val="0"/>
                    <w:spacing w:line="240" w:lineRule="auto"/>
                    <w:ind w:firstLine="0" w:firstLineChars="0"/>
                    <w:jc w:val="center"/>
                    <w:textAlignment w:val="baseline"/>
                    <w:rPr>
                      <w:rFonts w:hint="default" w:ascii="Times New Roman" w:hAnsi="Times New Roman" w:eastAsia="宋体" w:cs="Times New Roman"/>
                      <w:b/>
                      <w:bCs/>
                      <w:caps w:val="0"/>
                      <w:smallCaps w:val="0"/>
                      <w:color w:val="auto"/>
                      <w:spacing w:val="0"/>
                      <w:w w:val="100"/>
                      <w:kern w:val="0"/>
                      <w:position w:val="0"/>
                      <w:sz w:val="21"/>
                      <w:szCs w:val="21"/>
                      <w:highlight w:val="none"/>
                    </w:rPr>
                  </w:pPr>
                  <w:r>
                    <w:rPr>
                      <w:rFonts w:hint="default" w:ascii="Times New Roman" w:hAnsi="Times New Roman" w:eastAsia="宋体" w:cs="Times New Roman"/>
                      <w:b/>
                      <w:bCs/>
                      <w:caps w:val="0"/>
                      <w:smallCaps w:val="0"/>
                      <w:color w:val="auto"/>
                      <w:spacing w:val="0"/>
                      <w:w w:val="100"/>
                      <w:kern w:val="0"/>
                      <w:position w:val="0"/>
                      <w:sz w:val="21"/>
                      <w:szCs w:val="21"/>
                      <w:highlight w:val="none"/>
                    </w:rPr>
                    <w:t>本项目</w:t>
                  </w:r>
                </w:p>
              </w:tc>
            </w:tr>
            <w:tr w14:paraId="67BDB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8" w:hRule="atLeast"/>
                <w:jc w:val="center"/>
              </w:trPr>
              <w:tc>
                <w:tcPr>
                  <w:tcW w:w="652" w:type="dxa"/>
                  <w:noWrap w:val="0"/>
                  <w:vAlign w:val="center"/>
                </w:tcPr>
                <w:p w14:paraId="57077BE2">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1</w:t>
                  </w:r>
                </w:p>
              </w:tc>
              <w:tc>
                <w:tcPr>
                  <w:tcW w:w="2038" w:type="dxa"/>
                  <w:noWrap w:val="0"/>
                  <w:vAlign w:val="center"/>
                </w:tcPr>
                <w:p w14:paraId="5EB556B1">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drawing>
                      <wp:inline distT="0" distB="0" distL="114300" distR="114300">
                        <wp:extent cx="1003300" cy="1003300"/>
                        <wp:effectExtent l="0" t="0" r="2540" b="2540"/>
                        <wp:docPr id="5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8"/>
                                <pic:cNvPicPr>
                                  <a:picLocks noChangeAspect="1"/>
                                </pic:cNvPicPr>
                              </pic:nvPicPr>
                              <pic:blipFill>
                                <a:blip r:embed="rId44"/>
                                <a:stretch>
                                  <a:fillRect/>
                                </a:stretch>
                              </pic:blipFill>
                              <pic:spPr>
                                <a:xfrm>
                                  <a:off x="0" y="0"/>
                                  <a:ext cx="1003300" cy="1003300"/>
                                </a:xfrm>
                                <a:prstGeom prst="rect">
                                  <a:avLst/>
                                </a:prstGeom>
                                <a:noFill/>
                                <a:ln>
                                  <a:noFill/>
                                </a:ln>
                              </pic:spPr>
                            </pic:pic>
                          </a:graphicData>
                        </a:graphic>
                      </wp:inline>
                    </w:drawing>
                  </w:r>
                </w:p>
              </w:tc>
              <w:tc>
                <w:tcPr>
                  <w:tcW w:w="2396" w:type="dxa"/>
                  <w:noWrap w:val="0"/>
                  <w:vAlign w:val="center"/>
                </w:tcPr>
                <w:p w14:paraId="28E3536E">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drawing>
                      <wp:inline distT="0" distB="0" distL="114300" distR="114300">
                        <wp:extent cx="1097280" cy="968375"/>
                        <wp:effectExtent l="0" t="0" r="0" b="6985"/>
                        <wp:docPr id="5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9"/>
                                <pic:cNvPicPr>
                                  <a:picLocks noChangeAspect="1"/>
                                </pic:cNvPicPr>
                              </pic:nvPicPr>
                              <pic:blipFill>
                                <a:blip r:embed="rId45"/>
                                <a:stretch>
                                  <a:fillRect/>
                                </a:stretch>
                              </pic:blipFill>
                              <pic:spPr>
                                <a:xfrm>
                                  <a:off x="0" y="0"/>
                                  <a:ext cx="1097280" cy="968375"/>
                                </a:xfrm>
                                <a:prstGeom prst="rect">
                                  <a:avLst/>
                                </a:prstGeom>
                                <a:noFill/>
                                <a:ln>
                                  <a:noFill/>
                                </a:ln>
                              </pic:spPr>
                            </pic:pic>
                          </a:graphicData>
                        </a:graphic>
                      </wp:inline>
                    </w:drawing>
                  </w:r>
                </w:p>
              </w:tc>
              <w:tc>
                <w:tcPr>
                  <w:tcW w:w="1732" w:type="dxa"/>
                  <w:noWrap w:val="0"/>
                  <w:vAlign w:val="center"/>
                </w:tcPr>
                <w:p w14:paraId="1E138447">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废水排放口</w:t>
                  </w:r>
                </w:p>
              </w:tc>
              <w:tc>
                <w:tcPr>
                  <w:tcW w:w="1640" w:type="dxa"/>
                  <w:noWrap w:val="0"/>
                  <w:vAlign w:val="center"/>
                </w:tcPr>
                <w:p w14:paraId="30CA21B7">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lang w:val="en-US"/>
                    </w:rPr>
                  </w:pPr>
                  <w:r>
                    <w:rPr>
                      <w:rFonts w:hint="eastAsia" w:cs="Times New Roman"/>
                      <w:caps w:val="0"/>
                      <w:smallCaps w:val="0"/>
                      <w:color w:val="auto"/>
                      <w:spacing w:val="0"/>
                      <w:w w:val="100"/>
                      <w:kern w:val="0"/>
                      <w:position w:val="0"/>
                      <w:sz w:val="21"/>
                      <w:szCs w:val="21"/>
                      <w:highlight w:val="none"/>
                      <w:lang w:val="en-US" w:eastAsia="zh-CN"/>
                    </w:rPr>
                    <w:t>DW001、DW002</w:t>
                  </w:r>
                </w:p>
              </w:tc>
            </w:tr>
            <w:tr w14:paraId="07B92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2" w:hRule="atLeast"/>
                <w:jc w:val="center"/>
              </w:trPr>
              <w:tc>
                <w:tcPr>
                  <w:tcW w:w="652" w:type="dxa"/>
                  <w:noWrap w:val="0"/>
                  <w:vAlign w:val="center"/>
                </w:tcPr>
                <w:p w14:paraId="449375FC">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2</w:t>
                  </w:r>
                </w:p>
              </w:tc>
              <w:tc>
                <w:tcPr>
                  <w:tcW w:w="2038" w:type="dxa"/>
                  <w:noWrap w:val="0"/>
                  <w:vAlign w:val="center"/>
                </w:tcPr>
                <w:p w14:paraId="25C08727">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drawing>
                      <wp:inline distT="0" distB="0" distL="114300" distR="114300">
                        <wp:extent cx="993775" cy="993775"/>
                        <wp:effectExtent l="0" t="0" r="12065" b="12065"/>
                        <wp:docPr id="5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0"/>
                                <pic:cNvPicPr>
                                  <a:picLocks noChangeAspect="1"/>
                                </pic:cNvPicPr>
                              </pic:nvPicPr>
                              <pic:blipFill>
                                <a:blip r:embed="rId46"/>
                                <a:stretch>
                                  <a:fillRect/>
                                </a:stretch>
                              </pic:blipFill>
                              <pic:spPr>
                                <a:xfrm>
                                  <a:off x="0" y="0"/>
                                  <a:ext cx="993775" cy="993775"/>
                                </a:xfrm>
                                <a:prstGeom prst="rect">
                                  <a:avLst/>
                                </a:prstGeom>
                                <a:noFill/>
                                <a:ln>
                                  <a:noFill/>
                                </a:ln>
                              </pic:spPr>
                            </pic:pic>
                          </a:graphicData>
                        </a:graphic>
                      </wp:inline>
                    </w:drawing>
                  </w:r>
                </w:p>
              </w:tc>
              <w:tc>
                <w:tcPr>
                  <w:tcW w:w="2396" w:type="dxa"/>
                  <w:noWrap w:val="0"/>
                  <w:vAlign w:val="center"/>
                </w:tcPr>
                <w:p w14:paraId="7B17E4BF">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drawing>
                      <wp:inline distT="0" distB="0" distL="114300" distR="114300">
                        <wp:extent cx="1111885" cy="982345"/>
                        <wp:effectExtent l="0" t="0" r="635" b="8255"/>
                        <wp:docPr id="5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1"/>
                                <pic:cNvPicPr>
                                  <a:picLocks noChangeAspect="1"/>
                                </pic:cNvPicPr>
                              </pic:nvPicPr>
                              <pic:blipFill>
                                <a:blip r:embed="rId47"/>
                                <a:stretch>
                                  <a:fillRect/>
                                </a:stretch>
                              </pic:blipFill>
                              <pic:spPr>
                                <a:xfrm>
                                  <a:off x="0" y="0"/>
                                  <a:ext cx="1111885" cy="982345"/>
                                </a:xfrm>
                                <a:prstGeom prst="rect">
                                  <a:avLst/>
                                </a:prstGeom>
                                <a:noFill/>
                                <a:ln>
                                  <a:noFill/>
                                </a:ln>
                              </pic:spPr>
                            </pic:pic>
                          </a:graphicData>
                        </a:graphic>
                      </wp:inline>
                    </w:drawing>
                  </w:r>
                </w:p>
              </w:tc>
              <w:tc>
                <w:tcPr>
                  <w:tcW w:w="1732" w:type="dxa"/>
                  <w:noWrap w:val="0"/>
                  <w:vAlign w:val="center"/>
                </w:tcPr>
                <w:p w14:paraId="40DBEBFA">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噪声排放源</w:t>
                  </w:r>
                </w:p>
              </w:tc>
              <w:tc>
                <w:tcPr>
                  <w:tcW w:w="1640" w:type="dxa"/>
                  <w:noWrap w:val="0"/>
                  <w:vAlign w:val="center"/>
                </w:tcPr>
                <w:p w14:paraId="520E3847">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企业厂界</w:t>
                  </w:r>
                </w:p>
              </w:tc>
            </w:tr>
            <w:tr w14:paraId="1B958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1" w:hRule="atLeast"/>
                <w:jc w:val="center"/>
              </w:trPr>
              <w:tc>
                <w:tcPr>
                  <w:tcW w:w="652" w:type="dxa"/>
                  <w:noWrap w:val="0"/>
                  <w:vAlign w:val="center"/>
                </w:tcPr>
                <w:p w14:paraId="5D03629F">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3</w:t>
                  </w:r>
                </w:p>
              </w:tc>
              <w:tc>
                <w:tcPr>
                  <w:tcW w:w="2038" w:type="dxa"/>
                  <w:noWrap w:val="0"/>
                  <w:vAlign w:val="center"/>
                </w:tcPr>
                <w:p w14:paraId="46797C4C">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drawing>
                      <wp:inline distT="0" distB="0" distL="114300" distR="114300">
                        <wp:extent cx="1029970" cy="1012825"/>
                        <wp:effectExtent l="0" t="0" r="6350" b="8255"/>
                        <wp:docPr id="5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2"/>
                                <pic:cNvPicPr>
                                  <a:picLocks noChangeAspect="1"/>
                                </pic:cNvPicPr>
                              </pic:nvPicPr>
                              <pic:blipFill>
                                <a:blip r:embed="rId48"/>
                                <a:stretch>
                                  <a:fillRect/>
                                </a:stretch>
                              </pic:blipFill>
                              <pic:spPr>
                                <a:xfrm>
                                  <a:off x="0" y="0"/>
                                  <a:ext cx="1029970" cy="1012825"/>
                                </a:xfrm>
                                <a:prstGeom prst="rect">
                                  <a:avLst/>
                                </a:prstGeom>
                                <a:noFill/>
                                <a:ln>
                                  <a:noFill/>
                                </a:ln>
                              </pic:spPr>
                            </pic:pic>
                          </a:graphicData>
                        </a:graphic>
                      </wp:inline>
                    </w:drawing>
                  </w:r>
                </w:p>
              </w:tc>
              <w:tc>
                <w:tcPr>
                  <w:tcW w:w="2396" w:type="dxa"/>
                  <w:noWrap w:val="0"/>
                  <w:vAlign w:val="center"/>
                </w:tcPr>
                <w:p w14:paraId="139FB2DA">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drawing>
                      <wp:inline distT="0" distB="0" distL="114300" distR="114300">
                        <wp:extent cx="1158875" cy="1035050"/>
                        <wp:effectExtent l="0" t="0" r="14605" b="1270"/>
                        <wp:docPr id="5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3"/>
                                <pic:cNvPicPr>
                                  <a:picLocks noChangeAspect="1"/>
                                </pic:cNvPicPr>
                              </pic:nvPicPr>
                              <pic:blipFill>
                                <a:blip r:embed="rId49"/>
                                <a:stretch>
                                  <a:fillRect/>
                                </a:stretch>
                              </pic:blipFill>
                              <pic:spPr>
                                <a:xfrm>
                                  <a:off x="0" y="0"/>
                                  <a:ext cx="1158875" cy="1035050"/>
                                </a:xfrm>
                                <a:prstGeom prst="rect">
                                  <a:avLst/>
                                </a:prstGeom>
                                <a:noFill/>
                                <a:ln>
                                  <a:noFill/>
                                </a:ln>
                              </pic:spPr>
                            </pic:pic>
                          </a:graphicData>
                        </a:graphic>
                      </wp:inline>
                    </w:drawing>
                  </w:r>
                </w:p>
              </w:tc>
              <w:tc>
                <w:tcPr>
                  <w:tcW w:w="1732" w:type="dxa"/>
                  <w:noWrap w:val="0"/>
                  <w:vAlign w:val="center"/>
                </w:tcPr>
                <w:p w14:paraId="22DABF89">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一般固体废物</w:t>
                  </w:r>
                </w:p>
              </w:tc>
              <w:tc>
                <w:tcPr>
                  <w:tcW w:w="1640" w:type="dxa"/>
                  <w:noWrap w:val="0"/>
                  <w:vAlign w:val="center"/>
                </w:tcPr>
                <w:p w14:paraId="13A2456F">
                  <w:pPr>
                    <w:kinsoku/>
                    <w:wordWrap/>
                    <w:bidi w:val="0"/>
                    <w:spacing w:line="240" w:lineRule="auto"/>
                    <w:ind w:firstLine="0" w:firstLineChars="0"/>
                    <w:jc w:val="center"/>
                    <w:textAlignment w:val="baseline"/>
                    <w:rPr>
                      <w:rFonts w:hint="eastAsia" w:ascii="Times New Roman" w:hAnsi="Times New Roman" w:eastAsia="宋体" w:cs="Times New Roman"/>
                      <w:caps w:val="0"/>
                      <w:smallCaps w:val="0"/>
                      <w:color w:val="auto"/>
                      <w:spacing w:val="0"/>
                      <w:w w:val="100"/>
                      <w:kern w:val="0"/>
                      <w:position w:val="0"/>
                      <w:sz w:val="21"/>
                      <w:szCs w:val="21"/>
                      <w:highlight w:val="none"/>
                      <w:lang w:eastAsia="zh-CN"/>
                    </w:rPr>
                  </w:pPr>
                  <w:r>
                    <w:rPr>
                      <w:rFonts w:hint="eastAsia" w:ascii="Times New Roman" w:hAnsi="Times New Roman" w:eastAsia="宋体" w:cs="Times New Roman"/>
                      <w:caps w:val="0"/>
                      <w:smallCaps w:val="0"/>
                      <w:color w:val="auto"/>
                      <w:spacing w:val="0"/>
                      <w:w w:val="100"/>
                      <w:kern w:val="0"/>
                      <w:position w:val="0"/>
                      <w:sz w:val="21"/>
                      <w:szCs w:val="21"/>
                      <w:highlight w:val="none"/>
                      <w:lang w:val="en-US" w:eastAsia="zh-CN"/>
                    </w:rPr>
                    <w:t>固废库</w:t>
                  </w:r>
                </w:p>
              </w:tc>
            </w:tr>
            <w:tr w14:paraId="74882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6" w:hRule="atLeast"/>
                <w:jc w:val="center"/>
              </w:trPr>
              <w:tc>
                <w:tcPr>
                  <w:tcW w:w="652" w:type="dxa"/>
                  <w:noWrap w:val="0"/>
                  <w:vAlign w:val="center"/>
                </w:tcPr>
                <w:p w14:paraId="1B68BC1B">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4</w:t>
                  </w:r>
                </w:p>
              </w:tc>
              <w:tc>
                <w:tcPr>
                  <w:tcW w:w="2038" w:type="dxa"/>
                  <w:noWrap w:val="0"/>
                  <w:vAlign w:val="center"/>
                </w:tcPr>
                <w:p w14:paraId="654F95F8">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drawing>
                      <wp:inline distT="0" distB="0" distL="114300" distR="114300">
                        <wp:extent cx="1038225" cy="1038225"/>
                        <wp:effectExtent l="0" t="0" r="13335" b="13335"/>
                        <wp:docPr id="5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4"/>
                                <pic:cNvPicPr>
                                  <a:picLocks noChangeAspect="1"/>
                                </pic:cNvPicPr>
                              </pic:nvPicPr>
                              <pic:blipFill>
                                <a:blip r:embed="rId50"/>
                                <a:stretch>
                                  <a:fillRect/>
                                </a:stretch>
                              </pic:blipFill>
                              <pic:spPr>
                                <a:xfrm>
                                  <a:off x="0" y="0"/>
                                  <a:ext cx="1038225" cy="1038225"/>
                                </a:xfrm>
                                <a:prstGeom prst="rect">
                                  <a:avLst/>
                                </a:prstGeom>
                                <a:noFill/>
                                <a:ln>
                                  <a:noFill/>
                                </a:ln>
                              </pic:spPr>
                            </pic:pic>
                          </a:graphicData>
                        </a:graphic>
                      </wp:inline>
                    </w:drawing>
                  </w:r>
                </w:p>
              </w:tc>
              <w:tc>
                <w:tcPr>
                  <w:tcW w:w="2396" w:type="dxa"/>
                  <w:noWrap w:val="0"/>
                  <w:vAlign w:val="center"/>
                </w:tcPr>
                <w:p w14:paraId="15E5CB55">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drawing>
                      <wp:inline distT="0" distB="0" distL="114300" distR="114300">
                        <wp:extent cx="1137285" cy="1012190"/>
                        <wp:effectExtent l="0" t="0" r="5715" b="8890"/>
                        <wp:docPr id="52"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5"/>
                                <pic:cNvPicPr>
                                  <a:picLocks noChangeAspect="1"/>
                                </pic:cNvPicPr>
                              </pic:nvPicPr>
                              <pic:blipFill>
                                <a:blip r:embed="rId51"/>
                                <a:stretch>
                                  <a:fillRect/>
                                </a:stretch>
                              </pic:blipFill>
                              <pic:spPr>
                                <a:xfrm>
                                  <a:off x="0" y="0"/>
                                  <a:ext cx="1137285" cy="1012190"/>
                                </a:xfrm>
                                <a:prstGeom prst="rect">
                                  <a:avLst/>
                                </a:prstGeom>
                                <a:noFill/>
                                <a:ln>
                                  <a:noFill/>
                                </a:ln>
                              </pic:spPr>
                            </pic:pic>
                          </a:graphicData>
                        </a:graphic>
                      </wp:inline>
                    </w:drawing>
                  </w:r>
                </w:p>
              </w:tc>
              <w:tc>
                <w:tcPr>
                  <w:tcW w:w="1732" w:type="dxa"/>
                  <w:noWrap w:val="0"/>
                  <w:vAlign w:val="center"/>
                </w:tcPr>
                <w:p w14:paraId="05287D1E">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废气排放口</w:t>
                  </w:r>
                </w:p>
              </w:tc>
              <w:tc>
                <w:tcPr>
                  <w:tcW w:w="1640" w:type="dxa"/>
                  <w:noWrap w:val="0"/>
                  <w:vAlign w:val="center"/>
                </w:tcPr>
                <w:p w14:paraId="74B93FDF">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eastAsia" w:ascii="Times New Roman" w:hAnsi="Times New Roman" w:eastAsia="宋体" w:cs="Times New Roman"/>
                      <w:caps w:val="0"/>
                      <w:smallCaps w:val="0"/>
                      <w:color w:val="auto"/>
                      <w:spacing w:val="0"/>
                      <w:w w:val="100"/>
                      <w:kern w:val="0"/>
                      <w:position w:val="0"/>
                      <w:sz w:val="21"/>
                      <w:szCs w:val="21"/>
                      <w:highlight w:val="none"/>
                      <w:lang w:val="en-US" w:eastAsia="zh-CN"/>
                    </w:rPr>
                    <w:t>DA001</w:t>
                  </w:r>
                  <w:r>
                    <w:rPr>
                      <w:rFonts w:hint="eastAsia" w:cs="Times New Roman"/>
                      <w:caps w:val="0"/>
                      <w:smallCaps w:val="0"/>
                      <w:color w:val="auto"/>
                      <w:spacing w:val="0"/>
                      <w:w w:val="100"/>
                      <w:kern w:val="0"/>
                      <w:position w:val="0"/>
                      <w:sz w:val="21"/>
                      <w:szCs w:val="21"/>
                      <w:highlight w:val="none"/>
                      <w:lang w:val="en-US" w:eastAsia="zh-CN"/>
                    </w:rPr>
                    <w:t>~DA004</w:t>
                  </w:r>
                </w:p>
              </w:tc>
            </w:tr>
            <w:tr w14:paraId="59296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0" w:hRule="atLeast"/>
                <w:jc w:val="center"/>
              </w:trPr>
              <w:tc>
                <w:tcPr>
                  <w:tcW w:w="652" w:type="dxa"/>
                  <w:noWrap w:val="0"/>
                  <w:vAlign w:val="center"/>
                </w:tcPr>
                <w:p w14:paraId="6F89F291">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5</w:t>
                  </w:r>
                </w:p>
              </w:tc>
              <w:tc>
                <w:tcPr>
                  <w:tcW w:w="2038" w:type="dxa"/>
                  <w:noWrap w:val="0"/>
                  <w:vAlign w:val="center"/>
                </w:tcPr>
                <w:p w14:paraId="4BE9917E">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w:t>
                  </w:r>
                </w:p>
              </w:tc>
              <w:tc>
                <w:tcPr>
                  <w:tcW w:w="2396" w:type="dxa"/>
                  <w:noWrap w:val="0"/>
                  <w:vAlign w:val="center"/>
                </w:tcPr>
                <w:p w14:paraId="5C539E96">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lang w:eastAsia="zh-CN"/>
                    </w:rPr>
                  </w:pPr>
                  <w:r>
                    <w:rPr>
                      <w:rFonts w:hint="default" w:ascii="Times New Roman" w:hAnsi="Times New Roman" w:eastAsia="宋体" w:cs="Times New Roman"/>
                      <w:color w:val="auto"/>
                      <w:spacing w:val="0"/>
                      <w:sz w:val="21"/>
                      <w:szCs w:val="21"/>
                    </w:rPr>
                    <w:drawing>
                      <wp:inline distT="0" distB="0" distL="114300" distR="114300">
                        <wp:extent cx="1381760" cy="1017905"/>
                        <wp:effectExtent l="0" t="0" r="5080" b="3175"/>
                        <wp:docPr id="55"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6"/>
                                <pic:cNvPicPr>
                                  <a:picLocks noChangeAspect="1"/>
                                </pic:cNvPicPr>
                              </pic:nvPicPr>
                              <pic:blipFill>
                                <a:blip r:embed="rId52"/>
                                <a:stretch>
                                  <a:fillRect/>
                                </a:stretch>
                              </pic:blipFill>
                              <pic:spPr>
                                <a:xfrm>
                                  <a:off x="0" y="0"/>
                                  <a:ext cx="1381760" cy="1017905"/>
                                </a:xfrm>
                                <a:prstGeom prst="rect">
                                  <a:avLst/>
                                </a:prstGeom>
                                <a:noFill/>
                                <a:ln>
                                  <a:noFill/>
                                </a:ln>
                              </pic:spPr>
                            </pic:pic>
                          </a:graphicData>
                        </a:graphic>
                      </wp:inline>
                    </w:drawing>
                  </w:r>
                </w:p>
              </w:tc>
              <w:tc>
                <w:tcPr>
                  <w:tcW w:w="1732" w:type="dxa"/>
                  <w:noWrap w:val="0"/>
                  <w:vAlign w:val="center"/>
                </w:tcPr>
                <w:p w14:paraId="75F2DA4C">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危险废物</w:t>
                  </w:r>
                </w:p>
              </w:tc>
              <w:tc>
                <w:tcPr>
                  <w:tcW w:w="1640" w:type="dxa"/>
                  <w:noWrap w:val="0"/>
                  <w:vAlign w:val="center"/>
                </w:tcPr>
                <w:p w14:paraId="33C7D114">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危废库</w:t>
                  </w:r>
                </w:p>
              </w:tc>
            </w:tr>
          </w:tbl>
          <w:p w14:paraId="4B1A15CC">
            <w:pPr>
              <w:keepNext w:val="0"/>
              <w:keepLines w:val="0"/>
              <w:pageBreakBefore w:val="0"/>
              <w:widowControl w:val="0"/>
              <w:kinsoku/>
              <w:wordWrap/>
              <w:overflowPunct/>
              <w:topLinePunct w:val="0"/>
              <w:autoSpaceDE/>
              <w:autoSpaceDN/>
              <w:bidi w:val="0"/>
              <w:adjustRightInd w:val="0"/>
              <w:snapToGrid w:val="0"/>
              <w:spacing w:line="480" w:lineRule="exact"/>
              <w:ind w:firstLine="0" w:firstLineChars="0"/>
              <w:jc w:val="center"/>
              <w:textAlignment w:val="auto"/>
              <w:rPr>
                <w:rFonts w:hint="default" w:ascii="Times New Roman" w:hAnsi="Times New Roman" w:eastAsia="宋体" w:cs="Times New Roman"/>
                <w:b/>
                <w:caps w:val="0"/>
                <w:smallCaps w:val="0"/>
                <w:snapToGrid w:val="0"/>
                <w:color w:val="auto"/>
                <w:spacing w:val="0"/>
                <w:w w:val="100"/>
                <w:kern w:val="0"/>
                <w:position w:val="0"/>
                <w:sz w:val="21"/>
                <w:szCs w:val="21"/>
                <w:highlight w:val="none"/>
              </w:rPr>
            </w:pPr>
            <w:r>
              <w:rPr>
                <w:rFonts w:hint="default" w:ascii="Times New Roman" w:hAnsi="Times New Roman" w:eastAsia="宋体" w:cs="Times New Roman"/>
                <w:b/>
                <w:caps w:val="0"/>
                <w:smallCaps w:val="0"/>
                <w:snapToGrid w:val="0"/>
                <w:color w:val="auto"/>
                <w:spacing w:val="0"/>
                <w:w w:val="100"/>
                <w:kern w:val="0"/>
                <w:position w:val="0"/>
                <w:sz w:val="21"/>
                <w:szCs w:val="21"/>
                <w:highlight w:val="none"/>
              </w:rPr>
              <w:t>表</w:t>
            </w:r>
            <w:r>
              <w:rPr>
                <w:rFonts w:hint="default" w:ascii="Times New Roman" w:hAnsi="Times New Roman" w:eastAsia="宋体" w:cs="Times New Roman"/>
                <w:b/>
                <w:caps w:val="0"/>
                <w:smallCaps w:val="0"/>
                <w:snapToGrid w:val="0"/>
                <w:color w:val="auto"/>
                <w:spacing w:val="0"/>
                <w:w w:val="100"/>
                <w:kern w:val="0"/>
                <w:position w:val="0"/>
                <w:sz w:val="21"/>
                <w:szCs w:val="21"/>
                <w:highlight w:val="none"/>
                <w:lang w:val="en-US" w:eastAsia="zh-CN"/>
              </w:rPr>
              <w:t>4-</w:t>
            </w:r>
            <w:r>
              <w:rPr>
                <w:rFonts w:hint="eastAsia" w:cs="Times New Roman"/>
                <w:b/>
                <w:caps w:val="0"/>
                <w:smallCaps w:val="0"/>
                <w:snapToGrid w:val="0"/>
                <w:color w:val="auto"/>
                <w:spacing w:val="0"/>
                <w:w w:val="100"/>
                <w:kern w:val="0"/>
                <w:position w:val="0"/>
                <w:sz w:val="21"/>
                <w:szCs w:val="21"/>
                <w:highlight w:val="none"/>
                <w:lang w:val="en-US" w:eastAsia="zh-CN"/>
              </w:rPr>
              <w:t>44</w:t>
            </w:r>
            <w:r>
              <w:rPr>
                <w:rFonts w:hint="default" w:ascii="Times New Roman" w:hAnsi="Times New Roman" w:eastAsia="宋体" w:cs="Times New Roman"/>
                <w:b/>
                <w:caps w:val="0"/>
                <w:smallCaps w:val="0"/>
                <w:snapToGrid w:val="0"/>
                <w:color w:val="auto"/>
                <w:spacing w:val="0"/>
                <w:w w:val="100"/>
                <w:kern w:val="0"/>
                <w:position w:val="0"/>
                <w:sz w:val="21"/>
                <w:szCs w:val="21"/>
                <w:highlight w:val="none"/>
                <w:lang w:val="en-US" w:eastAsia="zh-CN"/>
              </w:rPr>
              <w:t xml:space="preserve">  </w:t>
            </w:r>
            <w:r>
              <w:rPr>
                <w:rFonts w:hint="default" w:ascii="Times New Roman" w:hAnsi="Times New Roman" w:eastAsia="宋体" w:cs="Times New Roman"/>
                <w:b/>
                <w:caps w:val="0"/>
                <w:smallCaps w:val="0"/>
                <w:snapToGrid w:val="0"/>
                <w:color w:val="auto"/>
                <w:spacing w:val="0"/>
                <w:w w:val="100"/>
                <w:kern w:val="0"/>
                <w:position w:val="0"/>
                <w:sz w:val="21"/>
                <w:szCs w:val="21"/>
                <w:highlight w:val="none"/>
              </w:rPr>
              <w:t>环保图形标志形状、颜色</w:t>
            </w:r>
          </w:p>
          <w:tbl>
            <w:tblPr>
              <w:tblStyle w:val="26"/>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1"/>
              <w:gridCol w:w="2019"/>
              <w:gridCol w:w="2021"/>
              <w:gridCol w:w="2496"/>
            </w:tblGrid>
            <w:tr w14:paraId="041F2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8" w:hRule="atLeast"/>
                <w:jc w:val="center"/>
              </w:trPr>
              <w:tc>
                <w:tcPr>
                  <w:tcW w:w="1921" w:type="dxa"/>
                  <w:noWrap w:val="0"/>
                  <w:vAlign w:val="center"/>
                </w:tcPr>
                <w:p w14:paraId="347C6862">
                  <w:pPr>
                    <w:kinsoku/>
                    <w:wordWrap/>
                    <w:bidi w:val="0"/>
                    <w:spacing w:line="240" w:lineRule="auto"/>
                    <w:ind w:firstLine="0" w:firstLineChars="0"/>
                    <w:jc w:val="center"/>
                    <w:textAlignment w:val="baseline"/>
                    <w:rPr>
                      <w:rFonts w:hint="default" w:ascii="Times New Roman" w:hAnsi="Times New Roman" w:eastAsia="宋体" w:cs="Times New Roman"/>
                      <w:b/>
                      <w:bCs/>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b/>
                      <w:bCs/>
                      <w:caps w:val="0"/>
                      <w:smallCaps w:val="0"/>
                      <w:color w:val="auto"/>
                      <w:spacing w:val="0"/>
                      <w:w w:val="100"/>
                      <w:kern w:val="0"/>
                      <w:position w:val="0"/>
                      <w:sz w:val="21"/>
                      <w:szCs w:val="21"/>
                      <w:highlight w:val="none"/>
                      <w:lang w:val="en-US" w:eastAsia="zh-CN"/>
                    </w:rPr>
                    <w:t>符合</w:t>
                  </w:r>
                </w:p>
              </w:tc>
              <w:tc>
                <w:tcPr>
                  <w:tcW w:w="2019" w:type="dxa"/>
                  <w:noWrap w:val="0"/>
                  <w:vAlign w:val="center"/>
                </w:tcPr>
                <w:p w14:paraId="0C8F2609">
                  <w:pPr>
                    <w:kinsoku/>
                    <w:wordWrap/>
                    <w:bidi w:val="0"/>
                    <w:spacing w:line="240" w:lineRule="auto"/>
                    <w:ind w:firstLine="0" w:firstLineChars="0"/>
                    <w:jc w:val="center"/>
                    <w:textAlignment w:val="baseline"/>
                    <w:rPr>
                      <w:rFonts w:hint="default" w:ascii="Times New Roman" w:hAnsi="Times New Roman" w:eastAsia="宋体" w:cs="Times New Roman"/>
                      <w:b/>
                      <w:bCs/>
                      <w:caps w:val="0"/>
                      <w:smallCaps w:val="0"/>
                      <w:color w:val="auto"/>
                      <w:spacing w:val="0"/>
                      <w:w w:val="100"/>
                      <w:kern w:val="0"/>
                      <w:position w:val="0"/>
                      <w:sz w:val="21"/>
                      <w:szCs w:val="21"/>
                      <w:highlight w:val="none"/>
                    </w:rPr>
                  </w:pPr>
                  <w:r>
                    <w:rPr>
                      <w:rFonts w:hint="default" w:ascii="Times New Roman" w:hAnsi="Times New Roman" w:eastAsia="宋体" w:cs="Times New Roman"/>
                      <w:b/>
                      <w:bCs/>
                      <w:caps w:val="0"/>
                      <w:smallCaps w:val="0"/>
                      <w:color w:val="auto"/>
                      <w:spacing w:val="0"/>
                      <w:w w:val="100"/>
                      <w:kern w:val="0"/>
                      <w:position w:val="0"/>
                      <w:sz w:val="21"/>
                      <w:szCs w:val="21"/>
                      <w:highlight w:val="none"/>
                    </w:rPr>
                    <w:t>形状</w:t>
                  </w:r>
                </w:p>
              </w:tc>
              <w:tc>
                <w:tcPr>
                  <w:tcW w:w="2021" w:type="dxa"/>
                  <w:noWrap w:val="0"/>
                  <w:vAlign w:val="center"/>
                </w:tcPr>
                <w:p w14:paraId="0A1FDDB7">
                  <w:pPr>
                    <w:kinsoku/>
                    <w:wordWrap/>
                    <w:bidi w:val="0"/>
                    <w:spacing w:line="240" w:lineRule="auto"/>
                    <w:ind w:firstLine="0" w:firstLineChars="0"/>
                    <w:jc w:val="center"/>
                    <w:textAlignment w:val="baseline"/>
                    <w:rPr>
                      <w:rFonts w:hint="default" w:ascii="Times New Roman" w:hAnsi="Times New Roman" w:eastAsia="宋体" w:cs="Times New Roman"/>
                      <w:b/>
                      <w:bCs/>
                      <w:caps w:val="0"/>
                      <w:smallCaps w:val="0"/>
                      <w:color w:val="auto"/>
                      <w:spacing w:val="0"/>
                      <w:w w:val="100"/>
                      <w:kern w:val="0"/>
                      <w:position w:val="0"/>
                      <w:sz w:val="21"/>
                      <w:szCs w:val="21"/>
                      <w:highlight w:val="none"/>
                    </w:rPr>
                  </w:pPr>
                  <w:r>
                    <w:rPr>
                      <w:rFonts w:hint="default" w:ascii="Times New Roman" w:hAnsi="Times New Roman" w:eastAsia="宋体" w:cs="Times New Roman"/>
                      <w:b/>
                      <w:bCs/>
                      <w:caps w:val="0"/>
                      <w:smallCaps w:val="0"/>
                      <w:color w:val="auto"/>
                      <w:spacing w:val="0"/>
                      <w:w w:val="100"/>
                      <w:kern w:val="0"/>
                      <w:position w:val="0"/>
                      <w:sz w:val="21"/>
                      <w:szCs w:val="21"/>
                      <w:highlight w:val="none"/>
                    </w:rPr>
                    <w:t>背景颜色</w:t>
                  </w:r>
                </w:p>
              </w:tc>
              <w:tc>
                <w:tcPr>
                  <w:tcW w:w="2496" w:type="dxa"/>
                  <w:noWrap w:val="0"/>
                  <w:vAlign w:val="center"/>
                </w:tcPr>
                <w:p w14:paraId="3248D108">
                  <w:pPr>
                    <w:kinsoku/>
                    <w:wordWrap/>
                    <w:bidi w:val="0"/>
                    <w:spacing w:line="240" w:lineRule="auto"/>
                    <w:ind w:firstLine="0" w:firstLineChars="0"/>
                    <w:jc w:val="center"/>
                    <w:textAlignment w:val="baseline"/>
                    <w:rPr>
                      <w:rFonts w:hint="default" w:ascii="Times New Roman" w:hAnsi="Times New Roman" w:eastAsia="宋体" w:cs="Times New Roman"/>
                      <w:b/>
                      <w:bCs/>
                      <w:caps w:val="0"/>
                      <w:smallCaps w:val="0"/>
                      <w:color w:val="auto"/>
                      <w:spacing w:val="0"/>
                      <w:w w:val="100"/>
                      <w:kern w:val="0"/>
                      <w:position w:val="0"/>
                      <w:sz w:val="21"/>
                      <w:szCs w:val="21"/>
                      <w:highlight w:val="none"/>
                    </w:rPr>
                  </w:pPr>
                  <w:r>
                    <w:rPr>
                      <w:rFonts w:hint="default" w:ascii="Times New Roman" w:hAnsi="Times New Roman" w:eastAsia="宋体" w:cs="Times New Roman"/>
                      <w:b/>
                      <w:bCs/>
                      <w:caps w:val="0"/>
                      <w:smallCaps w:val="0"/>
                      <w:color w:val="auto"/>
                      <w:spacing w:val="0"/>
                      <w:w w:val="100"/>
                      <w:kern w:val="0"/>
                      <w:position w:val="0"/>
                      <w:sz w:val="21"/>
                      <w:szCs w:val="21"/>
                      <w:highlight w:val="none"/>
                    </w:rPr>
                    <w:t>图形颜色</w:t>
                  </w:r>
                </w:p>
              </w:tc>
            </w:tr>
            <w:tr w14:paraId="42250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8" w:hRule="atLeast"/>
                <w:jc w:val="center"/>
              </w:trPr>
              <w:tc>
                <w:tcPr>
                  <w:tcW w:w="1921" w:type="dxa"/>
                  <w:noWrap w:val="0"/>
                  <w:vAlign w:val="center"/>
                </w:tcPr>
                <w:p w14:paraId="58266037">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提示性图形符号</w:t>
                  </w:r>
                </w:p>
              </w:tc>
              <w:tc>
                <w:tcPr>
                  <w:tcW w:w="2019" w:type="dxa"/>
                  <w:noWrap w:val="0"/>
                  <w:vAlign w:val="center"/>
                </w:tcPr>
                <w:p w14:paraId="579E5A4A">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正方形边框</w:t>
                  </w:r>
                </w:p>
              </w:tc>
              <w:tc>
                <w:tcPr>
                  <w:tcW w:w="2021" w:type="dxa"/>
                  <w:noWrap w:val="0"/>
                  <w:vAlign w:val="center"/>
                </w:tcPr>
                <w:p w14:paraId="50B350B8">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黄色</w:t>
                  </w:r>
                </w:p>
              </w:tc>
              <w:tc>
                <w:tcPr>
                  <w:tcW w:w="2496" w:type="dxa"/>
                  <w:noWrap w:val="0"/>
                  <w:vAlign w:val="center"/>
                </w:tcPr>
                <w:p w14:paraId="5E91BCF4">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黑色</w:t>
                  </w:r>
                </w:p>
              </w:tc>
            </w:tr>
            <w:tr w14:paraId="53739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1921" w:type="dxa"/>
                  <w:noWrap w:val="0"/>
                  <w:vAlign w:val="center"/>
                </w:tcPr>
                <w:p w14:paraId="7A99E15C">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警告图形符号</w:t>
                  </w:r>
                </w:p>
              </w:tc>
              <w:tc>
                <w:tcPr>
                  <w:tcW w:w="2019" w:type="dxa"/>
                  <w:noWrap w:val="0"/>
                  <w:vAlign w:val="center"/>
                </w:tcPr>
                <w:p w14:paraId="7310ACEB">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三角形边框</w:t>
                  </w:r>
                </w:p>
              </w:tc>
              <w:tc>
                <w:tcPr>
                  <w:tcW w:w="2021" w:type="dxa"/>
                  <w:noWrap w:val="0"/>
                  <w:vAlign w:val="center"/>
                </w:tcPr>
                <w:p w14:paraId="42DB368B">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绿色</w:t>
                  </w:r>
                </w:p>
              </w:tc>
              <w:tc>
                <w:tcPr>
                  <w:tcW w:w="2496" w:type="dxa"/>
                  <w:noWrap w:val="0"/>
                  <w:vAlign w:val="center"/>
                </w:tcPr>
                <w:p w14:paraId="234FC903">
                  <w:pPr>
                    <w:kinsoku/>
                    <w:wordWrap/>
                    <w:bidi w:val="0"/>
                    <w:spacing w:line="240" w:lineRule="auto"/>
                    <w:ind w:firstLine="0" w:firstLineChars="0"/>
                    <w:jc w:val="center"/>
                    <w:textAlignment w:val="baseline"/>
                    <w:rPr>
                      <w:rFonts w:hint="default" w:ascii="Times New Roman" w:hAnsi="Times New Roman" w:eastAsia="宋体" w:cs="Times New Roman"/>
                      <w:caps w:val="0"/>
                      <w:smallCaps w:val="0"/>
                      <w:color w:val="auto"/>
                      <w:spacing w:val="0"/>
                      <w:w w:val="100"/>
                      <w:kern w:val="0"/>
                      <w:position w:val="0"/>
                      <w:sz w:val="21"/>
                      <w:szCs w:val="21"/>
                      <w:highlight w:val="none"/>
                    </w:rPr>
                  </w:pPr>
                  <w:r>
                    <w:rPr>
                      <w:rFonts w:hint="default" w:ascii="Times New Roman" w:hAnsi="Times New Roman" w:eastAsia="宋体" w:cs="Times New Roman"/>
                      <w:caps w:val="0"/>
                      <w:smallCaps w:val="0"/>
                      <w:color w:val="auto"/>
                      <w:spacing w:val="0"/>
                      <w:w w:val="100"/>
                      <w:kern w:val="0"/>
                      <w:position w:val="0"/>
                      <w:sz w:val="21"/>
                      <w:szCs w:val="21"/>
                      <w:highlight w:val="none"/>
                    </w:rPr>
                    <w:t>白色</w:t>
                  </w:r>
                </w:p>
              </w:tc>
            </w:tr>
          </w:tbl>
          <w:p w14:paraId="659C542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eastAsia="宋体" w:cs="Times New Roman"/>
                <w:color w:val="auto"/>
                <w:spacing w:val="0"/>
                <w:sz w:val="24"/>
                <w:szCs w:val="24"/>
              </w:rPr>
            </w:pPr>
            <w:r>
              <w:rPr>
                <w:rFonts w:hint="eastAsia" w:cs="Times New Roman"/>
                <w:color w:val="auto"/>
                <w:spacing w:val="0"/>
                <w:sz w:val="24"/>
                <w:szCs w:val="24"/>
                <w:lang w:eastAsia="zh-CN"/>
              </w:rPr>
              <w:t>（</w:t>
            </w:r>
            <w:r>
              <w:rPr>
                <w:rFonts w:hint="default" w:ascii="Times New Roman" w:hAnsi="Times New Roman" w:eastAsia="宋体" w:cs="Times New Roman"/>
                <w:color w:val="auto"/>
                <w:spacing w:val="0"/>
                <w:sz w:val="24"/>
                <w:szCs w:val="24"/>
              </w:rPr>
              <w:t>3）按照要求填写由原国家环保部统一印制的《中华人民共和国规范化排污口标志登记证》。</w:t>
            </w:r>
          </w:p>
          <w:p w14:paraId="3CED0A2A">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eastAsia="宋体" w:cs="Times New Roman"/>
                <w:color w:val="auto"/>
                <w:spacing w:val="0"/>
                <w:sz w:val="24"/>
                <w:szCs w:val="24"/>
              </w:rPr>
            </w:pPr>
            <w:r>
              <w:rPr>
                <w:rFonts w:hint="eastAsia" w:cs="Times New Roman"/>
                <w:color w:val="auto"/>
                <w:spacing w:val="0"/>
                <w:sz w:val="24"/>
                <w:szCs w:val="24"/>
                <w:lang w:eastAsia="zh-CN"/>
              </w:rPr>
              <w:t>（</w:t>
            </w:r>
            <w:r>
              <w:rPr>
                <w:rFonts w:hint="default" w:ascii="Times New Roman" w:hAnsi="Times New Roman" w:eastAsia="宋体" w:cs="Times New Roman"/>
                <w:color w:val="auto"/>
                <w:spacing w:val="0"/>
                <w:sz w:val="24"/>
                <w:szCs w:val="24"/>
              </w:rPr>
              <w:t>4）规范化设置的排污口有关设置属于环境保护设施，应将其纳入本单位设备管理，并选派具有专业知识的专职或兼职人员对排污口进行管理。</w:t>
            </w:r>
          </w:p>
          <w:p w14:paraId="3DFEE5ED">
            <w:pPr>
              <w:pageBreakBefore w:val="0"/>
              <w:widowControl w:val="0"/>
              <w:kinsoku/>
              <w:wordWrap/>
              <w:overflowPunct/>
              <w:topLinePunct w:val="0"/>
              <w:autoSpaceDE/>
              <w:autoSpaceDN/>
              <w:bidi w:val="0"/>
              <w:adjustRightInd/>
              <w:snapToGrid/>
              <w:spacing w:line="480" w:lineRule="atLeast"/>
              <w:textAlignment w:val="auto"/>
              <w:rPr>
                <w:rFonts w:hint="default" w:ascii="Times New Roman" w:hAnsi="Times New Roman" w:eastAsia="宋体" w:cs="Times New Roman"/>
                <w:b/>
                <w:bCs/>
                <w:color w:val="auto"/>
                <w:spacing w:val="0"/>
                <w:position w:val="0"/>
                <w:sz w:val="24"/>
              </w:rPr>
            </w:pPr>
            <w:r>
              <w:rPr>
                <w:rFonts w:hint="eastAsia" w:cs="Times New Roman"/>
                <w:b/>
                <w:bCs/>
                <w:color w:val="auto"/>
                <w:spacing w:val="0"/>
                <w:position w:val="0"/>
                <w:sz w:val="24"/>
                <w:lang w:val="en-US" w:eastAsia="zh-CN"/>
              </w:rPr>
              <w:t>4.10</w:t>
            </w:r>
            <w:r>
              <w:rPr>
                <w:rFonts w:hint="default" w:ascii="Times New Roman" w:hAnsi="Times New Roman" w:eastAsia="宋体" w:cs="Times New Roman"/>
                <w:b/>
                <w:bCs/>
                <w:color w:val="auto"/>
                <w:spacing w:val="0"/>
                <w:position w:val="0"/>
                <w:sz w:val="24"/>
              </w:rPr>
              <w:t>环保投资</w:t>
            </w:r>
          </w:p>
          <w:p w14:paraId="1566E750">
            <w:pPr>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color w:val="auto"/>
                <w:spacing w:val="0"/>
                <w:position w:val="0"/>
                <w:sz w:val="24"/>
              </w:rPr>
            </w:pPr>
            <w:r>
              <w:rPr>
                <w:rFonts w:hint="default" w:ascii="Times New Roman" w:hAnsi="Times New Roman" w:eastAsia="宋体" w:cs="Times New Roman"/>
                <w:color w:val="auto"/>
                <w:spacing w:val="0"/>
                <w:position w:val="0"/>
                <w:sz w:val="24"/>
                <w:lang w:val="en-US" w:eastAsia="zh-CN"/>
              </w:rPr>
              <w:t>本</w:t>
            </w:r>
            <w:r>
              <w:rPr>
                <w:rFonts w:hint="default" w:ascii="Times New Roman" w:hAnsi="Times New Roman" w:eastAsia="宋体" w:cs="Times New Roman"/>
                <w:color w:val="auto"/>
                <w:spacing w:val="0"/>
                <w:position w:val="0"/>
                <w:sz w:val="24"/>
              </w:rPr>
              <w:t>项目环保投资</w:t>
            </w:r>
            <w:r>
              <w:rPr>
                <w:rFonts w:hint="eastAsia" w:cs="Times New Roman"/>
                <w:color w:val="auto"/>
                <w:spacing w:val="0"/>
                <w:position w:val="0"/>
                <w:sz w:val="24"/>
                <w:lang w:val="en-US" w:eastAsia="zh-CN"/>
              </w:rPr>
              <w:t>188</w:t>
            </w:r>
            <w:r>
              <w:rPr>
                <w:rFonts w:hint="default" w:ascii="Times New Roman" w:hAnsi="Times New Roman" w:eastAsia="宋体" w:cs="Times New Roman"/>
                <w:color w:val="auto"/>
                <w:spacing w:val="0"/>
                <w:position w:val="0"/>
                <w:sz w:val="24"/>
              </w:rPr>
              <w:t>万元，占项目总投资</w:t>
            </w:r>
            <w:r>
              <w:rPr>
                <w:rFonts w:hint="eastAsia" w:cs="Times New Roman"/>
                <w:color w:val="auto"/>
                <w:spacing w:val="0"/>
                <w:position w:val="0"/>
                <w:sz w:val="24"/>
                <w:lang w:val="en-US" w:eastAsia="zh-CN"/>
              </w:rPr>
              <w:t>12000</w:t>
            </w:r>
            <w:r>
              <w:rPr>
                <w:rFonts w:hint="default" w:ascii="Times New Roman" w:hAnsi="Times New Roman" w:eastAsia="宋体" w:cs="Times New Roman"/>
                <w:color w:val="auto"/>
                <w:spacing w:val="0"/>
                <w:position w:val="0"/>
                <w:sz w:val="24"/>
              </w:rPr>
              <w:t>万元的</w:t>
            </w:r>
            <w:r>
              <w:rPr>
                <w:rFonts w:hint="eastAsia" w:cs="Times New Roman"/>
                <w:color w:val="auto"/>
                <w:spacing w:val="0"/>
                <w:position w:val="0"/>
                <w:sz w:val="24"/>
                <w:lang w:val="en-US" w:eastAsia="zh-CN"/>
              </w:rPr>
              <w:t>1.57</w:t>
            </w:r>
            <w:r>
              <w:rPr>
                <w:rFonts w:hint="default" w:ascii="Times New Roman" w:hAnsi="Times New Roman" w:eastAsia="宋体" w:cs="Times New Roman"/>
                <w:color w:val="auto"/>
                <w:spacing w:val="0"/>
                <w:position w:val="0"/>
                <w:sz w:val="24"/>
              </w:rPr>
              <w:t>%，具体见表：</w:t>
            </w:r>
          </w:p>
          <w:p w14:paraId="146C798C">
            <w:pPr>
              <w:spacing w:line="460" w:lineRule="exact"/>
              <w:ind w:right="480"/>
              <w:jc w:val="center"/>
              <w:rPr>
                <w:rFonts w:hint="default" w:ascii="Times New Roman" w:hAnsi="Times New Roman" w:eastAsia="宋体" w:cs="Times New Roman"/>
                <w:b/>
                <w:bCs/>
                <w:color w:val="auto"/>
                <w:spacing w:val="0"/>
                <w:kern w:val="0"/>
                <w:position w:val="0"/>
                <w:szCs w:val="21"/>
              </w:rPr>
            </w:pPr>
            <w:r>
              <w:rPr>
                <w:rFonts w:hint="default" w:ascii="Times New Roman" w:hAnsi="Times New Roman" w:eastAsia="宋体" w:cs="Times New Roman"/>
                <w:b/>
                <w:bCs/>
                <w:color w:val="auto"/>
                <w:spacing w:val="0"/>
                <w:position w:val="0"/>
                <w:szCs w:val="21"/>
              </w:rPr>
              <w:t xml:space="preserve"> 表4-</w:t>
            </w:r>
            <w:r>
              <w:rPr>
                <w:rFonts w:hint="eastAsia" w:cs="Times New Roman"/>
                <w:b/>
                <w:bCs/>
                <w:color w:val="auto"/>
                <w:spacing w:val="0"/>
                <w:position w:val="0"/>
                <w:szCs w:val="21"/>
                <w:lang w:val="en-US" w:eastAsia="zh-CN"/>
              </w:rPr>
              <w:t>45</w:t>
            </w:r>
            <w:r>
              <w:rPr>
                <w:rFonts w:hint="default" w:ascii="Times New Roman" w:hAnsi="Times New Roman" w:eastAsia="宋体" w:cs="Times New Roman"/>
                <w:b/>
                <w:bCs/>
                <w:color w:val="auto"/>
                <w:spacing w:val="0"/>
                <w:position w:val="0"/>
                <w:szCs w:val="21"/>
              </w:rPr>
              <w:t xml:space="preserve">  </w:t>
            </w:r>
            <w:r>
              <w:rPr>
                <w:rFonts w:hint="default" w:ascii="Times New Roman" w:hAnsi="Times New Roman" w:eastAsia="宋体" w:cs="Times New Roman"/>
                <w:b/>
                <w:bCs/>
                <w:color w:val="auto"/>
                <w:spacing w:val="0"/>
                <w:kern w:val="0"/>
                <w:position w:val="0"/>
                <w:szCs w:val="21"/>
              </w:rPr>
              <w:t>建设项目环保措施投资一览表    单位：万元</w:t>
            </w:r>
          </w:p>
          <w:tbl>
            <w:tblPr>
              <w:tblStyle w:val="26"/>
              <w:tblW w:w="8898"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6"/>
              <w:gridCol w:w="538"/>
              <w:gridCol w:w="1743"/>
              <w:gridCol w:w="4823"/>
              <w:gridCol w:w="958"/>
            </w:tblGrid>
            <w:tr w14:paraId="4FD10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E21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类别</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79F22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治理对象</w:t>
                  </w:r>
                </w:p>
              </w:tc>
              <w:tc>
                <w:tcPr>
                  <w:tcW w:w="4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229A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治理方案</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C60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投资</w:t>
                  </w:r>
                </w:p>
              </w:tc>
            </w:tr>
            <w:tr w14:paraId="5C8AB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8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B744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废气</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7E7E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热解分选生产区</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5B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热解炉尾气、燃烧室不凝气燃烧废气、清洗炉燃烧烟气、烘干炉燃烧烟气、油罐呼吸气</w:t>
                  </w:r>
                </w:p>
              </w:tc>
              <w:tc>
                <w:tcPr>
                  <w:tcW w:w="4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599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燃气室、清洗炉和烘干炉均设置密闭管道，热解炉炉体出料口上方设置集气罩，油罐呼吸阀接密闭管道。热解炉尾气、燃烧室不凝气燃烧废气、清洗炉燃烧烟气、烘干炉燃烧烟气、油罐呼吸气经负压收集进入</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处理后通过一根</w:t>
                  </w:r>
                  <w:r>
                    <w:rPr>
                      <w:rFonts w:hint="default" w:ascii="Times New Roman" w:hAnsi="Times New Roman" w:eastAsia="宋体" w:cs="Times New Roman"/>
                      <w:i w:val="0"/>
                      <w:iCs w:val="0"/>
                      <w:color w:val="000000"/>
                      <w:kern w:val="0"/>
                      <w:sz w:val="21"/>
                      <w:szCs w:val="21"/>
                      <w:u w:val="none"/>
                      <w:lang w:val="en-US" w:eastAsia="zh-CN" w:bidi="ar"/>
                    </w:rPr>
                    <w:t>15m</w:t>
                  </w:r>
                  <w:r>
                    <w:rPr>
                      <w:rFonts w:hint="eastAsia" w:ascii="宋体" w:hAnsi="宋体" w:eastAsia="宋体" w:cs="宋体"/>
                      <w:i w:val="0"/>
                      <w:iCs w:val="0"/>
                      <w:color w:val="000000"/>
                      <w:kern w:val="0"/>
                      <w:sz w:val="21"/>
                      <w:szCs w:val="21"/>
                      <w:u w:val="none"/>
                      <w:lang w:val="en-US" w:eastAsia="zh-CN" w:bidi="ar"/>
                    </w:rPr>
                    <w:t>高排气筒</w:t>
                  </w:r>
                  <w:r>
                    <w:rPr>
                      <w:rFonts w:hint="default" w:ascii="Times New Roman" w:hAnsi="Times New Roman" w:eastAsia="宋体" w:cs="Times New Roman"/>
                      <w:i w:val="0"/>
                      <w:iCs w:val="0"/>
                      <w:color w:val="000000"/>
                      <w:kern w:val="0"/>
                      <w:sz w:val="21"/>
                      <w:szCs w:val="21"/>
                      <w:u w:val="none"/>
                      <w:lang w:val="en-US" w:eastAsia="zh-CN" w:bidi="ar"/>
                    </w:rPr>
                    <w:t>DA001</w:t>
                  </w:r>
                  <w:r>
                    <w:rPr>
                      <w:rFonts w:hint="eastAsia" w:ascii="宋体" w:hAnsi="宋体" w:eastAsia="宋体" w:cs="宋体"/>
                      <w:i w:val="0"/>
                      <w:iCs w:val="0"/>
                      <w:color w:val="000000"/>
                      <w:kern w:val="0"/>
                      <w:sz w:val="21"/>
                      <w:szCs w:val="21"/>
                      <w:u w:val="none"/>
                      <w:lang w:val="en-US" w:eastAsia="zh-CN" w:bidi="ar"/>
                    </w:rPr>
                    <w:t>排放。</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49B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40</w:t>
                  </w:r>
                </w:p>
              </w:tc>
            </w:tr>
            <w:tr w14:paraId="238D6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5"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DD60B">
                  <w:pPr>
                    <w:jc w:val="center"/>
                    <w:rPr>
                      <w:rFonts w:hint="default" w:ascii="Times New Roman" w:hAnsi="Times New Roman" w:eastAsia="宋体" w:cs="Times New Roman"/>
                      <w:i w:val="0"/>
                      <w:iCs w:val="0"/>
                      <w:color w:val="000000"/>
                      <w:sz w:val="21"/>
                      <w:szCs w:val="21"/>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DCB3A">
                  <w:pPr>
                    <w:jc w:val="center"/>
                    <w:rPr>
                      <w:rFonts w:hint="default" w:ascii="Times New Roman" w:hAnsi="Times New Roman" w:eastAsia="宋体" w:cs="Times New Roman"/>
                      <w:i w:val="0"/>
                      <w:iCs w:val="0"/>
                      <w:color w:val="000000"/>
                      <w:sz w:val="21"/>
                      <w:szCs w:val="21"/>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3B5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w:t>
                  </w: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7</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9</w:t>
                  </w:r>
                  <w:r>
                    <w:rPr>
                      <w:rFonts w:hint="eastAsia" w:ascii="宋体" w:hAnsi="宋体" w:eastAsia="宋体" w:cs="宋体"/>
                      <w:i w:val="0"/>
                      <w:iCs w:val="0"/>
                      <w:color w:val="000000"/>
                      <w:kern w:val="0"/>
                      <w:sz w:val="21"/>
                      <w:szCs w:val="21"/>
                      <w:u w:val="none"/>
                      <w:lang w:val="en-US" w:eastAsia="zh-CN" w:bidi="ar"/>
                    </w:rPr>
                    <w:t>）粉尘、炉渣筛分粉尘、旋风分离粉尘、硅粉包装粉尘、风选粉尘</w:t>
                  </w:r>
                </w:p>
              </w:tc>
              <w:tc>
                <w:tcPr>
                  <w:tcW w:w="4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28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筛分机、风选机、旋风分离器接密闭管道，储料仓进料口和传送带出料口上方、硅粉包装工位上方设置集气罩。粉尘经负压收集进入</w:t>
                  </w: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套</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布袋除尘器</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水喷淋塔</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处理后通过一根</w:t>
                  </w:r>
                  <w:r>
                    <w:rPr>
                      <w:rFonts w:hint="default" w:ascii="Times New Roman" w:hAnsi="Times New Roman" w:eastAsia="宋体" w:cs="Times New Roman"/>
                      <w:i w:val="0"/>
                      <w:iCs w:val="0"/>
                      <w:color w:val="000000"/>
                      <w:kern w:val="0"/>
                      <w:sz w:val="21"/>
                      <w:szCs w:val="21"/>
                      <w:u w:val="none"/>
                      <w:lang w:val="en-US" w:eastAsia="zh-CN" w:bidi="ar"/>
                    </w:rPr>
                    <w:t>15m</w:t>
                  </w:r>
                  <w:r>
                    <w:rPr>
                      <w:rFonts w:hint="eastAsia" w:ascii="宋体" w:hAnsi="宋体" w:eastAsia="宋体" w:cs="宋体"/>
                      <w:i w:val="0"/>
                      <w:iCs w:val="0"/>
                      <w:color w:val="000000"/>
                      <w:kern w:val="0"/>
                      <w:sz w:val="21"/>
                      <w:szCs w:val="21"/>
                      <w:u w:val="none"/>
                      <w:lang w:val="en-US" w:eastAsia="zh-CN" w:bidi="ar"/>
                    </w:rPr>
                    <w:t>高排气筒</w:t>
                  </w:r>
                  <w:r>
                    <w:rPr>
                      <w:rFonts w:hint="default" w:ascii="Times New Roman" w:hAnsi="Times New Roman" w:eastAsia="宋体" w:cs="Times New Roman"/>
                      <w:i w:val="0"/>
                      <w:iCs w:val="0"/>
                      <w:color w:val="000000"/>
                      <w:kern w:val="0"/>
                      <w:sz w:val="21"/>
                      <w:szCs w:val="21"/>
                      <w:u w:val="none"/>
                      <w:lang w:val="en-US" w:eastAsia="zh-CN" w:bidi="ar"/>
                    </w:rPr>
                    <w:t>DA002</w:t>
                  </w:r>
                  <w:r>
                    <w:rPr>
                      <w:rFonts w:hint="eastAsia" w:ascii="宋体" w:hAnsi="宋体" w:eastAsia="宋体" w:cs="宋体"/>
                      <w:i w:val="0"/>
                      <w:iCs w:val="0"/>
                      <w:color w:val="000000"/>
                      <w:kern w:val="0"/>
                      <w:sz w:val="21"/>
                      <w:szCs w:val="21"/>
                      <w:u w:val="none"/>
                      <w:lang w:val="en-US" w:eastAsia="zh-CN" w:bidi="ar"/>
                    </w:rPr>
                    <w:t>排放。</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AAD4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18</w:t>
                  </w:r>
                </w:p>
              </w:tc>
            </w:tr>
            <w:tr w14:paraId="46F1B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3"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5D1DB">
                  <w:pPr>
                    <w:jc w:val="center"/>
                    <w:rPr>
                      <w:rFonts w:hint="default" w:ascii="Times New Roman" w:hAnsi="Times New Roman" w:eastAsia="宋体" w:cs="Times New Roman"/>
                      <w:i w:val="0"/>
                      <w:iCs w:val="0"/>
                      <w:color w:val="000000"/>
                      <w:sz w:val="21"/>
                      <w:szCs w:val="21"/>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E466D">
                  <w:pPr>
                    <w:jc w:val="center"/>
                    <w:rPr>
                      <w:rFonts w:hint="default" w:ascii="Times New Roman" w:hAnsi="Times New Roman" w:eastAsia="宋体" w:cs="Times New Roman"/>
                      <w:i w:val="0"/>
                      <w:iCs w:val="0"/>
                      <w:color w:val="000000"/>
                      <w:sz w:val="21"/>
                      <w:szCs w:val="21"/>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96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w:t>
                  </w:r>
                  <w:r>
                    <w:rPr>
                      <w:rFonts w:hint="default" w:ascii="Times New Roman" w:hAnsi="Times New Roman" w:eastAsia="宋体" w:cs="Times New Roman"/>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8</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10</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12</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13</w:t>
                  </w:r>
                  <w:r>
                    <w:rPr>
                      <w:rFonts w:hint="eastAsia" w:ascii="宋体" w:hAnsi="宋体" w:eastAsia="宋体" w:cs="宋体"/>
                      <w:i w:val="0"/>
                      <w:iCs w:val="0"/>
                      <w:color w:val="000000"/>
                      <w:kern w:val="0"/>
                      <w:sz w:val="21"/>
                      <w:szCs w:val="21"/>
                      <w:u w:val="none"/>
                      <w:lang w:val="en-US" w:eastAsia="zh-CN" w:bidi="ar"/>
                    </w:rPr>
                    <w:t>）粉尘、玻璃筛分粉尘、玻璃粉包装粉尘</w:t>
                  </w:r>
                </w:p>
              </w:tc>
              <w:tc>
                <w:tcPr>
                  <w:tcW w:w="4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30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筛分机接密闭管道，储料仓进料口和传送带出料口上方、玻璃粉包装工位上方设置集气罩。粉尘经负压收集进入</w:t>
                  </w: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套</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布袋除尘器</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水喷淋塔</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处理后并入</w:t>
                  </w:r>
                  <w:r>
                    <w:rPr>
                      <w:rFonts w:hint="default" w:ascii="Times New Roman" w:hAnsi="Times New Roman" w:eastAsia="宋体" w:cs="Times New Roman"/>
                      <w:i w:val="0"/>
                      <w:iCs w:val="0"/>
                      <w:color w:val="000000"/>
                      <w:kern w:val="0"/>
                      <w:sz w:val="21"/>
                      <w:szCs w:val="21"/>
                      <w:u w:val="none"/>
                      <w:lang w:val="en-US" w:eastAsia="zh-CN" w:bidi="ar"/>
                    </w:rPr>
                    <w:t>15m</w:t>
                  </w:r>
                  <w:r>
                    <w:rPr>
                      <w:rFonts w:hint="eastAsia" w:ascii="宋体" w:hAnsi="宋体" w:eastAsia="宋体" w:cs="宋体"/>
                      <w:i w:val="0"/>
                      <w:iCs w:val="0"/>
                      <w:color w:val="000000"/>
                      <w:kern w:val="0"/>
                      <w:sz w:val="21"/>
                      <w:szCs w:val="21"/>
                      <w:u w:val="none"/>
                      <w:lang w:val="en-US" w:eastAsia="zh-CN" w:bidi="ar"/>
                    </w:rPr>
                    <w:t>高排气筒</w:t>
                  </w:r>
                  <w:r>
                    <w:rPr>
                      <w:rFonts w:hint="default" w:ascii="Times New Roman" w:hAnsi="Times New Roman" w:eastAsia="宋体" w:cs="Times New Roman"/>
                      <w:i w:val="0"/>
                      <w:iCs w:val="0"/>
                      <w:color w:val="000000"/>
                      <w:kern w:val="0"/>
                      <w:sz w:val="21"/>
                      <w:szCs w:val="21"/>
                      <w:u w:val="none"/>
                      <w:lang w:val="en-US" w:eastAsia="zh-CN" w:bidi="ar"/>
                    </w:rPr>
                    <w:t>DA002</w:t>
                  </w:r>
                  <w:r>
                    <w:rPr>
                      <w:rFonts w:hint="eastAsia" w:ascii="宋体" w:hAnsi="宋体" w:eastAsia="宋体" w:cs="宋体"/>
                      <w:i w:val="0"/>
                      <w:iCs w:val="0"/>
                      <w:color w:val="000000"/>
                      <w:kern w:val="0"/>
                      <w:sz w:val="21"/>
                      <w:szCs w:val="21"/>
                      <w:u w:val="none"/>
                      <w:lang w:val="en-US" w:eastAsia="zh-CN" w:bidi="ar"/>
                    </w:rPr>
                    <w:t>排放。</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F7A1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14</w:t>
                  </w:r>
                </w:p>
              </w:tc>
            </w:tr>
            <w:tr w14:paraId="198CD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A63F2">
                  <w:pPr>
                    <w:jc w:val="center"/>
                    <w:rPr>
                      <w:rFonts w:hint="default" w:ascii="Times New Roman" w:hAnsi="Times New Roman" w:eastAsia="宋体" w:cs="Times New Roman"/>
                      <w:i w:val="0"/>
                      <w:iCs w:val="0"/>
                      <w:color w:val="000000"/>
                      <w:sz w:val="21"/>
                      <w:szCs w:val="21"/>
                      <w:u w:val="none"/>
                    </w:rPr>
                  </w:pP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DC1D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热解分选生产区</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2F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热解炉尾气、燃烧室不凝气燃烧废气、清洗炉燃烧烟气、烘干炉燃烧烟气、油罐呼吸气</w:t>
                  </w:r>
                </w:p>
              </w:tc>
              <w:tc>
                <w:tcPr>
                  <w:tcW w:w="4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403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解炉、燃气室、清洗炉和烘干炉均设置密闭管道，热解炉炉体出料口上方设置集气罩，油罐呼吸阀接密闭管道。热解炉尾气、燃烧室不凝气燃烧废气、清洗炉燃烧烟气、烘干炉燃烧烟气、油罐呼吸气经负压收集进入</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处理后通过一根</w:t>
                  </w:r>
                  <w:r>
                    <w:rPr>
                      <w:rFonts w:hint="default" w:ascii="Times New Roman" w:hAnsi="Times New Roman" w:eastAsia="宋体" w:cs="Times New Roman"/>
                      <w:i w:val="0"/>
                      <w:iCs w:val="0"/>
                      <w:color w:val="000000"/>
                      <w:kern w:val="0"/>
                      <w:sz w:val="21"/>
                      <w:szCs w:val="21"/>
                      <w:u w:val="none"/>
                      <w:lang w:val="en-US" w:eastAsia="zh-CN" w:bidi="ar"/>
                    </w:rPr>
                    <w:t>15m</w:t>
                  </w:r>
                  <w:r>
                    <w:rPr>
                      <w:rFonts w:hint="eastAsia" w:ascii="宋体" w:hAnsi="宋体" w:eastAsia="宋体" w:cs="宋体"/>
                      <w:i w:val="0"/>
                      <w:iCs w:val="0"/>
                      <w:color w:val="000000"/>
                      <w:kern w:val="0"/>
                      <w:sz w:val="21"/>
                      <w:szCs w:val="21"/>
                      <w:u w:val="none"/>
                      <w:lang w:val="en-US" w:eastAsia="zh-CN" w:bidi="ar"/>
                    </w:rPr>
                    <w:t>高排气筒</w:t>
                  </w:r>
                  <w:r>
                    <w:rPr>
                      <w:rFonts w:hint="eastAsia" w:cs="Times New Roman"/>
                      <w:i w:val="0"/>
                      <w:iCs w:val="0"/>
                      <w:color w:val="000000"/>
                      <w:kern w:val="0"/>
                      <w:sz w:val="21"/>
                      <w:szCs w:val="21"/>
                      <w:u w:val="none"/>
                      <w:lang w:val="en-US" w:eastAsia="zh-CN" w:bidi="ar"/>
                    </w:rPr>
                    <w:t>DA003</w:t>
                  </w:r>
                  <w:r>
                    <w:rPr>
                      <w:rFonts w:hint="eastAsia" w:ascii="宋体" w:hAnsi="宋体" w:eastAsia="宋体" w:cs="宋体"/>
                      <w:i w:val="0"/>
                      <w:iCs w:val="0"/>
                      <w:color w:val="000000"/>
                      <w:kern w:val="0"/>
                      <w:sz w:val="21"/>
                      <w:szCs w:val="21"/>
                      <w:u w:val="none"/>
                      <w:lang w:val="en-US" w:eastAsia="zh-CN" w:bidi="ar"/>
                    </w:rPr>
                    <w:t>排放。</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DBFF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40</w:t>
                  </w:r>
                </w:p>
              </w:tc>
            </w:tr>
            <w:tr w14:paraId="20C94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5"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11B5F">
                  <w:pPr>
                    <w:jc w:val="center"/>
                    <w:rPr>
                      <w:rFonts w:hint="default" w:ascii="Times New Roman" w:hAnsi="Times New Roman" w:eastAsia="宋体" w:cs="Times New Roman"/>
                      <w:i w:val="0"/>
                      <w:iCs w:val="0"/>
                      <w:color w:val="000000"/>
                      <w:sz w:val="21"/>
                      <w:szCs w:val="21"/>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8467D">
                  <w:pPr>
                    <w:jc w:val="center"/>
                    <w:rPr>
                      <w:rFonts w:hint="default" w:ascii="Times New Roman" w:hAnsi="Times New Roman" w:eastAsia="宋体" w:cs="Times New Roman"/>
                      <w:i w:val="0"/>
                      <w:iCs w:val="0"/>
                      <w:color w:val="000000"/>
                      <w:sz w:val="21"/>
                      <w:szCs w:val="21"/>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27F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w:t>
                  </w: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7</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9</w:t>
                  </w:r>
                  <w:r>
                    <w:rPr>
                      <w:rFonts w:hint="eastAsia" w:ascii="宋体" w:hAnsi="宋体" w:eastAsia="宋体" w:cs="宋体"/>
                      <w:i w:val="0"/>
                      <w:iCs w:val="0"/>
                      <w:color w:val="000000"/>
                      <w:kern w:val="0"/>
                      <w:sz w:val="21"/>
                      <w:szCs w:val="21"/>
                      <w:u w:val="none"/>
                      <w:lang w:val="en-US" w:eastAsia="zh-CN" w:bidi="ar"/>
                    </w:rPr>
                    <w:t>）粉尘、炉渣筛分粉尘、旋风分离粉尘、硅粉包装粉尘、风选粉尘</w:t>
                  </w:r>
                </w:p>
              </w:tc>
              <w:tc>
                <w:tcPr>
                  <w:tcW w:w="4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B9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筛分机、风选机、旋风分离器接密闭管道，储料仓进料口和传送带出料口上方、硅粉包装工位上方设置集气罩。粉尘经负压收集进入</w:t>
                  </w: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套</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布袋除尘器</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水喷淋塔</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处理后通过一根</w:t>
                  </w:r>
                  <w:r>
                    <w:rPr>
                      <w:rFonts w:hint="default" w:ascii="Times New Roman" w:hAnsi="Times New Roman" w:eastAsia="宋体" w:cs="Times New Roman"/>
                      <w:i w:val="0"/>
                      <w:iCs w:val="0"/>
                      <w:color w:val="000000"/>
                      <w:kern w:val="0"/>
                      <w:sz w:val="21"/>
                      <w:szCs w:val="21"/>
                      <w:u w:val="none"/>
                      <w:lang w:val="en-US" w:eastAsia="zh-CN" w:bidi="ar"/>
                    </w:rPr>
                    <w:t>15m</w:t>
                  </w:r>
                  <w:r>
                    <w:rPr>
                      <w:rFonts w:hint="eastAsia" w:ascii="宋体" w:hAnsi="宋体" w:eastAsia="宋体" w:cs="宋体"/>
                      <w:i w:val="0"/>
                      <w:iCs w:val="0"/>
                      <w:color w:val="000000"/>
                      <w:kern w:val="0"/>
                      <w:sz w:val="21"/>
                      <w:szCs w:val="21"/>
                      <w:u w:val="none"/>
                      <w:lang w:val="en-US" w:eastAsia="zh-CN" w:bidi="ar"/>
                    </w:rPr>
                    <w:t>高排气筒</w:t>
                  </w:r>
                  <w:r>
                    <w:rPr>
                      <w:rFonts w:hint="eastAsia" w:cs="Times New Roman"/>
                      <w:i w:val="0"/>
                      <w:iCs w:val="0"/>
                      <w:color w:val="000000"/>
                      <w:kern w:val="0"/>
                      <w:sz w:val="21"/>
                      <w:szCs w:val="21"/>
                      <w:u w:val="none"/>
                      <w:lang w:val="en-US" w:eastAsia="zh-CN" w:bidi="ar"/>
                    </w:rPr>
                    <w:t>DA004</w:t>
                  </w:r>
                  <w:r>
                    <w:rPr>
                      <w:rFonts w:hint="eastAsia" w:ascii="宋体" w:hAnsi="宋体" w:eastAsia="宋体" w:cs="宋体"/>
                      <w:i w:val="0"/>
                      <w:iCs w:val="0"/>
                      <w:color w:val="000000"/>
                      <w:kern w:val="0"/>
                      <w:sz w:val="21"/>
                      <w:szCs w:val="21"/>
                      <w:u w:val="none"/>
                      <w:lang w:val="en-US" w:eastAsia="zh-CN" w:bidi="ar"/>
                    </w:rPr>
                    <w:t>排放。</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A7AB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18</w:t>
                  </w:r>
                </w:p>
              </w:tc>
            </w:tr>
            <w:tr w14:paraId="6518F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3"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F16EE">
                  <w:pPr>
                    <w:jc w:val="center"/>
                    <w:rPr>
                      <w:rFonts w:hint="default" w:ascii="Times New Roman" w:hAnsi="Times New Roman" w:eastAsia="宋体" w:cs="Times New Roman"/>
                      <w:i w:val="0"/>
                      <w:iCs w:val="0"/>
                      <w:color w:val="000000"/>
                      <w:sz w:val="21"/>
                      <w:szCs w:val="21"/>
                      <w:u w:val="none"/>
                    </w:rPr>
                  </w:pP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136DC">
                  <w:pPr>
                    <w:jc w:val="center"/>
                    <w:rPr>
                      <w:rFonts w:hint="default" w:ascii="Times New Roman" w:hAnsi="Times New Roman" w:eastAsia="宋体" w:cs="Times New Roman"/>
                      <w:i w:val="0"/>
                      <w:iCs w:val="0"/>
                      <w:color w:val="000000"/>
                      <w:sz w:val="21"/>
                      <w:szCs w:val="21"/>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347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进仓（</w:t>
                  </w:r>
                  <w:r>
                    <w:rPr>
                      <w:rFonts w:hint="default" w:ascii="Times New Roman" w:hAnsi="Times New Roman" w:eastAsia="宋体" w:cs="Times New Roman"/>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8</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10</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12</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13</w:t>
                  </w:r>
                  <w:r>
                    <w:rPr>
                      <w:rFonts w:hint="eastAsia" w:ascii="宋体" w:hAnsi="宋体" w:eastAsia="宋体" w:cs="宋体"/>
                      <w:i w:val="0"/>
                      <w:iCs w:val="0"/>
                      <w:color w:val="000000"/>
                      <w:kern w:val="0"/>
                      <w:sz w:val="21"/>
                      <w:szCs w:val="21"/>
                      <w:u w:val="none"/>
                      <w:lang w:val="en-US" w:eastAsia="zh-CN" w:bidi="ar"/>
                    </w:rPr>
                    <w:t>）粉尘、玻璃筛分粉尘、玻璃粉包装粉尘</w:t>
                  </w:r>
                </w:p>
              </w:tc>
              <w:tc>
                <w:tcPr>
                  <w:tcW w:w="4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56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筛分机接密闭管道，储料仓进料口和传送带出料口上方、玻璃粉包装工位上方设置集气罩。粉尘经负压收集进入</w:t>
                  </w: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套</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布袋除尘器</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水喷淋塔</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处理后并入</w:t>
                  </w:r>
                  <w:r>
                    <w:rPr>
                      <w:rFonts w:hint="default" w:ascii="Times New Roman" w:hAnsi="Times New Roman" w:eastAsia="宋体" w:cs="Times New Roman"/>
                      <w:i w:val="0"/>
                      <w:iCs w:val="0"/>
                      <w:color w:val="000000"/>
                      <w:kern w:val="0"/>
                      <w:sz w:val="21"/>
                      <w:szCs w:val="21"/>
                      <w:u w:val="none"/>
                      <w:lang w:val="en-US" w:eastAsia="zh-CN" w:bidi="ar"/>
                    </w:rPr>
                    <w:t>15m</w:t>
                  </w:r>
                  <w:r>
                    <w:rPr>
                      <w:rFonts w:hint="eastAsia" w:ascii="宋体" w:hAnsi="宋体" w:eastAsia="宋体" w:cs="宋体"/>
                      <w:i w:val="0"/>
                      <w:iCs w:val="0"/>
                      <w:color w:val="000000"/>
                      <w:kern w:val="0"/>
                      <w:sz w:val="21"/>
                      <w:szCs w:val="21"/>
                      <w:u w:val="none"/>
                      <w:lang w:val="en-US" w:eastAsia="zh-CN" w:bidi="ar"/>
                    </w:rPr>
                    <w:t>高排气筒</w:t>
                  </w:r>
                  <w:r>
                    <w:rPr>
                      <w:rFonts w:hint="eastAsia" w:cs="Times New Roman"/>
                      <w:i w:val="0"/>
                      <w:iCs w:val="0"/>
                      <w:color w:val="000000"/>
                      <w:kern w:val="0"/>
                      <w:sz w:val="21"/>
                      <w:szCs w:val="21"/>
                      <w:u w:val="none"/>
                      <w:lang w:val="en-US" w:eastAsia="zh-CN" w:bidi="ar"/>
                    </w:rPr>
                    <w:t>DA004</w:t>
                  </w:r>
                  <w:r>
                    <w:rPr>
                      <w:rFonts w:hint="eastAsia" w:ascii="宋体" w:hAnsi="宋体" w:eastAsia="宋体" w:cs="宋体"/>
                      <w:i w:val="0"/>
                      <w:iCs w:val="0"/>
                      <w:color w:val="000000"/>
                      <w:kern w:val="0"/>
                      <w:sz w:val="21"/>
                      <w:szCs w:val="21"/>
                      <w:u w:val="none"/>
                      <w:lang w:val="en-US" w:eastAsia="zh-CN" w:bidi="ar"/>
                    </w:rPr>
                    <w:t>排放。</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0D00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14</w:t>
                  </w:r>
                </w:p>
              </w:tc>
            </w:tr>
            <w:tr w14:paraId="2417A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9" w:hRule="atLeast"/>
              </w:trPr>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E92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废水</w:t>
                  </w:r>
                </w:p>
              </w:tc>
              <w:tc>
                <w:tcPr>
                  <w:tcW w:w="71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6C35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）项目碱洗废水、洗砂废水经车间沉淀池沉淀后回用，不外排；（</w:t>
                  </w: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地面冲洗废水、喷淋塔定期排水经沉淀池处理后与化粪池收集的生活污水一同纳管排放</w:t>
                  </w:r>
                  <w:r>
                    <w:rPr>
                      <w:rFonts w:hint="eastAsia" w:ascii="宋体" w:hAnsi="宋体" w:eastAsia="宋体" w:cs="宋体"/>
                      <w:i w:val="0"/>
                      <w:iCs w:val="0"/>
                      <w:color w:val="000000"/>
                      <w:kern w:val="0"/>
                      <w:sz w:val="21"/>
                      <w:szCs w:val="21"/>
                      <w:u w:val="none"/>
                      <w:lang w:val="en-US" w:eastAsia="zh-CN" w:bidi="ar"/>
                    </w:rPr>
                    <w:t>。纳管废水污染物排放浓度满足皖江江南新兴产业集中区第一污水处理厂接管限值及《污水综合排放标准》（</w:t>
                  </w:r>
                  <w:r>
                    <w:rPr>
                      <w:rFonts w:hint="default" w:ascii="Times New Roman" w:hAnsi="Times New Roman" w:eastAsia="宋体" w:cs="Times New Roman"/>
                      <w:i w:val="0"/>
                      <w:iCs w:val="0"/>
                      <w:color w:val="000000"/>
                      <w:kern w:val="0"/>
                      <w:sz w:val="21"/>
                      <w:szCs w:val="21"/>
                      <w:u w:val="none"/>
                      <w:lang w:val="en-US" w:eastAsia="zh-CN" w:bidi="ar"/>
                    </w:rPr>
                    <w:t>GB8978-1996</w:t>
                  </w:r>
                  <w:r>
                    <w:rPr>
                      <w:rFonts w:hint="eastAsia" w:ascii="宋体" w:hAnsi="宋体" w:eastAsia="宋体" w:cs="宋体"/>
                      <w:i w:val="0"/>
                      <w:iCs w:val="0"/>
                      <w:color w:val="000000"/>
                      <w:kern w:val="0"/>
                      <w:sz w:val="21"/>
                      <w:szCs w:val="21"/>
                      <w:u w:val="none"/>
                      <w:lang w:val="en-US" w:eastAsia="zh-CN" w:bidi="ar"/>
                    </w:rPr>
                    <w:t>）表</w:t>
                  </w: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中三级标准</w:t>
                  </w:r>
                  <w:r>
                    <w:rPr>
                      <w:rFonts w:hint="eastAsia" w:ascii="Times New Roman" w:hAnsi="Times New Roman" w:eastAsia="宋体" w:cs="Times New Roman"/>
                      <w:color w:val="auto"/>
                      <w:sz w:val="21"/>
                      <w:szCs w:val="21"/>
                      <w:lang w:val="en-US" w:eastAsia="zh-CN"/>
                    </w:rPr>
                    <w:t>。</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BC2C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eastAsia" w:cs="Times New Roman"/>
                      <w:i w:val="0"/>
                      <w:iCs w:val="0"/>
                      <w:color w:val="000000"/>
                      <w:kern w:val="0"/>
                      <w:sz w:val="22"/>
                      <w:szCs w:val="22"/>
                      <w:u w:val="none"/>
                      <w:lang w:val="en-US" w:eastAsia="zh-CN" w:bidi="ar"/>
                    </w:rPr>
                    <w:t>6</w:t>
                  </w:r>
                </w:p>
              </w:tc>
            </w:tr>
            <w:tr w14:paraId="30D74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9" w:hRule="atLeast"/>
              </w:trPr>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37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固废</w:t>
                  </w:r>
                </w:p>
              </w:tc>
              <w:tc>
                <w:tcPr>
                  <w:tcW w:w="71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1973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沉淀池泥渣暂存污泥池外售综合利用；废布袋、除尘器收尘收集后暂存固废库，外售综合利用；废化学原料包装材料、废活性炭、废润滑油、废液压油、废油桶、含油废手套等分类收集暂存危废库，委托有资质单位回收处理；生活垃圾委托环卫部门定期清运。</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E7C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16</w:t>
                  </w:r>
                </w:p>
              </w:tc>
            </w:tr>
            <w:tr w14:paraId="75C70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48" w:hRule="atLeast"/>
              </w:trPr>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39A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噪声</w:t>
                  </w:r>
                </w:p>
              </w:tc>
              <w:tc>
                <w:tcPr>
                  <w:tcW w:w="71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14B7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生产设备采取厂房隔声、安装隔声罩、隔震、减震的措施；对空压机采取减震和安装消声器的措施；对风机安装消声器。</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BD14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w:t>
                  </w:r>
                </w:p>
              </w:tc>
            </w:tr>
            <w:tr w14:paraId="2F497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9" w:hRule="atLeast"/>
              </w:trPr>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413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土壤、地下水</w:t>
                  </w:r>
                </w:p>
              </w:tc>
              <w:tc>
                <w:tcPr>
                  <w:tcW w:w="71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2640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r>
                    <w:rPr>
                      <w:rFonts w:hint="eastAsia" w:ascii="宋体" w:hAnsi="宋体" w:cs="宋体"/>
                      <w:i w:val="0"/>
                      <w:iCs w:val="0"/>
                      <w:color w:val="000000"/>
                      <w:kern w:val="0"/>
                      <w:sz w:val="21"/>
                      <w:szCs w:val="21"/>
                      <w:u w:val="none"/>
                      <w:lang w:val="en-US" w:eastAsia="zh-CN" w:bidi="ar"/>
                    </w:rPr>
                    <w:t>危废库、片碱库</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污水处理池</w:t>
                  </w:r>
                  <w:r>
                    <w:rPr>
                      <w:rFonts w:hint="eastAsia" w:ascii="宋体" w:hAnsi="宋体" w:eastAsia="宋体" w:cs="宋体"/>
                      <w:i w:val="0"/>
                      <w:iCs w:val="0"/>
                      <w:color w:val="000000"/>
                      <w:kern w:val="0"/>
                      <w:sz w:val="21"/>
                      <w:szCs w:val="21"/>
                      <w:u w:val="none"/>
                      <w:lang w:val="en-US" w:eastAsia="zh-CN" w:bidi="ar"/>
                    </w:rPr>
                    <w:t>、车间沉淀池、事故应急池设置重点防渗，办公休息区设置简单防渗，重点防渗区和简单防渗区以外区域设置一般防渗。</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172C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w:t>
                  </w:r>
                </w:p>
              </w:tc>
            </w:tr>
            <w:tr w14:paraId="1E90D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 w:hRule="atLeast"/>
              </w:trPr>
              <w:tc>
                <w:tcPr>
                  <w:tcW w:w="8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43F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环境风险</w:t>
                  </w:r>
                </w:p>
              </w:tc>
              <w:tc>
                <w:tcPr>
                  <w:tcW w:w="71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1BB6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）合理布局，建筑设计满足防火要求；</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6464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w:t>
                  </w:r>
                </w:p>
              </w:tc>
            </w:tr>
            <w:tr w14:paraId="3DAC8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F9317">
                  <w:pPr>
                    <w:jc w:val="center"/>
                    <w:rPr>
                      <w:rFonts w:hint="default" w:ascii="Times New Roman" w:hAnsi="Times New Roman" w:eastAsia="宋体" w:cs="Times New Roman"/>
                      <w:i w:val="0"/>
                      <w:iCs w:val="0"/>
                      <w:color w:val="000000"/>
                      <w:sz w:val="21"/>
                      <w:szCs w:val="21"/>
                      <w:u w:val="none"/>
                    </w:rPr>
                  </w:pPr>
                </w:p>
              </w:tc>
              <w:tc>
                <w:tcPr>
                  <w:tcW w:w="71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7130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）定期检修废气、废水处理系统，杜绝事故性废气、废水排放；</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506CD">
                  <w:pPr>
                    <w:jc w:val="center"/>
                    <w:rPr>
                      <w:rFonts w:hint="default" w:ascii="Times New Roman" w:hAnsi="Times New Roman" w:eastAsia="宋体" w:cs="Times New Roman"/>
                      <w:i w:val="0"/>
                      <w:iCs w:val="0"/>
                      <w:color w:val="000000"/>
                      <w:sz w:val="22"/>
                      <w:szCs w:val="22"/>
                      <w:u w:val="none"/>
                    </w:rPr>
                  </w:pPr>
                </w:p>
              </w:tc>
            </w:tr>
            <w:tr w14:paraId="3BF1E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90D84">
                  <w:pPr>
                    <w:jc w:val="center"/>
                    <w:rPr>
                      <w:rFonts w:hint="default" w:ascii="Times New Roman" w:hAnsi="Times New Roman" w:eastAsia="宋体" w:cs="Times New Roman"/>
                      <w:i w:val="0"/>
                      <w:iCs w:val="0"/>
                      <w:color w:val="000000"/>
                      <w:sz w:val="21"/>
                      <w:szCs w:val="21"/>
                      <w:u w:val="none"/>
                    </w:rPr>
                  </w:pPr>
                </w:p>
              </w:tc>
              <w:tc>
                <w:tcPr>
                  <w:tcW w:w="71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652B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）严格落实分区防渗措施；</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14D23">
                  <w:pPr>
                    <w:jc w:val="center"/>
                    <w:rPr>
                      <w:rFonts w:hint="default" w:ascii="Times New Roman" w:hAnsi="Times New Roman" w:eastAsia="宋体" w:cs="Times New Roman"/>
                      <w:i w:val="0"/>
                      <w:iCs w:val="0"/>
                      <w:color w:val="000000"/>
                      <w:sz w:val="22"/>
                      <w:szCs w:val="22"/>
                      <w:u w:val="none"/>
                    </w:rPr>
                  </w:pPr>
                </w:p>
              </w:tc>
            </w:tr>
            <w:tr w14:paraId="3BC8C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41"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2B14B">
                  <w:pPr>
                    <w:jc w:val="center"/>
                    <w:rPr>
                      <w:rFonts w:hint="default" w:ascii="Times New Roman" w:hAnsi="Times New Roman" w:eastAsia="宋体" w:cs="Times New Roman"/>
                      <w:i w:val="0"/>
                      <w:iCs w:val="0"/>
                      <w:color w:val="000000"/>
                      <w:sz w:val="21"/>
                      <w:szCs w:val="21"/>
                      <w:u w:val="none"/>
                    </w:rPr>
                  </w:pPr>
                </w:p>
              </w:tc>
              <w:tc>
                <w:tcPr>
                  <w:tcW w:w="71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1570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）新建事故应急池一座，</w:t>
                  </w:r>
                  <w:r>
                    <w:rPr>
                      <w:rFonts w:hint="eastAsia" w:ascii="宋体" w:hAnsi="宋体" w:cs="宋体"/>
                      <w:i w:val="0"/>
                      <w:iCs w:val="0"/>
                      <w:color w:val="000000"/>
                      <w:kern w:val="0"/>
                      <w:sz w:val="21"/>
                      <w:szCs w:val="21"/>
                      <w:u w:val="none"/>
                      <w:lang w:val="en-US" w:eastAsia="zh-CN" w:bidi="ar"/>
                    </w:rPr>
                    <w:t>容</w:t>
                  </w:r>
                  <w:r>
                    <w:rPr>
                      <w:rFonts w:hint="default" w:ascii="Times New Roman" w:hAnsi="Times New Roman" w:cs="Times New Roman"/>
                      <w:i w:val="0"/>
                      <w:iCs w:val="0"/>
                      <w:color w:val="000000"/>
                      <w:kern w:val="0"/>
                      <w:sz w:val="21"/>
                      <w:szCs w:val="21"/>
                      <w:u w:val="none"/>
                      <w:lang w:val="en-US" w:eastAsia="zh-CN" w:bidi="ar"/>
                    </w:rPr>
                    <w:t>积400m</w:t>
                  </w:r>
                  <w:r>
                    <w:rPr>
                      <w:rFonts w:hint="default" w:ascii="Times New Roman" w:hAnsi="Times New Roman" w:eastAsia="宋体" w:cs="Times New Roman"/>
                      <w:i w:val="0"/>
                      <w:iCs w:val="0"/>
                      <w:color w:val="000000"/>
                      <w:kern w:val="0"/>
                      <w:sz w:val="21"/>
                      <w:szCs w:val="21"/>
                      <w:u w:val="none"/>
                      <w:vertAlign w:val="superscript"/>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C001E">
                  <w:pPr>
                    <w:jc w:val="center"/>
                    <w:rPr>
                      <w:rFonts w:hint="default" w:ascii="Times New Roman" w:hAnsi="Times New Roman" w:eastAsia="宋体" w:cs="Times New Roman"/>
                      <w:i w:val="0"/>
                      <w:iCs w:val="0"/>
                      <w:color w:val="000000"/>
                      <w:sz w:val="22"/>
                      <w:szCs w:val="22"/>
                      <w:u w:val="none"/>
                    </w:rPr>
                  </w:pPr>
                </w:p>
              </w:tc>
            </w:tr>
            <w:tr w14:paraId="4E614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7BC73">
                  <w:pPr>
                    <w:jc w:val="center"/>
                    <w:rPr>
                      <w:rFonts w:hint="default" w:ascii="Times New Roman" w:hAnsi="Times New Roman" w:eastAsia="宋体" w:cs="Times New Roman"/>
                      <w:i w:val="0"/>
                      <w:iCs w:val="0"/>
                      <w:color w:val="000000"/>
                      <w:sz w:val="21"/>
                      <w:szCs w:val="21"/>
                      <w:u w:val="none"/>
                    </w:rPr>
                  </w:pPr>
                </w:p>
              </w:tc>
              <w:tc>
                <w:tcPr>
                  <w:tcW w:w="71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BBDE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）编制环境风险应急预案并备案。</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848CF">
                  <w:pPr>
                    <w:jc w:val="center"/>
                    <w:rPr>
                      <w:rFonts w:hint="default" w:ascii="Times New Roman" w:hAnsi="Times New Roman" w:eastAsia="宋体" w:cs="Times New Roman"/>
                      <w:i w:val="0"/>
                      <w:iCs w:val="0"/>
                      <w:color w:val="000000"/>
                      <w:sz w:val="22"/>
                      <w:szCs w:val="22"/>
                      <w:u w:val="none"/>
                    </w:rPr>
                  </w:pPr>
                </w:p>
              </w:tc>
            </w:tr>
            <w:tr w14:paraId="150C9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94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0135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53DE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2"/>
                      <w:szCs w:val="22"/>
                      <w:u w:val="none"/>
                      <w:lang w:val="en-US"/>
                    </w:rPr>
                  </w:pPr>
                  <w:r>
                    <w:rPr>
                      <w:rFonts w:hint="eastAsia" w:cs="Times New Roman"/>
                      <w:b/>
                      <w:bCs/>
                      <w:i w:val="0"/>
                      <w:iCs w:val="0"/>
                      <w:color w:val="000000"/>
                      <w:kern w:val="0"/>
                      <w:sz w:val="22"/>
                      <w:szCs w:val="22"/>
                      <w:u w:val="none"/>
                      <w:lang w:val="en-US" w:eastAsia="zh-CN" w:bidi="ar"/>
                    </w:rPr>
                    <w:t>188</w:t>
                  </w:r>
                </w:p>
              </w:tc>
            </w:tr>
          </w:tbl>
          <w:p w14:paraId="4DFF2DE9">
            <w:pPr>
              <w:pStyle w:val="48"/>
              <w:spacing w:line="480" w:lineRule="atLeast"/>
              <w:ind w:firstLine="0"/>
              <w:jc w:val="left"/>
              <w:rPr>
                <w:rFonts w:hint="eastAsia" w:ascii="Times New Roman" w:hAnsi="Times New Roman" w:eastAsia="宋体" w:cs="Times New Roman"/>
                <w:b/>
                <w:bCs/>
                <w:color w:val="auto"/>
                <w:spacing w:val="0"/>
                <w:position w:val="0"/>
                <w:lang w:eastAsia="zh-CN"/>
              </w:rPr>
            </w:pPr>
          </w:p>
        </w:tc>
      </w:tr>
    </w:tbl>
    <w:p w14:paraId="5D2E974F">
      <w:pPr>
        <w:pStyle w:val="23"/>
        <w:jc w:val="center"/>
        <w:outlineLvl w:val="0"/>
        <w:rPr>
          <w:rFonts w:hint="default" w:ascii="Times New Roman" w:hAnsi="Times New Roman" w:eastAsia="黑体" w:cs="Times New Roman"/>
          <w:snapToGrid w:val="0"/>
          <w:color w:val="auto"/>
          <w:spacing w:val="0"/>
          <w:position w:val="0"/>
          <w:sz w:val="30"/>
          <w:szCs w:val="30"/>
        </w:rPr>
        <w:sectPr>
          <w:pgSz w:w="11905" w:h="16838"/>
          <w:pgMar w:top="1440" w:right="1080" w:bottom="1440" w:left="1080" w:header="851" w:footer="1077" w:gutter="0"/>
          <w:pgBorders>
            <w:top w:val="none" w:sz="0" w:space="0"/>
            <w:left w:val="none" w:sz="0" w:space="0"/>
            <w:bottom w:val="none" w:sz="0" w:space="0"/>
            <w:right w:val="none" w:sz="0" w:space="0"/>
          </w:pgBorders>
          <w:pgNumType w:fmt="decimal"/>
          <w:cols w:space="0" w:num="1"/>
          <w:docGrid w:linePitch="312" w:charSpace="0"/>
        </w:sectPr>
      </w:pPr>
    </w:p>
    <w:p w14:paraId="5E2F3F20">
      <w:pPr>
        <w:pStyle w:val="3"/>
        <w:bidi w:val="0"/>
        <w:rPr>
          <w:rFonts w:hint="default"/>
        </w:rPr>
      </w:pPr>
      <w:bookmarkStart w:id="13" w:name="_Toc27255"/>
      <w:r>
        <w:rPr>
          <w:rFonts w:hint="default"/>
        </w:rPr>
        <w:t>五、</w:t>
      </w:r>
      <w:bookmarkStart w:id="14" w:name="_Hlk54167917"/>
      <w:r>
        <w:rPr>
          <w:rFonts w:hint="default"/>
        </w:rPr>
        <w:t>环境保护措施监督检查清单</w:t>
      </w:r>
      <w:bookmarkEnd w:id="13"/>
      <w:bookmarkEnd w:id="14"/>
    </w:p>
    <w:tbl>
      <w:tblPr>
        <w:tblStyle w:val="26"/>
        <w:tblW w:w="1489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71"/>
        <w:gridCol w:w="1176"/>
        <w:gridCol w:w="2244"/>
        <w:gridCol w:w="2277"/>
        <w:gridCol w:w="5611"/>
        <w:gridCol w:w="2214"/>
      </w:tblGrid>
      <w:tr w14:paraId="1D637C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371" w:type="dxa"/>
            <w:tcBorders>
              <w:tl2br w:val="single" w:color="auto" w:sz="4" w:space="0"/>
            </w:tcBorders>
            <w:noWrap w:val="0"/>
            <w:vAlign w:val="top"/>
          </w:tcPr>
          <w:p w14:paraId="143E7498">
            <w:pPr>
              <w:keepNext w:val="0"/>
              <w:keepLines w:val="0"/>
              <w:pageBreakBefore w:val="0"/>
              <w:widowControl w:val="0"/>
              <w:kinsoku/>
              <w:wordWrap/>
              <w:overflowPunct/>
              <w:topLinePunct w:val="0"/>
              <w:autoSpaceDE/>
              <w:autoSpaceDN/>
              <w:bidi w:val="0"/>
              <w:adjustRightInd w:val="0"/>
              <w:spacing w:line="240" w:lineRule="auto"/>
              <w:jc w:val="right"/>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内容</w:t>
            </w:r>
          </w:p>
          <w:p w14:paraId="5B7826E4">
            <w:pPr>
              <w:keepNext w:val="0"/>
              <w:keepLines w:val="0"/>
              <w:pageBreakBefore w:val="0"/>
              <w:widowControl w:val="0"/>
              <w:kinsoku/>
              <w:wordWrap/>
              <w:overflowPunct/>
              <w:topLinePunct w:val="0"/>
              <w:autoSpaceDE/>
              <w:autoSpaceDN/>
              <w:bidi w:val="0"/>
              <w:adjustRightInd w:val="0"/>
              <w:spacing w:line="240" w:lineRule="auto"/>
              <w:textAlignment w:val="auto"/>
              <w:rPr>
                <w:rFonts w:hint="eastAsia" w:ascii="宋体" w:hAnsi="宋体" w:eastAsia="宋体" w:cs="宋体"/>
                <w:b/>
                <w:bCs w:val="0"/>
                <w:color w:val="auto"/>
                <w:spacing w:val="0"/>
                <w:sz w:val="24"/>
                <w:szCs w:val="24"/>
              </w:rPr>
            </w:pPr>
          </w:p>
          <w:p w14:paraId="2DDC2FE9">
            <w:pPr>
              <w:keepNext w:val="0"/>
              <w:keepLines w:val="0"/>
              <w:pageBreakBefore w:val="0"/>
              <w:widowControl w:val="0"/>
              <w:kinsoku/>
              <w:wordWrap/>
              <w:overflowPunct/>
              <w:topLinePunct w:val="0"/>
              <w:autoSpaceDE/>
              <w:autoSpaceDN/>
              <w:bidi w:val="0"/>
              <w:adjustRightInd w:val="0"/>
              <w:spacing w:line="240" w:lineRule="auto"/>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要素</w:t>
            </w:r>
          </w:p>
        </w:tc>
        <w:tc>
          <w:tcPr>
            <w:tcW w:w="3420" w:type="dxa"/>
            <w:gridSpan w:val="2"/>
            <w:noWrap w:val="0"/>
            <w:vAlign w:val="center"/>
          </w:tcPr>
          <w:p w14:paraId="4D10C967">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b/>
                <w:color w:val="auto"/>
                <w:spacing w:val="0"/>
                <w:sz w:val="24"/>
                <w:szCs w:val="24"/>
              </w:rPr>
            </w:pPr>
            <w:r>
              <w:rPr>
                <w:rFonts w:hint="default" w:ascii="Times New Roman" w:hAnsi="Times New Roman" w:cs="Times New Roman"/>
                <w:b/>
                <w:color w:val="auto"/>
                <w:spacing w:val="0"/>
                <w:sz w:val="24"/>
                <w:szCs w:val="24"/>
              </w:rPr>
              <w:t>排放口</w:t>
            </w:r>
            <w:r>
              <w:rPr>
                <w:rFonts w:hint="eastAsia" w:cs="Times New Roman"/>
                <w:b/>
                <w:color w:val="auto"/>
                <w:spacing w:val="0"/>
                <w:sz w:val="24"/>
                <w:szCs w:val="24"/>
                <w:lang w:eastAsia="zh-CN"/>
              </w:rPr>
              <w:t>（</w:t>
            </w:r>
            <w:r>
              <w:rPr>
                <w:rFonts w:hint="default" w:ascii="Times New Roman" w:hAnsi="Times New Roman" w:cs="Times New Roman"/>
                <w:b/>
                <w:color w:val="auto"/>
                <w:spacing w:val="0"/>
                <w:sz w:val="24"/>
                <w:szCs w:val="24"/>
              </w:rPr>
              <w:t>编号、名称</w:t>
            </w:r>
            <w:r>
              <w:rPr>
                <w:rFonts w:hint="eastAsia" w:ascii="Times New Roman" w:hAnsi="Times New Roman" w:cs="Times New Roman"/>
                <w:b/>
                <w:color w:val="auto"/>
                <w:spacing w:val="0"/>
                <w:sz w:val="24"/>
                <w:szCs w:val="24"/>
                <w:lang w:eastAsia="zh-CN"/>
              </w:rPr>
              <w:t>）</w:t>
            </w:r>
            <w:r>
              <w:rPr>
                <w:rFonts w:hint="default" w:ascii="Times New Roman" w:hAnsi="Times New Roman" w:cs="Times New Roman"/>
                <w:b/>
                <w:color w:val="auto"/>
                <w:spacing w:val="0"/>
                <w:sz w:val="24"/>
                <w:szCs w:val="24"/>
              </w:rPr>
              <w:t>/污染源</w:t>
            </w:r>
          </w:p>
        </w:tc>
        <w:tc>
          <w:tcPr>
            <w:tcW w:w="2277" w:type="dxa"/>
            <w:noWrap w:val="0"/>
            <w:vAlign w:val="center"/>
          </w:tcPr>
          <w:p w14:paraId="5A850B93">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b/>
                <w:color w:val="auto"/>
                <w:spacing w:val="0"/>
                <w:sz w:val="24"/>
                <w:szCs w:val="24"/>
              </w:rPr>
            </w:pPr>
            <w:r>
              <w:rPr>
                <w:rFonts w:hint="default" w:ascii="Times New Roman" w:hAnsi="Times New Roman" w:cs="Times New Roman"/>
                <w:b/>
                <w:color w:val="auto"/>
                <w:spacing w:val="0"/>
                <w:sz w:val="24"/>
                <w:szCs w:val="24"/>
              </w:rPr>
              <w:t>污染物项目</w:t>
            </w:r>
          </w:p>
        </w:tc>
        <w:tc>
          <w:tcPr>
            <w:tcW w:w="5611" w:type="dxa"/>
            <w:noWrap w:val="0"/>
            <w:vAlign w:val="center"/>
          </w:tcPr>
          <w:p w14:paraId="598508BD">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b/>
                <w:color w:val="auto"/>
                <w:spacing w:val="0"/>
                <w:sz w:val="24"/>
                <w:szCs w:val="24"/>
              </w:rPr>
            </w:pPr>
            <w:r>
              <w:rPr>
                <w:rFonts w:hint="default" w:ascii="Times New Roman" w:hAnsi="Times New Roman" w:cs="Times New Roman"/>
                <w:b/>
                <w:color w:val="auto"/>
                <w:spacing w:val="0"/>
                <w:sz w:val="24"/>
                <w:szCs w:val="24"/>
              </w:rPr>
              <w:t>环境保护措施</w:t>
            </w:r>
          </w:p>
        </w:tc>
        <w:tc>
          <w:tcPr>
            <w:tcW w:w="2214" w:type="dxa"/>
            <w:noWrap w:val="0"/>
            <w:vAlign w:val="center"/>
          </w:tcPr>
          <w:p w14:paraId="71C784DD">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b/>
                <w:color w:val="auto"/>
                <w:spacing w:val="0"/>
                <w:sz w:val="24"/>
                <w:szCs w:val="24"/>
              </w:rPr>
            </w:pPr>
            <w:r>
              <w:rPr>
                <w:rFonts w:hint="default" w:ascii="Times New Roman" w:hAnsi="Times New Roman" w:cs="Times New Roman"/>
                <w:b/>
                <w:color w:val="auto"/>
                <w:spacing w:val="0"/>
                <w:sz w:val="24"/>
                <w:szCs w:val="24"/>
              </w:rPr>
              <w:t>执行标准</w:t>
            </w:r>
          </w:p>
        </w:tc>
      </w:tr>
      <w:tr w14:paraId="64F615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1" w:type="dxa"/>
            <w:vMerge w:val="restart"/>
            <w:noWrap w:val="0"/>
            <w:vAlign w:val="center"/>
          </w:tcPr>
          <w:p w14:paraId="2E3C911B">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大气环境</w:t>
            </w:r>
          </w:p>
        </w:tc>
        <w:tc>
          <w:tcPr>
            <w:tcW w:w="1176" w:type="dxa"/>
            <w:noWrap w:val="0"/>
            <w:vAlign w:val="center"/>
          </w:tcPr>
          <w:p w14:paraId="32A7B7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宋体" w:cs="Times New Roman"/>
                <w:color w:val="auto"/>
                <w:spacing w:val="0"/>
                <w:sz w:val="24"/>
                <w:szCs w:val="24"/>
                <w:lang w:val="en-US" w:eastAsia="zh-CN"/>
              </w:rPr>
            </w:pPr>
            <w:r>
              <w:rPr>
                <w:rFonts w:hint="eastAsia" w:ascii="Times New Roman" w:hAnsi="Times New Roman" w:eastAsia="宋体" w:cs="Times New Roman"/>
                <w:color w:val="auto"/>
                <w:spacing w:val="0"/>
                <w:sz w:val="24"/>
                <w:szCs w:val="24"/>
                <w:lang w:val="en-US" w:eastAsia="zh-CN"/>
              </w:rPr>
              <w:t>DA00</w:t>
            </w:r>
            <w:r>
              <w:rPr>
                <w:rFonts w:hint="eastAsia" w:cs="Times New Roman"/>
                <w:color w:val="auto"/>
                <w:spacing w:val="0"/>
                <w:sz w:val="24"/>
                <w:szCs w:val="24"/>
                <w:lang w:val="en-US" w:eastAsia="zh-CN"/>
              </w:rPr>
              <w:t>1（</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热解分选生产区</w:t>
            </w:r>
            <w:r>
              <w:rPr>
                <w:rFonts w:hint="eastAsia" w:ascii="Times New Roman" w:hAnsi="Times New Roman" w:eastAsia="宋体" w:cs="Times New Roman"/>
                <w:color w:val="auto"/>
                <w:spacing w:val="0"/>
                <w:sz w:val="24"/>
                <w:szCs w:val="24"/>
                <w:lang w:val="en-US" w:eastAsia="zh-CN"/>
              </w:rPr>
              <w:t>）</w:t>
            </w:r>
          </w:p>
        </w:tc>
        <w:tc>
          <w:tcPr>
            <w:tcW w:w="2244" w:type="dxa"/>
            <w:shd w:val="clear" w:color="auto" w:fill="auto"/>
            <w:noWrap w:val="0"/>
            <w:vAlign w:val="center"/>
          </w:tcPr>
          <w:p w14:paraId="7D646C11">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热解炉尾气、燃烧室不凝气燃烧废气、清洗炉燃烧烟气、烘干炉燃烧烟气、油罐呼吸气</w:t>
            </w:r>
          </w:p>
        </w:tc>
        <w:tc>
          <w:tcPr>
            <w:tcW w:w="2277" w:type="dxa"/>
            <w:noWrap w:val="0"/>
            <w:vAlign w:val="center"/>
          </w:tcPr>
          <w:p w14:paraId="4E0C98BA">
            <w:pPr>
              <w:pStyle w:val="49"/>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二氧化硫</w:t>
            </w:r>
            <w:r>
              <w:rPr>
                <w:rFonts w:hint="eastAsia" w:ascii="Times New Roman" w:hAnsi="Times New Roman" w:eastAsia="宋体" w:cs="Times New Roman"/>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氮氧化物</w:t>
            </w:r>
            <w:r>
              <w:rPr>
                <w:rFonts w:hint="eastAsia" w:cs="Times New Roman"/>
                <w:i w:val="0"/>
                <w:iCs w:val="0"/>
                <w:color w:val="000000"/>
                <w:sz w:val="24"/>
                <w:szCs w:val="24"/>
                <w:u w:val="none"/>
                <w:lang w:eastAsia="zh-CN"/>
              </w:rPr>
              <w:t>、</w:t>
            </w:r>
            <w:r>
              <w:rPr>
                <w:rFonts w:hint="default" w:ascii="Times New Roman" w:hAnsi="Times New Roman" w:eastAsia="宋体" w:cs="Times New Roman"/>
                <w:i w:val="0"/>
                <w:iCs w:val="0"/>
                <w:color w:val="000000"/>
                <w:kern w:val="0"/>
                <w:sz w:val="24"/>
                <w:szCs w:val="24"/>
                <w:u w:val="none"/>
                <w:lang w:val="en-US" w:eastAsia="zh-CN" w:bidi="ar"/>
              </w:rPr>
              <w:t>颗粒物（</w:t>
            </w:r>
            <w:r>
              <w:rPr>
                <w:rFonts w:hint="eastAsia" w:ascii="Times New Roman" w:hAnsi="Times New Roman" w:cs="Times New Roman"/>
                <w:i w:val="0"/>
                <w:iCs w:val="0"/>
                <w:color w:val="000000"/>
                <w:kern w:val="0"/>
                <w:sz w:val="24"/>
                <w:szCs w:val="24"/>
                <w:u w:val="none"/>
                <w:lang w:val="en-US" w:eastAsia="zh-CN" w:bidi="ar"/>
              </w:rPr>
              <w:t>含炭黑尘、铜、锡等</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cs="Times New Roman"/>
                <w:i w:val="0"/>
                <w:iCs w:val="0"/>
                <w:color w:val="000000"/>
                <w:sz w:val="24"/>
                <w:szCs w:val="24"/>
                <w:u w:val="none"/>
                <w:lang w:eastAsia="zh-CN"/>
              </w:rPr>
              <w:t>、</w:t>
            </w:r>
            <w:r>
              <w:rPr>
                <w:rFonts w:hint="default" w:ascii="Times New Roman" w:hAnsi="Times New Roman" w:eastAsia="宋体" w:cs="Times New Roman"/>
                <w:i w:val="0"/>
                <w:iCs w:val="0"/>
                <w:color w:val="000000"/>
                <w:kern w:val="0"/>
                <w:sz w:val="24"/>
                <w:szCs w:val="24"/>
                <w:u w:val="none"/>
                <w:lang w:val="en-US" w:eastAsia="zh-CN" w:bidi="ar"/>
              </w:rPr>
              <w:t>锡及其化合物</w:t>
            </w:r>
            <w:r>
              <w:rPr>
                <w:rFonts w:hint="eastAsia" w:cs="Times New Roman"/>
                <w:i w:val="0"/>
                <w:iCs w:val="0"/>
                <w:color w:val="000000"/>
                <w:sz w:val="24"/>
                <w:szCs w:val="24"/>
                <w:u w:val="none"/>
                <w:lang w:eastAsia="zh-CN"/>
              </w:rPr>
              <w:t>、</w:t>
            </w:r>
            <w:r>
              <w:rPr>
                <w:rFonts w:hint="eastAsia" w:ascii="宋体" w:hAnsi="宋体" w:cs="宋体"/>
                <w:i w:val="0"/>
                <w:iCs w:val="0"/>
                <w:color w:val="000000"/>
                <w:kern w:val="0"/>
                <w:sz w:val="24"/>
                <w:szCs w:val="24"/>
                <w:u w:val="none"/>
                <w:lang w:val="en-US" w:eastAsia="zh-CN" w:bidi="ar"/>
              </w:rPr>
              <w:t>铜及其化合物、</w:t>
            </w:r>
            <w:r>
              <w:rPr>
                <w:rFonts w:hint="default" w:ascii="Times New Roman" w:hAnsi="Times New Roman" w:eastAsia="宋体" w:cs="Times New Roman"/>
                <w:i w:val="0"/>
                <w:iCs w:val="0"/>
                <w:color w:val="000000"/>
                <w:kern w:val="0"/>
                <w:sz w:val="24"/>
                <w:szCs w:val="24"/>
                <w:u w:val="none"/>
                <w:lang w:val="en-US" w:eastAsia="zh-CN" w:bidi="ar"/>
              </w:rPr>
              <w:t>氟化物</w:t>
            </w:r>
            <w:r>
              <w:rPr>
                <w:rFonts w:hint="eastAsia" w:cs="Times New Roman"/>
                <w:i w:val="0"/>
                <w:iCs w:val="0"/>
                <w:color w:val="000000"/>
                <w:sz w:val="24"/>
                <w:szCs w:val="24"/>
                <w:u w:val="none"/>
                <w:lang w:eastAsia="zh-CN"/>
              </w:rPr>
              <w:t>、</w:t>
            </w:r>
            <w:r>
              <w:rPr>
                <w:rFonts w:hint="default" w:ascii="Times New Roman" w:hAnsi="Times New Roman" w:eastAsia="宋体" w:cs="Times New Roman"/>
                <w:i w:val="0"/>
                <w:iCs w:val="0"/>
                <w:color w:val="000000"/>
                <w:kern w:val="0"/>
                <w:sz w:val="24"/>
                <w:szCs w:val="24"/>
                <w:u w:val="none"/>
                <w:lang w:val="en-US" w:eastAsia="zh-CN" w:bidi="ar"/>
              </w:rPr>
              <w:t>非甲烷总烃</w:t>
            </w:r>
          </w:p>
        </w:tc>
        <w:tc>
          <w:tcPr>
            <w:tcW w:w="5611" w:type="dxa"/>
            <w:shd w:val="clear" w:color="auto" w:fill="auto"/>
            <w:noWrap w:val="0"/>
            <w:vAlign w:val="center"/>
          </w:tcPr>
          <w:p w14:paraId="3248E59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热解炉、燃气室、清洗炉和烘干炉均设置密闭管道，热解炉炉体出料口上方设置集气罩，油罐呼吸阀接密闭管道。热解炉尾气、燃烧室不凝气燃烧废气、清洗炉燃烧烟气、烘干炉燃烧烟气、油罐呼吸气经负压收集进入</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处理后通过一根</w:t>
            </w:r>
            <w:r>
              <w:rPr>
                <w:rFonts w:hint="default" w:ascii="Times New Roman" w:hAnsi="Times New Roman" w:eastAsia="宋体" w:cs="Times New Roman"/>
                <w:i w:val="0"/>
                <w:iCs w:val="0"/>
                <w:color w:val="000000"/>
                <w:kern w:val="0"/>
                <w:sz w:val="24"/>
                <w:szCs w:val="24"/>
                <w:u w:val="none"/>
                <w:lang w:val="en-US" w:eastAsia="zh-CN" w:bidi="ar"/>
              </w:rPr>
              <w:t>15m</w:t>
            </w:r>
            <w:r>
              <w:rPr>
                <w:rFonts w:hint="eastAsia" w:ascii="宋体" w:hAnsi="宋体" w:eastAsia="宋体" w:cs="宋体"/>
                <w:i w:val="0"/>
                <w:iCs w:val="0"/>
                <w:color w:val="000000"/>
                <w:kern w:val="0"/>
                <w:sz w:val="24"/>
                <w:szCs w:val="24"/>
                <w:u w:val="none"/>
                <w:lang w:val="en-US" w:eastAsia="zh-CN" w:bidi="ar"/>
              </w:rPr>
              <w:t>高排气筒</w:t>
            </w:r>
            <w:r>
              <w:rPr>
                <w:rFonts w:hint="default" w:ascii="Times New Roman" w:hAnsi="Times New Roman" w:eastAsia="宋体" w:cs="Times New Roman"/>
                <w:i w:val="0"/>
                <w:iCs w:val="0"/>
                <w:color w:val="000000"/>
                <w:kern w:val="0"/>
                <w:sz w:val="24"/>
                <w:szCs w:val="24"/>
                <w:u w:val="none"/>
                <w:lang w:val="en-US" w:eastAsia="zh-CN" w:bidi="ar"/>
              </w:rPr>
              <w:t>DA001</w:t>
            </w:r>
            <w:r>
              <w:rPr>
                <w:rFonts w:hint="eastAsia" w:ascii="宋体" w:hAnsi="宋体" w:eastAsia="宋体" w:cs="宋体"/>
                <w:i w:val="0"/>
                <w:iCs w:val="0"/>
                <w:color w:val="000000"/>
                <w:kern w:val="0"/>
                <w:sz w:val="24"/>
                <w:szCs w:val="24"/>
                <w:u w:val="none"/>
                <w:lang w:val="en-US" w:eastAsia="zh-CN" w:bidi="ar"/>
              </w:rPr>
              <w:t>排放。</w:t>
            </w:r>
          </w:p>
        </w:tc>
        <w:tc>
          <w:tcPr>
            <w:tcW w:w="2214" w:type="dxa"/>
            <w:vMerge w:val="restart"/>
            <w:noWrap w:val="0"/>
            <w:vAlign w:val="center"/>
          </w:tcPr>
          <w:p w14:paraId="4F309780">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cs="Times New Roman"/>
                <w:caps w:val="0"/>
                <w:smallCaps w:val="0"/>
                <w:color w:val="auto"/>
                <w:spacing w:val="0"/>
                <w:w w:val="100"/>
                <w:kern w:val="0"/>
                <w:position w:val="0"/>
                <w:sz w:val="24"/>
                <w:szCs w:val="24"/>
              </w:rPr>
            </w:pPr>
            <w:r>
              <w:rPr>
                <w:rFonts w:hint="eastAsia" w:ascii="宋体" w:hAnsi="宋体" w:eastAsia="宋体" w:cs="宋体"/>
                <w:i w:val="0"/>
                <w:iCs w:val="0"/>
                <w:color w:val="000000"/>
                <w:kern w:val="0"/>
                <w:sz w:val="24"/>
                <w:szCs w:val="24"/>
                <w:u w:val="none"/>
                <w:lang w:val="en-US" w:eastAsia="zh-CN" w:bidi="ar"/>
              </w:rPr>
              <w:t>《危险废物焚烧污染控制标准》（</w:t>
            </w:r>
            <w:r>
              <w:rPr>
                <w:rFonts w:hint="default" w:ascii="Times New Roman" w:hAnsi="Times New Roman" w:eastAsia="宋体" w:cs="Times New Roman"/>
                <w:i w:val="0"/>
                <w:iCs w:val="0"/>
                <w:color w:val="000000"/>
                <w:kern w:val="0"/>
                <w:sz w:val="24"/>
                <w:szCs w:val="24"/>
                <w:u w:val="none"/>
                <w:lang w:val="en-US" w:eastAsia="zh-CN" w:bidi="ar"/>
              </w:rPr>
              <w:t>GB18484-2020</w:t>
            </w:r>
            <w:r>
              <w:rPr>
                <w:rFonts w:hint="eastAsia" w:ascii="宋体" w:hAnsi="宋体" w:eastAsia="宋体" w:cs="宋体"/>
                <w:i w:val="0"/>
                <w:iCs w:val="0"/>
                <w:color w:val="000000"/>
                <w:kern w:val="0"/>
                <w:sz w:val="24"/>
                <w:szCs w:val="24"/>
                <w:u w:val="none"/>
                <w:lang w:val="en-US" w:eastAsia="zh-CN" w:bidi="ar"/>
              </w:rPr>
              <w:t>）、《大气污染物综合排放标准》（</w:t>
            </w:r>
            <w:r>
              <w:rPr>
                <w:rFonts w:hint="default" w:ascii="Times New Roman" w:hAnsi="Times New Roman" w:eastAsia="宋体" w:cs="Times New Roman"/>
                <w:i w:val="0"/>
                <w:iCs w:val="0"/>
                <w:color w:val="000000"/>
                <w:kern w:val="0"/>
                <w:sz w:val="24"/>
                <w:szCs w:val="24"/>
                <w:u w:val="none"/>
                <w:lang w:val="en-US" w:eastAsia="zh-CN" w:bidi="ar"/>
              </w:rPr>
              <w:t>GB16297-1996</w:t>
            </w:r>
            <w:r>
              <w:rPr>
                <w:rFonts w:hint="eastAsia" w:ascii="宋体" w:hAnsi="宋体" w:eastAsia="宋体" w:cs="宋体"/>
                <w:i w:val="0"/>
                <w:iCs w:val="0"/>
                <w:color w:val="000000"/>
                <w:kern w:val="0"/>
                <w:sz w:val="24"/>
                <w:szCs w:val="24"/>
                <w:u w:val="none"/>
                <w:lang w:val="en-US" w:eastAsia="zh-CN" w:bidi="ar"/>
              </w:rPr>
              <w:t>）</w:t>
            </w:r>
          </w:p>
        </w:tc>
      </w:tr>
      <w:tr w14:paraId="74E196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1" w:type="dxa"/>
            <w:vMerge w:val="continue"/>
            <w:noWrap w:val="0"/>
            <w:vAlign w:val="center"/>
          </w:tcPr>
          <w:p w14:paraId="5843D77F">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p>
        </w:tc>
        <w:tc>
          <w:tcPr>
            <w:tcW w:w="1176" w:type="dxa"/>
            <w:vMerge w:val="restart"/>
            <w:noWrap w:val="0"/>
            <w:vAlign w:val="center"/>
          </w:tcPr>
          <w:p w14:paraId="3D9E67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Times New Roman" w:hAnsi="Times New Roman" w:eastAsia="宋体" w:cs="Times New Roman"/>
                <w:color w:val="auto"/>
                <w:spacing w:val="0"/>
                <w:sz w:val="24"/>
                <w:szCs w:val="24"/>
                <w:lang w:val="en-US" w:eastAsia="zh-CN"/>
              </w:rPr>
            </w:pPr>
            <w:r>
              <w:rPr>
                <w:rFonts w:hint="eastAsia" w:ascii="Times New Roman" w:hAnsi="Times New Roman" w:eastAsia="宋体" w:cs="Times New Roman"/>
                <w:color w:val="auto"/>
                <w:spacing w:val="0"/>
                <w:sz w:val="24"/>
                <w:szCs w:val="24"/>
                <w:lang w:val="en-US" w:eastAsia="zh-CN"/>
              </w:rPr>
              <w:t>DA002</w:t>
            </w:r>
            <w:r>
              <w:rPr>
                <w:rFonts w:hint="eastAsia" w:cs="Times New Roman"/>
                <w:color w:val="auto"/>
                <w:spacing w:val="0"/>
                <w:sz w:val="24"/>
                <w:szCs w:val="24"/>
                <w:lang w:val="en-US" w:eastAsia="zh-CN"/>
              </w:rPr>
              <w:t>（</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热解分选生产区</w:t>
            </w:r>
            <w:r>
              <w:rPr>
                <w:rFonts w:hint="eastAsia" w:ascii="Times New Roman" w:hAnsi="Times New Roman" w:eastAsia="宋体" w:cs="Times New Roman"/>
                <w:color w:val="auto"/>
                <w:spacing w:val="0"/>
                <w:sz w:val="24"/>
                <w:szCs w:val="24"/>
                <w:lang w:val="en-US" w:eastAsia="zh-CN"/>
              </w:rPr>
              <w:t>）</w:t>
            </w:r>
          </w:p>
        </w:tc>
        <w:tc>
          <w:tcPr>
            <w:tcW w:w="2244" w:type="dxa"/>
            <w:shd w:val="clear" w:color="auto" w:fill="auto"/>
            <w:noWrap w:val="0"/>
            <w:vAlign w:val="center"/>
          </w:tcPr>
          <w:p w14:paraId="44CDEB0D">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进仓（</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9</w:t>
            </w:r>
            <w:r>
              <w:rPr>
                <w:rFonts w:hint="eastAsia" w:ascii="宋体" w:hAnsi="宋体" w:eastAsia="宋体" w:cs="宋体"/>
                <w:i w:val="0"/>
                <w:iCs w:val="0"/>
                <w:color w:val="000000"/>
                <w:kern w:val="0"/>
                <w:sz w:val="24"/>
                <w:szCs w:val="24"/>
                <w:u w:val="none"/>
                <w:lang w:val="en-US" w:eastAsia="zh-CN" w:bidi="ar"/>
              </w:rPr>
              <w:t>）粉尘、炉渣筛分粉尘、旋风分离粉尘、硅粉包装粉尘、风选粉尘</w:t>
            </w:r>
          </w:p>
        </w:tc>
        <w:tc>
          <w:tcPr>
            <w:tcW w:w="2277" w:type="dxa"/>
            <w:noWrap w:val="0"/>
            <w:vAlign w:val="center"/>
          </w:tcPr>
          <w:p w14:paraId="77987C2F">
            <w:pPr>
              <w:pStyle w:val="49"/>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eastAsia" w:ascii="Times New Roman" w:hAnsi="Times New Roman" w:cs="Times New Roman"/>
                <w:i w:val="0"/>
                <w:iCs w:val="0"/>
                <w:color w:val="auto"/>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颗粒物（含炭黑尘</w:t>
            </w:r>
            <w:r>
              <w:rPr>
                <w:rFonts w:hint="eastAsia" w:ascii="Times New Roman" w:hAnsi="Times New Roman" w:eastAsia="宋体" w:cs="Times New Roman"/>
                <w:i w:val="0"/>
                <w:iCs w:val="0"/>
                <w:color w:val="000000"/>
                <w:kern w:val="0"/>
                <w:sz w:val="24"/>
                <w:szCs w:val="24"/>
                <w:u w:val="none"/>
                <w:lang w:val="en-US" w:eastAsia="zh-CN" w:bidi="ar"/>
              </w:rPr>
              <w:t>）</w:t>
            </w:r>
          </w:p>
        </w:tc>
        <w:tc>
          <w:tcPr>
            <w:tcW w:w="5611" w:type="dxa"/>
            <w:shd w:val="clear" w:color="auto" w:fill="auto"/>
            <w:noWrap w:val="0"/>
            <w:vAlign w:val="center"/>
          </w:tcPr>
          <w:p w14:paraId="2E26194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筛分机、风选机、旋风分离器接密闭管道，储料仓进料口和传送带出料口上方、硅粉包装工位上方设置集气罩。粉尘经负压收集进入</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套</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布袋除尘器</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水喷淋塔</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处理后通过一根</w:t>
            </w:r>
            <w:r>
              <w:rPr>
                <w:rFonts w:hint="default" w:ascii="Times New Roman" w:hAnsi="Times New Roman" w:eastAsia="宋体" w:cs="Times New Roman"/>
                <w:i w:val="0"/>
                <w:iCs w:val="0"/>
                <w:color w:val="000000"/>
                <w:kern w:val="0"/>
                <w:sz w:val="24"/>
                <w:szCs w:val="24"/>
                <w:u w:val="none"/>
                <w:lang w:val="en-US" w:eastAsia="zh-CN" w:bidi="ar"/>
              </w:rPr>
              <w:t>15m</w:t>
            </w:r>
            <w:r>
              <w:rPr>
                <w:rFonts w:hint="eastAsia" w:ascii="宋体" w:hAnsi="宋体" w:eastAsia="宋体" w:cs="宋体"/>
                <w:i w:val="0"/>
                <w:iCs w:val="0"/>
                <w:color w:val="000000"/>
                <w:kern w:val="0"/>
                <w:sz w:val="24"/>
                <w:szCs w:val="24"/>
                <w:u w:val="none"/>
                <w:lang w:val="en-US" w:eastAsia="zh-CN" w:bidi="ar"/>
              </w:rPr>
              <w:t>高排气筒</w:t>
            </w:r>
            <w:r>
              <w:rPr>
                <w:rFonts w:hint="default" w:ascii="Times New Roman" w:hAnsi="Times New Roman" w:eastAsia="宋体" w:cs="Times New Roman"/>
                <w:i w:val="0"/>
                <w:iCs w:val="0"/>
                <w:color w:val="000000"/>
                <w:kern w:val="0"/>
                <w:sz w:val="24"/>
                <w:szCs w:val="24"/>
                <w:u w:val="none"/>
                <w:lang w:val="en-US" w:eastAsia="zh-CN" w:bidi="ar"/>
              </w:rPr>
              <w:t>DA002</w:t>
            </w:r>
            <w:r>
              <w:rPr>
                <w:rFonts w:hint="eastAsia" w:ascii="宋体" w:hAnsi="宋体" w:eastAsia="宋体" w:cs="宋体"/>
                <w:i w:val="0"/>
                <w:iCs w:val="0"/>
                <w:color w:val="000000"/>
                <w:kern w:val="0"/>
                <w:sz w:val="24"/>
                <w:szCs w:val="24"/>
                <w:u w:val="none"/>
                <w:lang w:val="en-US" w:eastAsia="zh-CN" w:bidi="ar"/>
              </w:rPr>
              <w:t>排放。</w:t>
            </w:r>
          </w:p>
        </w:tc>
        <w:tc>
          <w:tcPr>
            <w:tcW w:w="2214" w:type="dxa"/>
            <w:vMerge w:val="continue"/>
            <w:noWrap w:val="0"/>
            <w:vAlign w:val="center"/>
          </w:tcPr>
          <w:p w14:paraId="0D95ED0A">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Times New Roman" w:hAnsi="Times New Roman" w:eastAsia="宋体" w:cs="Times New Roman"/>
                <w:color w:val="auto"/>
                <w:sz w:val="24"/>
                <w:szCs w:val="24"/>
                <w:lang w:val="en-US" w:eastAsia="zh-CN"/>
              </w:rPr>
            </w:pPr>
          </w:p>
        </w:tc>
      </w:tr>
      <w:tr w14:paraId="1EB6B6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1" w:type="dxa"/>
            <w:vMerge w:val="continue"/>
            <w:noWrap w:val="0"/>
            <w:vAlign w:val="center"/>
          </w:tcPr>
          <w:p w14:paraId="4F030D81">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p>
        </w:tc>
        <w:tc>
          <w:tcPr>
            <w:tcW w:w="1176" w:type="dxa"/>
            <w:vMerge w:val="continue"/>
            <w:noWrap w:val="0"/>
            <w:vAlign w:val="center"/>
          </w:tcPr>
          <w:p w14:paraId="5997AAA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Times New Roman" w:hAnsi="Times New Roman" w:eastAsia="宋体" w:cs="Times New Roman"/>
                <w:color w:val="auto"/>
                <w:spacing w:val="0"/>
                <w:sz w:val="24"/>
                <w:szCs w:val="24"/>
                <w:lang w:val="en-US" w:eastAsia="zh-CN"/>
              </w:rPr>
            </w:pPr>
          </w:p>
        </w:tc>
        <w:tc>
          <w:tcPr>
            <w:tcW w:w="2244" w:type="dxa"/>
            <w:shd w:val="clear" w:color="auto" w:fill="auto"/>
            <w:noWrap w:val="0"/>
            <w:vAlign w:val="center"/>
          </w:tcPr>
          <w:p w14:paraId="746A148A">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进仓（</w:t>
            </w:r>
            <w:r>
              <w:rPr>
                <w:rFonts w:hint="default" w:ascii="Times New Roman" w:hAnsi="Times New Roman" w:eastAsia="宋体" w:cs="Times New Roman"/>
                <w:i w:val="0"/>
                <w:iCs w:val="0"/>
                <w:color w:val="000000"/>
                <w:kern w:val="0"/>
                <w:sz w:val="24"/>
                <w:szCs w:val="24"/>
                <w:u w:val="none"/>
                <w:lang w:val="en-US" w:eastAsia="zh-CN" w:bidi="ar"/>
              </w:rPr>
              <w:t>6</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12</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13</w:t>
            </w:r>
            <w:r>
              <w:rPr>
                <w:rFonts w:hint="eastAsia" w:ascii="宋体" w:hAnsi="宋体" w:eastAsia="宋体" w:cs="宋体"/>
                <w:i w:val="0"/>
                <w:iCs w:val="0"/>
                <w:color w:val="000000"/>
                <w:kern w:val="0"/>
                <w:sz w:val="24"/>
                <w:szCs w:val="24"/>
                <w:u w:val="none"/>
                <w:lang w:val="en-US" w:eastAsia="zh-CN" w:bidi="ar"/>
              </w:rPr>
              <w:t>）粉尘、玻璃筛分粉尘、玻璃粉包装粉尘</w:t>
            </w:r>
          </w:p>
        </w:tc>
        <w:tc>
          <w:tcPr>
            <w:tcW w:w="2277" w:type="dxa"/>
            <w:noWrap w:val="0"/>
            <w:vAlign w:val="center"/>
          </w:tcPr>
          <w:p w14:paraId="57077E89">
            <w:pPr>
              <w:pStyle w:val="49"/>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eastAsia" w:ascii="Times New Roman" w:hAnsi="Times New Roman" w:cs="Times New Roman"/>
                <w:i w:val="0"/>
                <w:iCs w:val="0"/>
                <w:color w:val="auto"/>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颗粒物（含炭黑尘</w:t>
            </w:r>
            <w:r>
              <w:rPr>
                <w:rFonts w:hint="eastAsia" w:ascii="Times New Roman" w:hAnsi="Times New Roman" w:eastAsia="宋体" w:cs="Times New Roman"/>
                <w:i w:val="0"/>
                <w:iCs w:val="0"/>
                <w:color w:val="000000"/>
                <w:kern w:val="0"/>
                <w:sz w:val="24"/>
                <w:szCs w:val="24"/>
                <w:u w:val="none"/>
                <w:lang w:val="en-US" w:eastAsia="zh-CN" w:bidi="ar"/>
              </w:rPr>
              <w:t>）</w:t>
            </w:r>
          </w:p>
        </w:tc>
        <w:tc>
          <w:tcPr>
            <w:tcW w:w="5611" w:type="dxa"/>
            <w:shd w:val="clear" w:color="auto" w:fill="auto"/>
            <w:noWrap w:val="0"/>
            <w:vAlign w:val="center"/>
          </w:tcPr>
          <w:p w14:paraId="39649CD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筛分机接密闭管道，储料仓进料口和传送带出料口上方、玻璃粉包装工位上方设置集气罩。粉尘经负压收集进入</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套</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布袋除尘器</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水喷淋塔</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处理后并入</w:t>
            </w:r>
            <w:r>
              <w:rPr>
                <w:rFonts w:hint="default" w:ascii="Times New Roman" w:hAnsi="Times New Roman" w:eastAsia="宋体" w:cs="Times New Roman"/>
                <w:i w:val="0"/>
                <w:iCs w:val="0"/>
                <w:color w:val="000000"/>
                <w:kern w:val="0"/>
                <w:sz w:val="24"/>
                <w:szCs w:val="24"/>
                <w:u w:val="none"/>
                <w:lang w:val="en-US" w:eastAsia="zh-CN" w:bidi="ar"/>
              </w:rPr>
              <w:t>15m</w:t>
            </w:r>
            <w:r>
              <w:rPr>
                <w:rFonts w:hint="eastAsia" w:ascii="宋体" w:hAnsi="宋体" w:eastAsia="宋体" w:cs="宋体"/>
                <w:i w:val="0"/>
                <w:iCs w:val="0"/>
                <w:color w:val="000000"/>
                <w:kern w:val="0"/>
                <w:sz w:val="24"/>
                <w:szCs w:val="24"/>
                <w:u w:val="none"/>
                <w:lang w:val="en-US" w:eastAsia="zh-CN" w:bidi="ar"/>
              </w:rPr>
              <w:t>高排气筒</w:t>
            </w:r>
            <w:r>
              <w:rPr>
                <w:rFonts w:hint="default" w:ascii="Times New Roman" w:hAnsi="Times New Roman" w:eastAsia="宋体" w:cs="Times New Roman"/>
                <w:i w:val="0"/>
                <w:iCs w:val="0"/>
                <w:color w:val="000000"/>
                <w:kern w:val="0"/>
                <w:sz w:val="24"/>
                <w:szCs w:val="24"/>
                <w:u w:val="none"/>
                <w:lang w:val="en-US" w:eastAsia="zh-CN" w:bidi="ar"/>
              </w:rPr>
              <w:t>DA002</w:t>
            </w:r>
            <w:r>
              <w:rPr>
                <w:rFonts w:hint="eastAsia" w:ascii="宋体" w:hAnsi="宋体" w:eastAsia="宋体" w:cs="宋体"/>
                <w:i w:val="0"/>
                <w:iCs w:val="0"/>
                <w:color w:val="000000"/>
                <w:kern w:val="0"/>
                <w:sz w:val="24"/>
                <w:szCs w:val="24"/>
                <w:u w:val="none"/>
                <w:lang w:val="en-US" w:eastAsia="zh-CN" w:bidi="ar"/>
              </w:rPr>
              <w:t>排放。</w:t>
            </w:r>
          </w:p>
        </w:tc>
        <w:tc>
          <w:tcPr>
            <w:tcW w:w="2214" w:type="dxa"/>
            <w:vMerge w:val="continue"/>
            <w:noWrap w:val="0"/>
            <w:vAlign w:val="center"/>
          </w:tcPr>
          <w:p w14:paraId="44648DAA">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Times New Roman" w:hAnsi="Times New Roman" w:eastAsia="宋体" w:cs="Times New Roman"/>
                <w:color w:val="auto"/>
                <w:sz w:val="24"/>
                <w:szCs w:val="24"/>
                <w:lang w:val="en-US" w:eastAsia="zh-CN"/>
              </w:rPr>
            </w:pPr>
          </w:p>
        </w:tc>
      </w:tr>
      <w:tr w14:paraId="5310A2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1" w:type="dxa"/>
            <w:vMerge w:val="continue"/>
            <w:noWrap w:val="0"/>
            <w:vAlign w:val="center"/>
          </w:tcPr>
          <w:p w14:paraId="15ED1E73">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p>
        </w:tc>
        <w:tc>
          <w:tcPr>
            <w:tcW w:w="1176" w:type="dxa"/>
            <w:shd w:val="clear" w:color="auto" w:fill="auto"/>
            <w:noWrap w:val="0"/>
            <w:vAlign w:val="center"/>
          </w:tcPr>
          <w:p w14:paraId="2E8C22D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Times New Roman" w:hAnsi="Times New Roman" w:eastAsia="宋体" w:cs="Times New Roman"/>
                <w:color w:val="auto"/>
                <w:spacing w:val="0"/>
                <w:kern w:val="2"/>
                <w:sz w:val="24"/>
                <w:szCs w:val="24"/>
                <w:lang w:val="en-US" w:eastAsia="zh-CN" w:bidi="ar-SA"/>
              </w:rPr>
            </w:pPr>
            <w:r>
              <w:rPr>
                <w:rFonts w:hint="eastAsia" w:cs="Times New Roman"/>
                <w:color w:val="auto"/>
                <w:spacing w:val="0"/>
                <w:sz w:val="24"/>
                <w:szCs w:val="24"/>
                <w:lang w:val="en-US" w:eastAsia="zh-CN"/>
              </w:rPr>
              <w:t>DA003（</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热解分选生产区</w:t>
            </w:r>
            <w:r>
              <w:rPr>
                <w:rFonts w:hint="eastAsia" w:ascii="Times New Roman" w:hAnsi="Times New Roman" w:eastAsia="宋体" w:cs="Times New Roman"/>
                <w:color w:val="auto"/>
                <w:spacing w:val="0"/>
                <w:sz w:val="24"/>
                <w:szCs w:val="24"/>
                <w:lang w:val="en-US" w:eastAsia="zh-CN"/>
              </w:rPr>
              <w:t>）</w:t>
            </w:r>
          </w:p>
        </w:tc>
        <w:tc>
          <w:tcPr>
            <w:tcW w:w="2244" w:type="dxa"/>
            <w:shd w:val="clear" w:color="auto" w:fill="auto"/>
            <w:noWrap w:val="0"/>
            <w:vAlign w:val="center"/>
          </w:tcPr>
          <w:p w14:paraId="0BAA639C">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热解炉尾气、燃烧室不凝气燃烧废气、清洗炉燃烧烟气、烘干炉燃烧烟气、油罐呼吸气</w:t>
            </w:r>
          </w:p>
        </w:tc>
        <w:tc>
          <w:tcPr>
            <w:tcW w:w="2277" w:type="dxa"/>
            <w:shd w:val="clear" w:color="auto" w:fill="auto"/>
            <w:noWrap w:val="0"/>
            <w:vAlign w:val="center"/>
          </w:tcPr>
          <w:p w14:paraId="519DB1EA">
            <w:pPr>
              <w:pStyle w:val="49"/>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eastAsia"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二氧化硫</w:t>
            </w:r>
            <w:r>
              <w:rPr>
                <w:rFonts w:hint="eastAsia" w:ascii="Times New Roman" w:hAnsi="Times New Roman" w:eastAsia="宋体" w:cs="Times New Roman"/>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氮氧化物</w:t>
            </w:r>
            <w:r>
              <w:rPr>
                <w:rFonts w:hint="eastAsia" w:cs="Times New Roman"/>
                <w:i w:val="0"/>
                <w:iCs w:val="0"/>
                <w:color w:val="000000"/>
                <w:sz w:val="24"/>
                <w:szCs w:val="24"/>
                <w:u w:val="none"/>
                <w:lang w:eastAsia="zh-CN"/>
              </w:rPr>
              <w:t>、</w:t>
            </w:r>
            <w:r>
              <w:rPr>
                <w:rFonts w:hint="default" w:ascii="Times New Roman" w:hAnsi="Times New Roman" w:eastAsia="宋体" w:cs="Times New Roman"/>
                <w:i w:val="0"/>
                <w:iCs w:val="0"/>
                <w:color w:val="000000"/>
                <w:kern w:val="0"/>
                <w:sz w:val="24"/>
                <w:szCs w:val="24"/>
                <w:u w:val="none"/>
                <w:lang w:val="en-US" w:eastAsia="zh-CN" w:bidi="ar"/>
              </w:rPr>
              <w:t>颗粒物（</w:t>
            </w:r>
            <w:r>
              <w:rPr>
                <w:rFonts w:hint="eastAsia" w:ascii="Times New Roman" w:hAnsi="Times New Roman" w:cs="Times New Roman"/>
                <w:i w:val="0"/>
                <w:iCs w:val="0"/>
                <w:color w:val="000000"/>
                <w:kern w:val="0"/>
                <w:sz w:val="24"/>
                <w:szCs w:val="24"/>
                <w:u w:val="none"/>
                <w:lang w:val="en-US" w:eastAsia="zh-CN" w:bidi="ar"/>
              </w:rPr>
              <w:t>含炭黑尘、铜、锡等</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cs="Times New Roman"/>
                <w:i w:val="0"/>
                <w:iCs w:val="0"/>
                <w:color w:val="000000"/>
                <w:sz w:val="24"/>
                <w:szCs w:val="24"/>
                <w:u w:val="none"/>
                <w:lang w:eastAsia="zh-CN"/>
              </w:rPr>
              <w:t>、</w:t>
            </w:r>
            <w:r>
              <w:rPr>
                <w:rFonts w:hint="default" w:ascii="Times New Roman" w:hAnsi="Times New Roman" w:eastAsia="宋体" w:cs="Times New Roman"/>
                <w:i w:val="0"/>
                <w:iCs w:val="0"/>
                <w:color w:val="000000"/>
                <w:kern w:val="0"/>
                <w:sz w:val="24"/>
                <w:szCs w:val="24"/>
                <w:u w:val="none"/>
                <w:lang w:val="en-US" w:eastAsia="zh-CN" w:bidi="ar"/>
              </w:rPr>
              <w:t>锡及其化合物</w:t>
            </w:r>
            <w:r>
              <w:rPr>
                <w:rFonts w:hint="eastAsia" w:cs="Times New Roman"/>
                <w:i w:val="0"/>
                <w:iCs w:val="0"/>
                <w:color w:val="000000"/>
                <w:sz w:val="24"/>
                <w:szCs w:val="24"/>
                <w:u w:val="none"/>
                <w:lang w:eastAsia="zh-CN"/>
              </w:rPr>
              <w:t>、</w:t>
            </w:r>
            <w:r>
              <w:rPr>
                <w:rFonts w:hint="eastAsia" w:ascii="宋体" w:hAnsi="宋体" w:cs="宋体"/>
                <w:i w:val="0"/>
                <w:iCs w:val="0"/>
                <w:color w:val="000000"/>
                <w:kern w:val="0"/>
                <w:sz w:val="24"/>
                <w:szCs w:val="24"/>
                <w:u w:val="none"/>
                <w:lang w:val="en-US" w:eastAsia="zh-CN" w:bidi="ar"/>
              </w:rPr>
              <w:t>铜及其化合物、</w:t>
            </w:r>
            <w:r>
              <w:rPr>
                <w:rFonts w:hint="default" w:ascii="Times New Roman" w:hAnsi="Times New Roman" w:eastAsia="宋体" w:cs="Times New Roman"/>
                <w:i w:val="0"/>
                <w:iCs w:val="0"/>
                <w:color w:val="000000"/>
                <w:kern w:val="0"/>
                <w:sz w:val="24"/>
                <w:szCs w:val="24"/>
                <w:u w:val="none"/>
                <w:lang w:val="en-US" w:eastAsia="zh-CN" w:bidi="ar"/>
              </w:rPr>
              <w:t>氟化物</w:t>
            </w:r>
            <w:r>
              <w:rPr>
                <w:rFonts w:hint="eastAsia" w:cs="Times New Roman"/>
                <w:i w:val="0"/>
                <w:iCs w:val="0"/>
                <w:color w:val="000000"/>
                <w:sz w:val="24"/>
                <w:szCs w:val="24"/>
                <w:u w:val="none"/>
                <w:lang w:eastAsia="zh-CN"/>
              </w:rPr>
              <w:t>、</w:t>
            </w:r>
            <w:r>
              <w:rPr>
                <w:rFonts w:hint="default" w:ascii="Times New Roman" w:hAnsi="Times New Roman" w:eastAsia="宋体" w:cs="Times New Roman"/>
                <w:i w:val="0"/>
                <w:iCs w:val="0"/>
                <w:color w:val="000000"/>
                <w:kern w:val="0"/>
                <w:sz w:val="24"/>
                <w:szCs w:val="24"/>
                <w:u w:val="none"/>
                <w:lang w:val="en-US" w:eastAsia="zh-CN" w:bidi="ar"/>
              </w:rPr>
              <w:t>非甲烷总烃</w:t>
            </w:r>
          </w:p>
        </w:tc>
        <w:tc>
          <w:tcPr>
            <w:tcW w:w="5611" w:type="dxa"/>
            <w:shd w:val="clear" w:color="auto" w:fill="auto"/>
            <w:noWrap w:val="0"/>
            <w:vAlign w:val="center"/>
          </w:tcPr>
          <w:p w14:paraId="434863B3">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热解炉、燃气室、清洗炉和烘干炉均设置密闭管道，热解炉炉体出料口上方设置集气罩，油罐呼吸阀接密闭管道。热解炉尾气、燃烧室不凝气燃烧废气、清洗炉燃烧烟气、烘干炉燃烧烟气、油罐呼吸气经负压收集进入</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碱喷淋塔+干式过滤器+覆膜布袋除尘器+二级活性炭吸附装置</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处理后通过一根</w:t>
            </w:r>
            <w:r>
              <w:rPr>
                <w:rFonts w:hint="default" w:ascii="Times New Roman" w:hAnsi="Times New Roman" w:eastAsia="宋体" w:cs="Times New Roman"/>
                <w:i w:val="0"/>
                <w:iCs w:val="0"/>
                <w:color w:val="000000"/>
                <w:kern w:val="0"/>
                <w:sz w:val="24"/>
                <w:szCs w:val="24"/>
                <w:u w:val="none"/>
                <w:lang w:val="en-US" w:eastAsia="zh-CN" w:bidi="ar"/>
              </w:rPr>
              <w:t>15m</w:t>
            </w:r>
            <w:r>
              <w:rPr>
                <w:rFonts w:hint="eastAsia" w:ascii="宋体" w:hAnsi="宋体" w:eastAsia="宋体" w:cs="宋体"/>
                <w:i w:val="0"/>
                <w:iCs w:val="0"/>
                <w:color w:val="000000"/>
                <w:kern w:val="0"/>
                <w:sz w:val="24"/>
                <w:szCs w:val="24"/>
                <w:u w:val="none"/>
                <w:lang w:val="en-US" w:eastAsia="zh-CN" w:bidi="ar"/>
              </w:rPr>
              <w:t>高排气筒</w:t>
            </w:r>
            <w:r>
              <w:rPr>
                <w:rFonts w:hint="default" w:ascii="Times New Roman" w:hAnsi="Times New Roman" w:eastAsia="宋体" w:cs="Times New Roman"/>
                <w:i w:val="0"/>
                <w:iCs w:val="0"/>
                <w:color w:val="000000"/>
                <w:kern w:val="0"/>
                <w:sz w:val="24"/>
                <w:szCs w:val="24"/>
                <w:u w:val="none"/>
                <w:lang w:val="en-US" w:eastAsia="zh-CN" w:bidi="ar"/>
              </w:rPr>
              <w:t>DA001</w:t>
            </w:r>
            <w:r>
              <w:rPr>
                <w:rFonts w:hint="eastAsia" w:ascii="宋体" w:hAnsi="宋体" w:eastAsia="宋体" w:cs="宋体"/>
                <w:i w:val="0"/>
                <w:iCs w:val="0"/>
                <w:color w:val="000000"/>
                <w:kern w:val="0"/>
                <w:sz w:val="24"/>
                <w:szCs w:val="24"/>
                <w:u w:val="none"/>
                <w:lang w:val="en-US" w:eastAsia="zh-CN" w:bidi="ar"/>
              </w:rPr>
              <w:t>排放。</w:t>
            </w:r>
          </w:p>
        </w:tc>
        <w:tc>
          <w:tcPr>
            <w:tcW w:w="2214" w:type="dxa"/>
            <w:vMerge w:val="continue"/>
            <w:noWrap w:val="0"/>
            <w:vAlign w:val="center"/>
          </w:tcPr>
          <w:p w14:paraId="28D7724D">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Times New Roman" w:hAnsi="Times New Roman" w:eastAsia="宋体" w:cs="Times New Roman"/>
                <w:color w:val="auto"/>
                <w:sz w:val="24"/>
                <w:szCs w:val="24"/>
                <w:lang w:val="en-US" w:eastAsia="zh-CN"/>
              </w:rPr>
            </w:pPr>
          </w:p>
        </w:tc>
      </w:tr>
      <w:tr w14:paraId="0D4531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1" w:type="dxa"/>
            <w:vMerge w:val="continue"/>
            <w:noWrap w:val="0"/>
            <w:vAlign w:val="center"/>
          </w:tcPr>
          <w:p w14:paraId="689BC876">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p>
        </w:tc>
        <w:tc>
          <w:tcPr>
            <w:tcW w:w="1176" w:type="dxa"/>
            <w:vMerge w:val="restart"/>
            <w:shd w:val="clear" w:color="auto" w:fill="auto"/>
            <w:noWrap w:val="0"/>
            <w:vAlign w:val="center"/>
          </w:tcPr>
          <w:p w14:paraId="3DC8C5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Times New Roman" w:hAnsi="Times New Roman" w:eastAsia="宋体" w:cs="Times New Roman"/>
                <w:color w:val="auto"/>
                <w:spacing w:val="0"/>
                <w:kern w:val="2"/>
                <w:sz w:val="24"/>
                <w:szCs w:val="24"/>
                <w:lang w:val="en-US" w:eastAsia="zh-CN" w:bidi="ar-SA"/>
              </w:rPr>
            </w:pPr>
            <w:r>
              <w:rPr>
                <w:rFonts w:hint="eastAsia" w:cs="Times New Roman"/>
                <w:color w:val="auto"/>
                <w:spacing w:val="0"/>
                <w:sz w:val="24"/>
                <w:szCs w:val="24"/>
                <w:lang w:val="en-US" w:eastAsia="zh-CN"/>
              </w:rPr>
              <w:t>DA004（</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热解分选生产区</w:t>
            </w:r>
            <w:r>
              <w:rPr>
                <w:rFonts w:hint="eastAsia" w:ascii="Times New Roman" w:hAnsi="Times New Roman" w:eastAsia="宋体" w:cs="Times New Roman"/>
                <w:color w:val="auto"/>
                <w:spacing w:val="0"/>
                <w:sz w:val="24"/>
                <w:szCs w:val="24"/>
                <w:lang w:val="en-US" w:eastAsia="zh-CN"/>
              </w:rPr>
              <w:t>）</w:t>
            </w:r>
          </w:p>
        </w:tc>
        <w:tc>
          <w:tcPr>
            <w:tcW w:w="2244" w:type="dxa"/>
            <w:shd w:val="clear" w:color="auto" w:fill="auto"/>
            <w:noWrap w:val="0"/>
            <w:vAlign w:val="center"/>
          </w:tcPr>
          <w:p w14:paraId="576A2EE5">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进仓（</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9</w:t>
            </w:r>
            <w:r>
              <w:rPr>
                <w:rFonts w:hint="eastAsia" w:ascii="宋体" w:hAnsi="宋体" w:eastAsia="宋体" w:cs="宋体"/>
                <w:i w:val="0"/>
                <w:iCs w:val="0"/>
                <w:color w:val="000000"/>
                <w:kern w:val="0"/>
                <w:sz w:val="24"/>
                <w:szCs w:val="24"/>
                <w:u w:val="none"/>
                <w:lang w:val="en-US" w:eastAsia="zh-CN" w:bidi="ar"/>
              </w:rPr>
              <w:t>）粉尘、炉渣筛分粉尘、旋风分离粉尘、硅粉包装粉尘、风选粉尘</w:t>
            </w:r>
          </w:p>
        </w:tc>
        <w:tc>
          <w:tcPr>
            <w:tcW w:w="2277" w:type="dxa"/>
            <w:shd w:val="clear" w:color="auto" w:fill="auto"/>
            <w:noWrap w:val="0"/>
            <w:vAlign w:val="center"/>
          </w:tcPr>
          <w:p w14:paraId="010F848C">
            <w:pPr>
              <w:pStyle w:val="49"/>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eastAsia" w:ascii="Times New Roman" w:hAnsi="Times New Roman" w:eastAsia="宋体" w:cs="Times New Roman"/>
                <w:i w:val="0"/>
                <w:iCs w:val="0"/>
                <w:color w:val="auto"/>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颗粒物（含炭黑尘</w:t>
            </w:r>
            <w:r>
              <w:rPr>
                <w:rFonts w:hint="eastAsia" w:ascii="Times New Roman" w:hAnsi="Times New Roman" w:eastAsia="宋体" w:cs="Times New Roman"/>
                <w:i w:val="0"/>
                <w:iCs w:val="0"/>
                <w:color w:val="000000"/>
                <w:kern w:val="0"/>
                <w:sz w:val="24"/>
                <w:szCs w:val="24"/>
                <w:u w:val="none"/>
                <w:lang w:val="en-US" w:eastAsia="zh-CN" w:bidi="ar"/>
              </w:rPr>
              <w:t>）</w:t>
            </w:r>
          </w:p>
        </w:tc>
        <w:tc>
          <w:tcPr>
            <w:tcW w:w="5611" w:type="dxa"/>
            <w:shd w:val="clear" w:color="auto" w:fill="auto"/>
            <w:noWrap w:val="0"/>
            <w:vAlign w:val="center"/>
          </w:tcPr>
          <w:p w14:paraId="3C59501B">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筛分机、风选机、旋风分离器接密闭管道，储料仓进料口和传送带出料口上方、硅粉包装工位上方设置集气罩。粉尘经负压收集进入</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套</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布袋除尘器</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水喷淋塔</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处理后通过一根</w:t>
            </w:r>
            <w:r>
              <w:rPr>
                <w:rFonts w:hint="default" w:ascii="Times New Roman" w:hAnsi="Times New Roman" w:eastAsia="宋体" w:cs="Times New Roman"/>
                <w:i w:val="0"/>
                <w:iCs w:val="0"/>
                <w:color w:val="000000"/>
                <w:kern w:val="0"/>
                <w:sz w:val="24"/>
                <w:szCs w:val="24"/>
                <w:u w:val="none"/>
                <w:lang w:val="en-US" w:eastAsia="zh-CN" w:bidi="ar"/>
              </w:rPr>
              <w:t>15m</w:t>
            </w:r>
            <w:r>
              <w:rPr>
                <w:rFonts w:hint="eastAsia" w:ascii="宋体" w:hAnsi="宋体" w:eastAsia="宋体" w:cs="宋体"/>
                <w:i w:val="0"/>
                <w:iCs w:val="0"/>
                <w:color w:val="000000"/>
                <w:kern w:val="0"/>
                <w:sz w:val="24"/>
                <w:szCs w:val="24"/>
                <w:u w:val="none"/>
                <w:lang w:val="en-US" w:eastAsia="zh-CN" w:bidi="ar"/>
              </w:rPr>
              <w:t>高排气筒</w:t>
            </w:r>
            <w:r>
              <w:rPr>
                <w:rFonts w:hint="default" w:ascii="Times New Roman" w:hAnsi="Times New Roman" w:eastAsia="宋体" w:cs="Times New Roman"/>
                <w:i w:val="0"/>
                <w:iCs w:val="0"/>
                <w:color w:val="000000"/>
                <w:kern w:val="0"/>
                <w:sz w:val="24"/>
                <w:szCs w:val="24"/>
                <w:u w:val="none"/>
                <w:lang w:val="en-US" w:eastAsia="zh-CN" w:bidi="ar"/>
              </w:rPr>
              <w:t>DA002</w:t>
            </w:r>
            <w:r>
              <w:rPr>
                <w:rFonts w:hint="eastAsia" w:ascii="宋体" w:hAnsi="宋体" w:eastAsia="宋体" w:cs="宋体"/>
                <w:i w:val="0"/>
                <w:iCs w:val="0"/>
                <w:color w:val="000000"/>
                <w:kern w:val="0"/>
                <w:sz w:val="24"/>
                <w:szCs w:val="24"/>
                <w:u w:val="none"/>
                <w:lang w:val="en-US" w:eastAsia="zh-CN" w:bidi="ar"/>
              </w:rPr>
              <w:t>排放。</w:t>
            </w:r>
          </w:p>
        </w:tc>
        <w:tc>
          <w:tcPr>
            <w:tcW w:w="2214" w:type="dxa"/>
            <w:vMerge w:val="continue"/>
            <w:noWrap w:val="0"/>
            <w:vAlign w:val="center"/>
          </w:tcPr>
          <w:p w14:paraId="32B64291">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Times New Roman" w:hAnsi="Times New Roman" w:eastAsia="宋体" w:cs="Times New Roman"/>
                <w:color w:val="auto"/>
                <w:sz w:val="24"/>
                <w:szCs w:val="24"/>
                <w:lang w:val="en-US" w:eastAsia="zh-CN"/>
              </w:rPr>
            </w:pPr>
          </w:p>
        </w:tc>
      </w:tr>
      <w:tr w14:paraId="4126B5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1" w:type="dxa"/>
            <w:vMerge w:val="continue"/>
            <w:noWrap w:val="0"/>
            <w:vAlign w:val="center"/>
          </w:tcPr>
          <w:p w14:paraId="5CF59CF3">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p>
        </w:tc>
        <w:tc>
          <w:tcPr>
            <w:tcW w:w="1176" w:type="dxa"/>
            <w:vMerge w:val="continue"/>
            <w:noWrap w:val="0"/>
            <w:vAlign w:val="center"/>
          </w:tcPr>
          <w:p w14:paraId="24B2DF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Times New Roman" w:hAnsi="Times New Roman" w:eastAsia="宋体" w:cs="Times New Roman"/>
                <w:color w:val="auto"/>
                <w:spacing w:val="0"/>
                <w:sz w:val="24"/>
                <w:szCs w:val="24"/>
                <w:lang w:val="en-US" w:eastAsia="zh-CN"/>
              </w:rPr>
            </w:pPr>
          </w:p>
        </w:tc>
        <w:tc>
          <w:tcPr>
            <w:tcW w:w="2244" w:type="dxa"/>
            <w:shd w:val="clear" w:color="auto" w:fill="auto"/>
            <w:noWrap w:val="0"/>
            <w:vAlign w:val="center"/>
          </w:tcPr>
          <w:p w14:paraId="01C5DDCA">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进仓（</w:t>
            </w:r>
            <w:r>
              <w:rPr>
                <w:rFonts w:hint="default" w:ascii="Times New Roman" w:hAnsi="Times New Roman" w:eastAsia="宋体" w:cs="Times New Roman"/>
                <w:i w:val="0"/>
                <w:iCs w:val="0"/>
                <w:color w:val="000000"/>
                <w:kern w:val="0"/>
                <w:sz w:val="24"/>
                <w:szCs w:val="24"/>
                <w:u w:val="none"/>
                <w:lang w:val="en-US" w:eastAsia="zh-CN" w:bidi="ar"/>
              </w:rPr>
              <w:t>6</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12</w:t>
            </w: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13</w:t>
            </w:r>
            <w:r>
              <w:rPr>
                <w:rFonts w:hint="eastAsia" w:ascii="宋体" w:hAnsi="宋体" w:eastAsia="宋体" w:cs="宋体"/>
                <w:i w:val="0"/>
                <w:iCs w:val="0"/>
                <w:color w:val="000000"/>
                <w:kern w:val="0"/>
                <w:sz w:val="24"/>
                <w:szCs w:val="24"/>
                <w:u w:val="none"/>
                <w:lang w:val="en-US" w:eastAsia="zh-CN" w:bidi="ar"/>
              </w:rPr>
              <w:t>）粉尘、玻璃筛分粉尘、玻璃粉包装粉尘</w:t>
            </w:r>
          </w:p>
        </w:tc>
        <w:tc>
          <w:tcPr>
            <w:tcW w:w="2277" w:type="dxa"/>
            <w:shd w:val="clear" w:color="auto" w:fill="auto"/>
            <w:noWrap w:val="0"/>
            <w:vAlign w:val="center"/>
          </w:tcPr>
          <w:p w14:paraId="2812B545">
            <w:pPr>
              <w:pStyle w:val="49"/>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eastAsia" w:ascii="Times New Roman" w:hAnsi="Times New Roman" w:eastAsia="宋体" w:cs="Times New Roman"/>
                <w:i w:val="0"/>
                <w:iCs w:val="0"/>
                <w:color w:val="auto"/>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颗粒物（含炭黑尘</w:t>
            </w:r>
            <w:r>
              <w:rPr>
                <w:rFonts w:hint="eastAsia" w:ascii="Times New Roman" w:hAnsi="Times New Roman" w:eastAsia="宋体" w:cs="Times New Roman"/>
                <w:i w:val="0"/>
                <w:iCs w:val="0"/>
                <w:color w:val="000000"/>
                <w:kern w:val="0"/>
                <w:sz w:val="24"/>
                <w:szCs w:val="24"/>
                <w:u w:val="none"/>
                <w:lang w:val="en-US" w:eastAsia="zh-CN" w:bidi="ar"/>
              </w:rPr>
              <w:t>）</w:t>
            </w:r>
          </w:p>
        </w:tc>
        <w:tc>
          <w:tcPr>
            <w:tcW w:w="5611" w:type="dxa"/>
            <w:shd w:val="clear" w:color="auto" w:fill="auto"/>
            <w:noWrap w:val="0"/>
            <w:vAlign w:val="center"/>
          </w:tcPr>
          <w:p w14:paraId="070AA4EA">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筛分机接密闭管道，储料仓进料口和传送带出料口上方、玻璃粉包装工位上方设置集气罩。粉尘经负压收集进入</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套</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布袋除尘器</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水喷淋塔</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处理后并入</w:t>
            </w:r>
            <w:r>
              <w:rPr>
                <w:rFonts w:hint="default" w:ascii="Times New Roman" w:hAnsi="Times New Roman" w:eastAsia="宋体" w:cs="Times New Roman"/>
                <w:i w:val="0"/>
                <w:iCs w:val="0"/>
                <w:color w:val="000000"/>
                <w:kern w:val="0"/>
                <w:sz w:val="24"/>
                <w:szCs w:val="24"/>
                <w:u w:val="none"/>
                <w:lang w:val="en-US" w:eastAsia="zh-CN" w:bidi="ar"/>
              </w:rPr>
              <w:t>15m</w:t>
            </w:r>
            <w:r>
              <w:rPr>
                <w:rFonts w:hint="eastAsia" w:ascii="宋体" w:hAnsi="宋体" w:eastAsia="宋体" w:cs="宋体"/>
                <w:i w:val="0"/>
                <w:iCs w:val="0"/>
                <w:color w:val="000000"/>
                <w:kern w:val="0"/>
                <w:sz w:val="24"/>
                <w:szCs w:val="24"/>
                <w:u w:val="none"/>
                <w:lang w:val="en-US" w:eastAsia="zh-CN" w:bidi="ar"/>
              </w:rPr>
              <w:t>高排气筒</w:t>
            </w:r>
            <w:r>
              <w:rPr>
                <w:rFonts w:hint="default" w:ascii="Times New Roman" w:hAnsi="Times New Roman" w:eastAsia="宋体" w:cs="Times New Roman"/>
                <w:i w:val="0"/>
                <w:iCs w:val="0"/>
                <w:color w:val="000000"/>
                <w:kern w:val="0"/>
                <w:sz w:val="24"/>
                <w:szCs w:val="24"/>
                <w:u w:val="none"/>
                <w:lang w:val="en-US" w:eastAsia="zh-CN" w:bidi="ar"/>
              </w:rPr>
              <w:t>DA002</w:t>
            </w:r>
            <w:r>
              <w:rPr>
                <w:rFonts w:hint="eastAsia" w:ascii="宋体" w:hAnsi="宋体" w:eastAsia="宋体" w:cs="宋体"/>
                <w:i w:val="0"/>
                <w:iCs w:val="0"/>
                <w:color w:val="000000"/>
                <w:kern w:val="0"/>
                <w:sz w:val="24"/>
                <w:szCs w:val="24"/>
                <w:u w:val="none"/>
                <w:lang w:val="en-US" w:eastAsia="zh-CN" w:bidi="ar"/>
              </w:rPr>
              <w:t>排放。</w:t>
            </w:r>
          </w:p>
        </w:tc>
        <w:tc>
          <w:tcPr>
            <w:tcW w:w="2214" w:type="dxa"/>
            <w:vMerge w:val="continue"/>
            <w:noWrap w:val="0"/>
            <w:vAlign w:val="center"/>
          </w:tcPr>
          <w:p w14:paraId="2B04E772">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Times New Roman" w:hAnsi="Times New Roman" w:eastAsia="宋体" w:cs="Times New Roman"/>
                <w:color w:val="auto"/>
                <w:sz w:val="24"/>
                <w:szCs w:val="24"/>
                <w:lang w:val="en-US" w:eastAsia="zh-CN"/>
              </w:rPr>
            </w:pPr>
          </w:p>
        </w:tc>
      </w:tr>
      <w:tr w14:paraId="1803E4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1371" w:type="dxa"/>
            <w:vMerge w:val="restart"/>
            <w:noWrap w:val="0"/>
            <w:vAlign w:val="center"/>
          </w:tcPr>
          <w:p w14:paraId="229CFEA3">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地表水环境</w:t>
            </w:r>
          </w:p>
        </w:tc>
        <w:tc>
          <w:tcPr>
            <w:tcW w:w="1176" w:type="dxa"/>
            <w:noWrap w:val="0"/>
            <w:vAlign w:val="center"/>
          </w:tcPr>
          <w:p w14:paraId="1F952660">
            <w:pPr>
              <w:keepNext w:val="0"/>
              <w:keepLines w:val="0"/>
              <w:widowControl/>
              <w:suppressLineNumbers w:val="0"/>
              <w:jc w:val="center"/>
              <w:textAlignment w:val="center"/>
              <w:rPr>
                <w:rFonts w:hint="default" w:ascii="Times New Roman" w:hAnsi="Times New Roman" w:cs="Times New Roman"/>
                <w:color w:val="auto"/>
                <w:spacing w:val="0"/>
                <w:kern w:val="2"/>
                <w:position w:val="0"/>
                <w:sz w:val="24"/>
                <w:szCs w:val="24"/>
                <w:lang w:val="en-US" w:eastAsia="zh-CN" w:bidi="ar-SA"/>
              </w:rPr>
            </w:pPr>
            <w:r>
              <w:rPr>
                <w:rFonts w:hint="eastAsia" w:cs="Times New Roman"/>
                <w:color w:val="auto"/>
                <w:spacing w:val="0"/>
                <w:kern w:val="2"/>
                <w:position w:val="0"/>
                <w:sz w:val="24"/>
                <w:szCs w:val="24"/>
                <w:lang w:val="en-US" w:eastAsia="zh-CN" w:bidi="ar-SA"/>
              </w:rPr>
              <w:t>DW001</w:t>
            </w:r>
          </w:p>
        </w:tc>
        <w:tc>
          <w:tcPr>
            <w:tcW w:w="2244" w:type="dxa"/>
            <w:noWrap w:val="0"/>
            <w:vAlign w:val="center"/>
          </w:tcPr>
          <w:p w14:paraId="4F30AC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1"/>
                <w:szCs w:val="21"/>
                <w:u w:val="none"/>
                <w:lang w:val="en-US" w:eastAsia="zh-CN" w:bidi="ar"/>
              </w:rPr>
              <w:t>生活污水、地面冲洗废水、喷淋塔定期排水</w:t>
            </w:r>
          </w:p>
        </w:tc>
        <w:tc>
          <w:tcPr>
            <w:tcW w:w="2277" w:type="dxa"/>
            <w:noWrap w:val="0"/>
            <w:vAlign w:val="center"/>
          </w:tcPr>
          <w:p w14:paraId="48D45C24">
            <w:pPr>
              <w:keepNext w:val="0"/>
              <w:keepLines w:val="0"/>
              <w:widowControl/>
              <w:suppressLineNumbers w:val="0"/>
              <w:jc w:val="center"/>
              <w:textAlignment w:val="center"/>
              <w:rPr>
                <w:rFonts w:hint="default" w:ascii="Times New Roman" w:hAnsi="Times New Roman" w:cs="Times New Roman"/>
                <w:color w:val="auto"/>
                <w:spacing w:val="0"/>
                <w:kern w:val="2"/>
                <w:position w:val="0"/>
                <w:sz w:val="24"/>
                <w:szCs w:val="24"/>
                <w:lang w:val="en-US" w:eastAsia="zh-CN" w:bidi="ar-SA"/>
              </w:rPr>
            </w:pPr>
            <w:r>
              <w:rPr>
                <w:rFonts w:hint="eastAsia" w:ascii="宋体" w:hAnsi="宋体" w:eastAsia="宋体" w:cs="宋体"/>
                <w:i w:val="0"/>
                <w:iCs w:val="0"/>
                <w:color w:val="000000"/>
                <w:kern w:val="0"/>
                <w:sz w:val="21"/>
                <w:szCs w:val="21"/>
                <w:u w:val="none"/>
                <w:lang w:val="en-US" w:eastAsia="zh-CN" w:bidi="ar"/>
              </w:rPr>
              <w:t>流量、</w:t>
            </w:r>
            <w:r>
              <w:rPr>
                <w:rFonts w:hint="default" w:ascii="Times New Roman" w:hAnsi="Times New Roman" w:eastAsia="宋体" w:cs="Times New Roman"/>
                <w:i w:val="0"/>
                <w:iCs w:val="0"/>
                <w:color w:val="000000"/>
                <w:kern w:val="0"/>
                <w:sz w:val="21"/>
                <w:szCs w:val="21"/>
                <w:u w:val="none"/>
                <w:lang w:val="en-US" w:eastAsia="zh-CN" w:bidi="ar"/>
              </w:rPr>
              <w:t>pH</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COD</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BOD</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SS</w:t>
            </w:r>
            <w:r>
              <w:rPr>
                <w:rFonts w:hint="eastAsia" w:ascii="宋体" w:hAnsi="宋体" w:eastAsia="宋体" w:cs="宋体"/>
                <w:i w:val="0"/>
                <w:iCs w:val="0"/>
                <w:color w:val="000000"/>
                <w:kern w:val="0"/>
                <w:sz w:val="21"/>
                <w:szCs w:val="21"/>
                <w:u w:val="none"/>
                <w:lang w:val="en-US" w:eastAsia="zh-CN" w:bidi="ar"/>
              </w:rPr>
              <w:t>、氨氮、</w:t>
            </w:r>
            <w:r>
              <w:rPr>
                <w:rFonts w:hint="default" w:ascii="Times New Roman" w:hAnsi="Times New Roman" w:eastAsia="宋体" w:cs="Times New Roman"/>
                <w:i w:val="0"/>
                <w:iCs w:val="0"/>
                <w:color w:val="000000"/>
                <w:kern w:val="0"/>
                <w:sz w:val="21"/>
                <w:szCs w:val="21"/>
                <w:u w:val="none"/>
                <w:lang w:val="en-US" w:eastAsia="zh-CN" w:bidi="ar"/>
              </w:rPr>
              <w:t>TP</w:t>
            </w:r>
            <w:r>
              <w:rPr>
                <w:rFonts w:hint="eastAsia" w:ascii="宋体" w:hAnsi="宋体" w:eastAsia="宋体" w:cs="宋体"/>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TN</w:t>
            </w:r>
            <w:r>
              <w:rPr>
                <w:rFonts w:hint="default"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氟化物</w:t>
            </w:r>
            <w:r>
              <w:rPr>
                <w:rFonts w:hint="default" w:ascii="Times New Roman" w:hAnsi="Times New Roman" w:cs="Times New Roman"/>
                <w:i w:val="0"/>
                <w:iCs w:val="0"/>
                <w:color w:val="000000"/>
                <w:kern w:val="0"/>
                <w:sz w:val="21"/>
                <w:szCs w:val="21"/>
                <w:u w:val="none"/>
                <w:lang w:val="en-US" w:eastAsia="zh-CN" w:bidi="ar"/>
              </w:rPr>
              <w:t>、TOC、色度</w:t>
            </w:r>
          </w:p>
        </w:tc>
        <w:tc>
          <w:tcPr>
            <w:tcW w:w="5611" w:type="dxa"/>
            <w:vMerge w:val="restart"/>
            <w:noWrap w:val="0"/>
            <w:vAlign w:val="center"/>
          </w:tcPr>
          <w:p w14:paraId="349B33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）项目碱洗废水、洗砂废水经车间沉淀池沉淀后回用，不外排；（</w:t>
            </w:r>
            <w:r>
              <w:rPr>
                <w:rFonts w:hint="default" w:ascii="Times New Roman" w:hAnsi="Times New Roman" w:eastAsia="宋体" w:cs="Times New Roman"/>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地面冲洗废水、喷淋塔定期排水经沉淀池处理后与化粪池收集的生活污水一同纳管排放</w:t>
            </w:r>
            <w:r>
              <w:rPr>
                <w:rFonts w:hint="eastAsia" w:ascii="宋体" w:hAnsi="宋体" w:eastAsia="宋体" w:cs="宋体"/>
                <w:i w:val="0"/>
                <w:iCs w:val="0"/>
                <w:color w:val="000000"/>
                <w:kern w:val="0"/>
                <w:sz w:val="24"/>
                <w:szCs w:val="24"/>
                <w:u w:val="none"/>
                <w:lang w:val="en-US" w:eastAsia="zh-CN" w:bidi="ar"/>
              </w:rPr>
              <w:t>。</w:t>
            </w:r>
          </w:p>
        </w:tc>
        <w:tc>
          <w:tcPr>
            <w:tcW w:w="2214" w:type="dxa"/>
            <w:vMerge w:val="restart"/>
            <w:noWrap w:val="0"/>
            <w:vAlign w:val="center"/>
          </w:tcPr>
          <w:p w14:paraId="0A5D444E">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aps w:val="0"/>
                <w:smallCaps w:val="0"/>
                <w:color w:val="auto"/>
                <w:spacing w:val="0"/>
                <w:w w:val="100"/>
                <w:position w:val="0"/>
                <w:sz w:val="24"/>
                <w:szCs w:val="24"/>
                <w:lang w:val="en-US" w:eastAsia="zh-CN"/>
              </w:rPr>
              <w:t>皖江江南新兴产业集中区第一污水处理厂</w:t>
            </w:r>
            <w:r>
              <w:rPr>
                <w:rFonts w:hint="eastAsia" w:cs="Times New Roman"/>
                <w:caps w:val="0"/>
                <w:smallCaps w:val="0"/>
                <w:color w:val="auto"/>
                <w:spacing w:val="0"/>
                <w:w w:val="100"/>
                <w:position w:val="0"/>
                <w:sz w:val="24"/>
                <w:szCs w:val="24"/>
                <w:lang w:val="en-US" w:eastAsia="zh-CN"/>
              </w:rPr>
              <w:t>接管限值</w:t>
            </w:r>
            <w:r>
              <w:rPr>
                <w:rFonts w:hint="eastAsia" w:ascii="Times New Roman" w:hAnsi="Times New Roman" w:eastAsia="宋体" w:cs="Times New Roman"/>
                <w:caps w:val="0"/>
                <w:smallCaps w:val="0"/>
                <w:color w:val="auto"/>
                <w:spacing w:val="0"/>
                <w:w w:val="100"/>
                <w:position w:val="0"/>
                <w:sz w:val="24"/>
                <w:szCs w:val="24"/>
                <w:lang w:val="en-US" w:eastAsia="zh-CN"/>
              </w:rPr>
              <w:t>及《污水综合排放标准》</w:t>
            </w:r>
            <w:r>
              <w:rPr>
                <w:rFonts w:hint="eastAsia" w:cs="Times New Roman"/>
                <w:caps w:val="0"/>
                <w:smallCaps w:val="0"/>
                <w:color w:val="auto"/>
                <w:spacing w:val="0"/>
                <w:w w:val="100"/>
                <w:position w:val="0"/>
                <w:sz w:val="24"/>
                <w:szCs w:val="24"/>
                <w:lang w:val="en-US" w:eastAsia="zh-CN"/>
              </w:rPr>
              <w:t>（</w:t>
            </w:r>
            <w:r>
              <w:rPr>
                <w:rFonts w:hint="eastAsia" w:ascii="Times New Roman" w:hAnsi="Times New Roman" w:eastAsia="宋体" w:cs="Times New Roman"/>
                <w:caps w:val="0"/>
                <w:smallCaps w:val="0"/>
                <w:color w:val="auto"/>
                <w:spacing w:val="0"/>
                <w:w w:val="100"/>
                <w:position w:val="0"/>
                <w:sz w:val="24"/>
                <w:szCs w:val="24"/>
                <w:lang w:val="en-US" w:eastAsia="zh-CN"/>
              </w:rPr>
              <w:t>GB8978-1996）表4中三级标准</w:t>
            </w:r>
          </w:p>
        </w:tc>
      </w:tr>
      <w:tr w14:paraId="326D8B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1371" w:type="dxa"/>
            <w:noWrap w:val="0"/>
            <w:vAlign w:val="center"/>
          </w:tcPr>
          <w:p w14:paraId="06F55CF0">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声环境</w:t>
            </w:r>
          </w:p>
        </w:tc>
        <w:tc>
          <w:tcPr>
            <w:tcW w:w="3420" w:type="dxa"/>
            <w:gridSpan w:val="2"/>
            <w:noWrap w:val="0"/>
            <w:vAlign w:val="center"/>
          </w:tcPr>
          <w:p w14:paraId="1E36CBB3">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生产设备</w:t>
            </w:r>
          </w:p>
        </w:tc>
        <w:tc>
          <w:tcPr>
            <w:tcW w:w="2277" w:type="dxa"/>
            <w:noWrap w:val="0"/>
            <w:vAlign w:val="center"/>
          </w:tcPr>
          <w:p w14:paraId="7D7002A6">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设备噪声</w:t>
            </w:r>
          </w:p>
        </w:tc>
        <w:tc>
          <w:tcPr>
            <w:tcW w:w="5611" w:type="dxa"/>
            <w:noWrap w:val="0"/>
            <w:vAlign w:val="center"/>
          </w:tcPr>
          <w:p w14:paraId="3000F407">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color w:val="auto"/>
                <w:spacing w:val="0"/>
                <w:sz w:val="24"/>
                <w:szCs w:val="24"/>
              </w:rPr>
            </w:pPr>
            <w:r>
              <w:rPr>
                <w:rFonts w:hint="default" w:ascii="Times New Roman" w:hAnsi="Times New Roman" w:eastAsia="宋体" w:cs="Times New Roman"/>
                <w:bCs/>
                <w:color w:val="auto"/>
                <w:spacing w:val="0"/>
                <w:position w:val="0"/>
                <w:sz w:val="24"/>
                <w:szCs w:val="24"/>
              </w:rPr>
              <w:t>生产设备采取厂房隔声、安装隔声罩、隔震、减震的措施</w:t>
            </w:r>
            <w:r>
              <w:rPr>
                <w:rFonts w:hint="eastAsia" w:cs="Times New Roman"/>
                <w:bCs/>
                <w:color w:val="auto"/>
                <w:spacing w:val="0"/>
                <w:position w:val="0"/>
                <w:sz w:val="24"/>
                <w:szCs w:val="24"/>
                <w:lang w:eastAsia="zh-CN"/>
              </w:rPr>
              <w:t>；</w:t>
            </w:r>
            <w:r>
              <w:rPr>
                <w:rFonts w:hint="default" w:ascii="Times New Roman" w:hAnsi="Times New Roman" w:eastAsia="宋体" w:cs="Times New Roman"/>
                <w:bCs/>
                <w:color w:val="auto"/>
                <w:spacing w:val="0"/>
                <w:position w:val="0"/>
                <w:sz w:val="24"/>
                <w:szCs w:val="24"/>
              </w:rPr>
              <w:t>对空压机采取减震和安装消声器的措施</w:t>
            </w:r>
            <w:r>
              <w:rPr>
                <w:rFonts w:hint="eastAsia" w:cs="Times New Roman"/>
                <w:bCs/>
                <w:color w:val="auto"/>
                <w:spacing w:val="0"/>
                <w:position w:val="0"/>
                <w:sz w:val="24"/>
                <w:szCs w:val="24"/>
                <w:lang w:eastAsia="zh-CN"/>
              </w:rPr>
              <w:t>；</w:t>
            </w:r>
            <w:r>
              <w:rPr>
                <w:rFonts w:hint="default" w:ascii="Times New Roman" w:hAnsi="Times New Roman" w:eastAsia="宋体" w:cs="Times New Roman"/>
                <w:bCs/>
                <w:color w:val="auto"/>
                <w:spacing w:val="0"/>
                <w:position w:val="0"/>
                <w:sz w:val="24"/>
                <w:szCs w:val="24"/>
              </w:rPr>
              <w:t>对风机安装消声器。</w:t>
            </w:r>
          </w:p>
        </w:tc>
        <w:tc>
          <w:tcPr>
            <w:tcW w:w="2214" w:type="dxa"/>
            <w:noWrap w:val="0"/>
            <w:vAlign w:val="center"/>
          </w:tcPr>
          <w:p w14:paraId="0DCE156F">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厂界噪声执行《工业企业厂界环境噪声排放标准》</w:t>
            </w:r>
            <w:r>
              <w:rPr>
                <w:rFonts w:hint="eastAsia" w:cs="Times New Roman"/>
                <w:color w:val="auto"/>
                <w:spacing w:val="0"/>
                <w:sz w:val="24"/>
                <w:szCs w:val="24"/>
                <w:lang w:eastAsia="zh-CN"/>
              </w:rPr>
              <w:t>（</w:t>
            </w:r>
            <w:r>
              <w:rPr>
                <w:rFonts w:hint="default" w:ascii="Times New Roman" w:hAnsi="Times New Roman" w:cs="Times New Roman"/>
                <w:color w:val="auto"/>
                <w:spacing w:val="0"/>
                <w:sz w:val="24"/>
                <w:szCs w:val="24"/>
              </w:rPr>
              <w:t>GB12348-2008</w:t>
            </w:r>
            <w:r>
              <w:rPr>
                <w:rFonts w:hint="eastAsia"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中</w:t>
            </w:r>
            <w:r>
              <w:rPr>
                <w:rFonts w:hint="eastAsia" w:cs="Times New Roman"/>
                <w:color w:val="auto"/>
                <w:spacing w:val="0"/>
                <w:sz w:val="24"/>
                <w:szCs w:val="24"/>
                <w:lang w:val="en-US" w:eastAsia="zh-CN"/>
              </w:rPr>
              <w:t>3</w:t>
            </w:r>
            <w:r>
              <w:rPr>
                <w:rFonts w:hint="default" w:ascii="Times New Roman" w:hAnsi="Times New Roman" w:cs="Times New Roman"/>
                <w:color w:val="auto"/>
                <w:spacing w:val="0"/>
                <w:sz w:val="24"/>
                <w:szCs w:val="24"/>
              </w:rPr>
              <w:fldChar w:fldCharType="begin"/>
            </w:r>
            <w:r>
              <w:rPr>
                <w:rFonts w:hint="default" w:ascii="Times New Roman" w:hAnsi="Times New Roman" w:cs="Times New Roman"/>
                <w:color w:val="auto"/>
                <w:spacing w:val="0"/>
                <w:sz w:val="24"/>
                <w:szCs w:val="24"/>
              </w:rPr>
              <w:instrText xml:space="preserve"> = 3 \* ROMAN </w:instrText>
            </w:r>
            <w:r>
              <w:rPr>
                <w:rFonts w:hint="default" w:ascii="Times New Roman" w:hAnsi="Times New Roman" w:cs="Times New Roman"/>
                <w:color w:val="auto"/>
                <w:spacing w:val="0"/>
                <w:sz w:val="24"/>
                <w:szCs w:val="24"/>
              </w:rPr>
              <w:fldChar w:fldCharType="separate"/>
            </w:r>
            <w:r>
              <w:rPr>
                <w:rFonts w:hint="default" w:ascii="Times New Roman" w:hAnsi="Times New Roman" w:cs="Times New Roman"/>
                <w:color w:val="auto"/>
                <w:spacing w:val="0"/>
                <w:sz w:val="24"/>
                <w:szCs w:val="24"/>
              </w:rPr>
              <w:fldChar w:fldCharType="end"/>
            </w:r>
            <w:r>
              <w:rPr>
                <w:rFonts w:hint="eastAsia" w:ascii="Times New Roman" w:hAnsi="Times New Roman" w:cs="Times New Roman"/>
                <w:color w:val="auto"/>
                <w:spacing w:val="0"/>
                <w:sz w:val="24"/>
                <w:szCs w:val="24"/>
                <w:lang w:val="en-US" w:eastAsia="zh-CN"/>
              </w:rPr>
              <w:t>类</w:t>
            </w:r>
            <w:r>
              <w:rPr>
                <w:rFonts w:hint="default" w:ascii="Times New Roman" w:hAnsi="Times New Roman" w:cs="Times New Roman"/>
                <w:color w:val="auto"/>
                <w:spacing w:val="0"/>
                <w:sz w:val="24"/>
                <w:szCs w:val="24"/>
              </w:rPr>
              <w:t>标准。</w:t>
            </w:r>
          </w:p>
        </w:tc>
      </w:tr>
      <w:tr w14:paraId="1B795F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1" w:type="dxa"/>
            <w:noWrap w:val="0"/>
            <w:vAlign w:val="center"/>
          </w:tcPr>
          <w:p w14:paraId="0705C952">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电磁辐射</w:t>
            </w:r>
          </w:p>
        </w:tc>
        <w:tc>
          <w:tcPr>
            <w:tcW w:w="3420" w:type="dxa"/>
            <w:gridSpan w:val="2"/>
            <w:noWrap w:val="0"/>
            <w:vAlign w:val="center"/>
          </w:tcPr>
          <w:p w14:paraId="36DF4FA3">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w:t>
            </w:r>
          </w:p>
        </w:tc>
        <w:tc>
          <w:tcPr>
            <w:tcW w:w="2277" w:type="dxa"/>
            <w:noWrap w:val="0"/>
            <w:vAlign w:val="center"/>
          </w:tcPr>
          <w:p w14:paraId="6E893348">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w:t>
            </w:r>
          </w:p>
        </w:tc>
        <w:tc>
          <w:tcPr>
            <w:tcW w:w="5611" w:type="dxa"/>
            <w:noWrap w:val="0"/>
            <w:vAlign w:val="center"/>
          </w:tcPr>
          <w:p w14:paraId="19050261">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w:t>
            </w:r>
          </w:p>
        </w:tc>
        <w:tc>
          <w:tcPr>
            <w:tcW w:w="2214" w:type="dxa"/>
            <w:noWrap w:val="0"/>
            <w:vAlign w:val="center"/>
          </w:tcPr>
          <w:p w14:paraId="49CBB9BC">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w:t>
            </w:r>
          </w:p>
        </w:tc>
      </w:tr>
      <w:tr w14:paraId="007B36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371" w:type="dxa"/>
            <w:noWrap w:val="0"/>
            <w:vAlign w:val="center"/>
          </w:tcPr>
          <w:p w14:paraId="592C6D41">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固体</w:t>
            </w:r>
          </w:p>
          <w:p w14:paraId="6F9E6813">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废物</w:t>
            </w:r>
          </w:p>
        </w:tc>
        <w:tc>
          <w:tcPr>
            <w:tcW w:w="13522" w:type="dxa"/>
            <w:gridSpan w:val="5"/>
            <w:noWrap w:val="0"/>
            <w:vAlign w:val="center"/>
          </w:tcPr>
          <w:p w14:paraId="1ECD8BA7">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default" w:ascii="Times New Roman" w:hAnsi="Times New Roman" w:eastAsia="宋体" w:cs="Times New Roman"/>
                <w:color w:val="auto"/>
                <w:spacing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项目沉淀池泥渣暂存污泥池外售综合利用；废布袋、除尘器收尘收集后暂存固废库，外售综合利用；废化学原料包装材料、废活性炭、废润滑油、废液压油、废油桶、含油废手套等分类收集暂存危废库，委托有资质单位回收处理；生活垃圾委托环卫部门定期清运。</w:t>
            </w:r>
          </w:p>
        </w:tc>
      </w:tr>
      <w:tr w14:paraId="609495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1371" w:type="dxa"/>
            <w:noWrap w:val="0"/>
            <w:vAlign w:val="center"/>
          </w:tcPr>
          <w:p w14:paraId="0B8F0284">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土壤及地下水污染防治措施</w:t>
            </w:r>
          </w:p>
        </w:tc>
        <w:tc>
          <w:tcPr>
            <w:tcW w:w="13522" w:type="dxa"/>
            <w:gridSpan w:val="5"/>
            <w:noWrap w:val="0"/>
            <w:vAlign w:val="center"/>
          </w:tcPr>
          <w:p w14:paraId="64C4CAFD">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default" w:ascii="Times New Roman" w:hAnsi="Times New Roman" w:eastAsia="宋体" w:cs="Times New Roman"/>
                <w:color w:val="auto"/>
                <w:spacing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对</w:t>
            </w:r>
            <w:r>
              <w:rPr>
                <w:rFonts w:hint="eastAsia" w:ascii="宋体" w:hAnsi="宋体" w:cs="宋体"/>
                <w:i w:val="0"/>
                <w:iCs w:val="0"/>
                <w:color w:val="000000"/>
                <w:kern w:val="0"/>
                <w:sz w:val="24"/>
                <w:szCs w:val="24"/>
                <w:u w:val="none"/>
                <w:lang w:val="en-US" w:eastAsia="zh-CN" w:bidi="ar"/>
              </w:rPr>
              <w:t>危废库、片碱库</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污水处理池</w:t>
            </w:r>
            <w:r>
              <w:rPr>
                <w:rFonts w:hint="eastAsia" w:ascii="宋体" w:hAnsi="宋体" w:eastAsia="宋体" w:cs="宋体"/>
                <w:i w:val="0"/>
                <w:iCs w:val="0"/>
                <w:color w:val="000000"/>
                <w:kern w:val="0"/>
                <w:sz w:val="24"/>
                <w:szCs w:val="24"/>
                <w:u w:val="none"/>
                <w:lang w:val="en-US" w:eastAsia="zh-CN" w:bidi="ar"/>
              </w:rPr>
              <w:t>、车间沉淀池、事故应急池设置重点防渗，办公休息区设置简单防渗，重点防渗区和简单防渗区以外区域设置一般防渗。</w:t>
            </w:r>
          </w:p>
        </w:tc>
      </w:tr>
      <w:tr w14:paraId="2C6A1F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1371" w:type="dxa"/>
            <w:noWrap w:val="0"/>
            <w:vAlign w:val="center"/>
          </w:tcPr>
          <w:p w14:paraId="340E8E93">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生态保护措施</w:t>
            </w:r>
          </w:p>
        </w:tc>
        <w:tc>
          <w:tcPr>
            <w:tcW w:w="13522" w:type="dxa"/>
            <w:gridSpan w:val="5"/>
            <w:noWrap w:val="0"/>
            <w:vAlign w:val="center"/>
          </w:tcPr>
          <w:p w14:paraId="58DB3655">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default" w:ascii="Times New Roman" w:hAnsi="Times New Roman" w:eastAsia="宋体" w:cs="Times New Roman"/>
                <w:color w:val="auto"/>
                <w:spacing w:val="0"/>
                <w:sz w:val="24"/>
                <w:szCs w:val="24"/>
                <w:lang w:val="en-US" w:eastAsia="zh-CN"/>
              </w:rPr>
            </w:pPr>
            <w:r>
              <w:rPr>
                <w:rFonts w:hint="eastAsia" w:ascii="Times New Roman" w:hAnsi="Times New Roman" w:eastAsia="宋体" w:cs="Times New Roman"/>
                <w:color w:val="auto"/>
                <w:spacing w:val="0"/>
                <w:sz w:val="24"/>
                <w:szCs w:val="24"/>
                <w:lang w:val="en-US" w:eastAsia="zh-CN"/>
              </w:rPr>
              <w:t>项目周边处于人类活动频繁区，无原始植被生长和珍贵野生动物活动，区域生态系统敏感程度较低，项目用地范围内不涉及生态环境保护目标，不需开展生态影响评价。</w:t>
            </w:r>
          </w:p>
        </w:tc>
      </w:tr>
      <w:tr w14:paraId="23F84F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371" w:type="dxa"/>
            <w:noWrap w:val="0"/>
            <w:vAlign w:val="center"/>
          </w:tcPr>
          <w:p w14:paraId="7B933096">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环境风险防范措施</w:t>
            </w:r>
          </w:p>
        </w:tc>
        <w:tc>
          <w:tcPr>
            <w:tcW w:w="13522" w:type="dxa"/>
            <w:gridSpan w:val="5"/>
            <w:noWrap w:val="0"/>
            <w:vAlign w:val="center"/>
          </w:tcPr>
          <w:p w14:paraId="5E41CDD5">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default" w:ascii="Times New Roman" w:hAnsi="Times New Roman" w:eastAsia="宋体" w:cs="Times New Roman"/>
                <w:color w:val="auto"/>
                <w:spacing w:val="0"/>
                <w:sz w:val="24"/>
                <w:szCs w:val="24"/>
                <w:lang w:val="en-US" w:eastAsia="zh-CN"/>
              </w:rPr>
            </w:pPr>
            <w:r>
              <w:rPr>
                <w:rFonts w:hint="eastAsia" w:cs="Times New Roman"/>
                <w:color w:val="auto"/>
                <w:spacing w:val="0"/>
                <w:sz w:val="24"/>
                <w:szCs w:val="24"/>
                <w:lang w:val="en-US" w:eastAsia="zh-CN"/>
              </w:rPr>
              <w:t>（</w:t>
            </w:r>
            <w:r>
              <w:rPr>
                <w:rFonts w:hint="default" w:ascii="Times New Roman" w:hAnsi="Times New Roman" w:eastAsia="宋体" w:cs="Times New Roman"/>
                <w:color w:val="auto"/>
                <w:spacing w:val="0"/>
                <w:sz w:val="24"/>
                <w:szCs w:val="24"/>
                <w:lang w:val="en-US" w:eastAsia="zh-CN"/>
              </w:rPr>
              <w:t>1）合理布局，建筑设计满足防火要求</w:t>
            </w:r>
            <w:r>
              <w:rPr>
                <w:rFonts w:hint="eastAsia" w:cs="Times New Roman"/>
                <w:color w:val="auto"/>
                <w:spacing w:val="0"/>
                <w:sz w:val="24"/>
                <w:szCs w:val="24"/>
                <w:lang w:val="en-US" w:eastAsia="zh-CN"/>
              </w:rPr>
              <w:t>；</w:t>
            </w:r>
          </w:p>
          <w:p w14:paraId="6168242A">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default" w:ascii="Times New Roman" w:hAnsi="Times New Roman" w:eastAsia="宋体" w:cs="Times New Roman"/>
                <w:color w:val="auto"/>
                <w:spacing w:val="0"/>
                <w:sz w:val="24"/>
                <w:szCs w:val="24"/>
                <w:lang w:val="en-US" w:eastAsia="zh-CN"/>
              </w:rPr>
            </w:pPr>
            <w:r>
              <w:rPr>
                <w:rFonts w:hint="eastAsia" w:cs="Times New Roman"/>
                <w:color w:val="auto"/>
                <w:spacing w:val="0"/>
                <w:sz w:val="24"/>
                <w:szCs w:val="24"/>
                <w:lang w:val="en-US" w:eastAsia="zh-CN"/>
              </w:rPr>
              <w:t>（</w:t>
            </w:r>
            <w:r>
              <w:rPr>
                <w:rFonts w:hint="default" w:ascii="Times New Roman" w:hAnsi="Times New Roman" w:eastAsia="宋体" w:cs="Times New Roman"/>
                <w:color w:val="auto"/>
                <w:spacing w:val="0"/>
                <w:sz w:val="24"/>
                <w:szCs w:val="24"/>
                <w:lang w:val="en-US" w:eastAsia="zh-CN"/>
              </w:rPr>
              <w:t>2）定期检修废气、废水处理系统，杜绝事故性废气、废水排放</w:t>
            </w:r>
            <w:r>
              <w:rPr>
                <w:rFonts w:hint="eastAsia" w:cs="Times New Roman"/>
                <w:color w:val="auto"/>
                <w:spacing w:val="0"/>
                <w:sz w:val="24"/>
                <w:szCs w:val="24"/>
                <w:lang w:val="en-US" w:eastAsia="zh-CN"/>
              </w:rPr>
              <w:t>；</w:t>
            </w:r>
          </w:p>
          <w:p w14:paraId="45D21AAA">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default" w:ascii="Times New Roman" w:hAnsi="Times New Roman" w:eastAsia="宋体" w:cs="Times New Roman"/>
                <w:color w:val="auto"/>
                <w:spacing w:val="0"/>
                <w:sz w:val="24"/>
                <w:szCs w:val="24"/>
                <w:lang w:val="en-US" w:eastAsia="zh-CN"/>
              </w:rPr>
            </w:pPr>
            <w:r>
              <w:rPr>
                <w:rFonts w:hint="eastAsia" w:cs="Times New Roman"/>
                <w:color w:val="auto"/>
                <w:spacing w:val="0"/>
                <w:sz w:val="24"/>
                <w:szCs w:val="24"/>
                <w:lang w:val="en-US" w:eastAsia="zh-CN"/>
              </w:rPr>
              <w:t>（</w:t>
            </w:r>
            <w:r>
              <w:rPr>
                <w:rFonts w:hint="default" w:ascii="Times New Roman" w:hAnsi="Times New Roman" w:eastAsia="宋体" w:cs="Times New Roman"/>
                <w:color w:val="auto"/>
                <w:spacing w:val="0"/>
                <w:sz w:val="24"/>
                <w:szCs w:val="24"/>
                <w:lang w:val="en-US" w:eastAsia="zh-CN"/>
              </w:rPr>
              <w:t>3）严格落实分区防渗措施</w:t>
            </w:r>
            <w:r>
              <w:rPr>
                <w:rFonts w:hint="eastAsia" w:cs="Times New Roman"/>
                <w:color w:val="auto"/>
                <w:spacing w:val="0"/>
                <w:sz w:val="24"/>
                <w:szCs w:val="24"/>
                <w:lang w:val="en-US" w:eastAsia="zh-CN"/>
              </w:rPr>
              <w:t>；</w:t>
            </w:r>
          </w:p>
          <w:p w14:paraId="08147792">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default" w:ascii="Times New Roman" w:hAnsi="Times New Roman" w:eastAsia="宋体" w:cs="Times New Roman"/>
                <w:color w:val="auto"/>
                <w:spacing w:val="0"/>
                <w:sz w:val="24"/>
                <w:szCs w:val="24"/>
                <w:lang w:val="en-US" w:eastAsia="zh-CN"/>
              </w:rPr>
            </w:pPr>
            <w:r>
              <w:rPr>
                <w:rFonts w:hint="eastAsia" w:cs="Times New Roman"/>
                <w:color w:val="auto"/>
                <w:spacing w:val="0"/>
                <w:sz w:val="24"/>
                <w:szCs w:val="24"/>
                <w:lang w:val="en-US" w:eastAsia="zh-CN"/>
              </w:rPr>
              <w:t>（</w:t>
            </w:r>
            <w:r>
              <w:rPr>
                <w:rFonts w:hint="default" w:ascii="Times New Roman" w:hAnsi="Times New Roman" w:eastAsia="宋体" w:cs="Times New Roman"/>
                <w:color w:val="auto"/>
                <w:spacing w:val="0"/>
                <w:sz w:val="24"/>
                <w:szCs w:val="24"/>
                <w:lang w:val="en-US" w:eastAsia="zh-CN"/>
              </w:rPr>
              <w:t>4）</w:t>
            </w:r>
            <w:r>
              <w:rPr>
                <w:rFonts w:hint="eastAsia" w:ascii="Times New Roman" w:hAnsi="Times New Roman" w:eastAsia="宋体" w:cs="Times New Roman"/>
                <w:color w:val="auto"/>
                <w:spacing w:val="0"/>
                <w:sz w:val="24"/>
                <w:szCs w:val="24"/>
                <w:lang w:val="en-US" w:eastAsia="zh-CN"/>
              </w:rPr>
              <w:t>新建</w:t>
            </w:r>
            <w:r>
              <w:rPr>
                <w:rFonts w:hint="default" w:ascii="Times New Roman" w:hAnsi="Times New Roman" w:eastAsia="宋体" w:cs="Times New Roman"/>
                <w:color w:val="auto"/>
                <w:spacing w:val="0"/>
                <w:sz w:val="24"/>
                <w:szCs w:val="24"/>
                <w:lang w:val="en-US" w:eastAsia="zh-CN"/>
              </w:rPr>
              <w:t>事故应急池一座，</w:t>
            </w:r>
            <w:r>
              <w:rPr>
                <w:rFonts w:hint="eastAsia" w:cs="Times New Roman"/>
                <w:color w:val="auto"/>
                <w:spacing w:val="0"/>
                <w:sz w:val="24"/>
                <w:szCs w:val="24"/>
                <w:lang w:val="en-US" w:eastAsia="zh-CN"/>
              </w:rPr>
              <w:t>容积400m</w:t>
            </w:r>
            <w:r>
              <w:rPr>
                <w:rFonts w:hint="default" w:ascii="Times New Roman" w:hAnsi="Times New Roman" w:eastAsia="宋体" w:cs="Times New Roman"/>
                <w:color w:val="auto"/>
                <w:spacing w:val="0"/>
                <w:sz w:val="24"/>
                <w:szCs w:val="24"/>
                <w:vertAlign w:val="superscript"/>
                <w:lang w:val="en-US" w:eastAsia="zh-CN"/>
              </w:rPr>
              <w:t>3</w:t>
            </w:r>
            <w:r>
              <w:rPr>
                <w:rFonts w:hint="eastAsia" w:cs="Times New Roman"/>
                <w:color w:val="auto"/>
                <w:spacing w:val="0"/>
                <w:sz w:val="24"/>
                <w:szCs w:val="24"/>
                <w:lang w:val="en-US" w:eastAsia="zh-CN"/>
              </w:rPr>
              <w:t>；</w:t>
            </w:r>
          </w:p>
          <w:p w14:paraId="706183F6">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default" w:ascii="Times New Roman" w:hAnsi="Times New Roman" w:eastAsia="宋体" w:cs="Times New Roman"/>
                <w:color w:val="auto"/>
                <w:spacing w:val="0"/>
                <w:sz w:val="24"/>
                <w:szCs w:val="24"/>
                <w:lang w:val="en-US" w:eastAsia="zh-CN"/>
              </w:rPr>
            </w:pPr>
            <w:r>
              <w:rPr>
                <w:rFonts w:hint="eastAsia" w:cs="Times New Roman"/>
                <w:color w:val="auto"/>
                <w:spacing w:val="0"/>
                <w:sz w:val="24"/>
                <w:szCs w:val="24"/>
                <w:lang w:val="en-US" w:eastAsia="zh-CN"/>
              </w:rPr>
              <w:t>（</w:t>
            </w:r>
            <w:r>
              <w:rPr>
                <w:rFonts w:hint="default" w:ascii="Times New Roman" w:hAnsi="Times New Roman" w:eastAsia="宋体" w:cs="Times New Roman"/>
                <w:color w:val="auto"/>
                <w:spacing w:val="0"/>
                <w:sz w:val="24"/>
                <w:szCs w:val="24"/>
                <w:lang w:val="en-US" w:eastAsia="zh-CN"/>
              </w:rPr>
              <w:t>5）编制环境风险应急预案并备案。</w:t>
            </w:r>
          </w:p>
        </w:tc>
      </w:tr>
      <w:tr w14:paraId="515E6D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71" w:type="dxa"/>
            <w:noWrap w:val="0"/>
            <w:vAlign w:val="center"/>
          </w:tcPr>
          <w:p w14:paraId="48DA362C">
            <w:pPr>
              <w:keepNext w:val="0"/>
              <w:keepLines w:val="0"/>
              <w:pageBreakBefore w:val="0"/>
              <w:widowControl w:val="0"/>
              <w:kinsoku/>
              <w:wordWrap/>
              <w:overflowPunct/>
              <w:topLinePunct w:val="0"/>
              <w:autoSpaceDE/>
              <w:autoSpaceDN/>
              <w:bidi w:val="0"/>
              <w:adjustRightInd w:val="0"/>
              <w:spacing w:line="240" w:lineRule="auto"/>
              <w:jc w:val="center"/>
              <w:textAlignment w:val="auto"/>
              <w:rPr>
                <w:rFonts w:hint="eastAsia" w:ascii="宋体" w:hAnsi="宋体" w:eastAsia="宋体" w:cs="宋体"/>
                <w:b/>
                <w:bCs w:val="0"/>
                <w:color w:val="auto"/>
                <w:spacing w:val="0"/>
                <w:sz w:val="24"/>
                <w:szCs w:val="24"/>
              </w:rPr>
            </w:pPr>
            <w:r>
              <w:rPr>
                <w:rFonts w:hint="eastAsia" w:ascii="宋体" w:hAnsi="宋体" w:eastAsia="宋体" w:cs="宋体"/>
                <w:b/>
                <w:bCs w:val="0"/>
                <w:color w:val="auto"/>
                <w:spacing w:val="0"/>
                <w:sz w:val="24"/>
                <w:szCs w:val="24"/>
              </w:rPr>
              <w:t>其他环境管理要求</w:t>
            </w:r>
          </w:p>
        </w:tc>
        <w:tc>
          <w:tcPr>
            <w:tcW w:w="13522" w:type="dxa"/>
            <w:gridSpan w:val="5"/>
            <w:noWrap w:val="0"/>
            <w:vAlign w:val="center"/>
          </w:tcPr>
          <w:p w14:paraId="3CFD8223">
            <w:pPr>
              <w:keepNext w:val="0"/>
              <w:keepLines w:val="0"/>
              <w:pageBreakBefore w:val="0"/>
              <w:widowControl w:val="0"/>
              <w:kinsoku/>
              <w:wordWrap/>
              <w:overflowPunct/>
              <w:topLinePunct w:val="0"/>
              <w:autoSpaceDE/>
              <w:autoSpaceDN/>
              <w:bidi w:val="0"/>
              <w:adjustRightInd w:val="0"/>
              <w:snapToGrid/>
              <w:spacing w:line="240" w:lineRule="auto"/>
              <w:ind w:firstLine="482" w:firstLineChars="200"/>
              <w:jc w:val="both"/>
              <w:textAlignment w:val="auto"/>
              <w:rPr>
                <w:rFonts w:hint="default" w:ascii="Times New Roman" w:hAnsi="Times New Roman" w:eastAsia="宋体" w:cs="Times New Roman"/>
                <w:b/>
                <w:bCs/>
                <w:color w:val="auto"/>
                <w:spacing w:val="0"/>
                <w:sz w:val="24"/>
                <w:szCs w:val="24"/>
                <w:lang w:val="en-US" w:eastAsia="zh-CN"/>
              </w:rPr>
            </w:pPr>
            <w:r>
              <w:rPr>
                <w:rFonts w:hint="default" w:ascii="Times New Roman" w:hAnsi="Times New Roman" w:eastAsia="宋体" w:cs="Times New Roman"/>
                <w:b/>
                <w:bCs/>
                <w:color w:val="auto"/>
                <w:spacing w:val="0"/>
                <w:sz w:val="24"/>
                <w:szCs w:val="24"/>
                <w:lang w:val="en-US" w:eastAsia="zh-CN"/>
              </w:rPr>
              <w:t>排污许可联动</w:t>
            </w:r>
          </w:p>
          <w:p w14:paraId="3FDFE3DC">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default" w:ascii="Times New Roman" w:hAnsi="Times New Roman" w:eastAsia="宋体" w:cs="Times New Roman"/>
                <w:color w:val="auto"/>
                <w:spacing w:val="0"/>
                <w:sz w:val="24"/>
                <w:szCs w:val="24"/>
                <w:lang w:val="en-US" w:eastAsia="zh-CN"/>
              </w:rPr>
            </w:pPr>
            <w:r>
              <w:rPr>
                <w:rFonts w:hint="default" w:ascii="Times New Roman" w:hAnsi="Times New Roman" w:eastAsia="宋体" w:cs="Times New Roman"/>
                <w:color w:val="auto"/>
                <w:spacing w:val="0"/>
                <w:sz w:val="24"/>
                <w:szCs w:val="24"/>
                <w:lang w:val="en-US" w:eastAsia="zh-CN"/>
              </w:rPr>
              <w:t>根据安徽省生态环境厅于2021年1月30日发布的《安徽省生态环境厅关于统筹做好固定污染源排污许可日常监管工作的通知》</w:t>
            </w:r>
            <w:r>
              <w:rPr>
                <w:rFonts w:hint="eastAsia" w:cs="Times New Roman"/>
                <w:color w:val="auto"/>
                <w:spacing w:val="0"/>
                <w:sz w:val="24"/>
                <w:szCs w:val="24"/>
                <w:lang w:val="en-US" w:eastAsia="zh-CN"/>
              </w:rPr>
              <w:t>（</w:t>
            </w:r>
            <w:r>
              <w:rPr>
                <w:rFonts w:hint="default" w:ascii="Times New Roman" w:hAnsi="Times New Roman" w:eastAsia="宋体" w:cs="Times New Roman"/>
                <w:color w:val="auto"/>
                <w:spacing w:val="0"/>
                <w:sz w:val="24"/>
                <w:szCs w:val="24"/>
                <w:lang w:val="en-US" w:eastAsia="zh-CN"/>
              </w:rPr>
              <w:t>皖环发</w:t>
            </w:r>
            <w:r>
              <w:rPr>
                <w:rFonts w:hint="eastAsia" w:cs="Times New Roman"/>
                <w:color w:val="auto"/>
                <w:spacing w:val="0"/>
                <w:sz w:val="24"/>
                <w:szCs w:val="24"/>
                <w:lang w:val="en-US" w:eastAsia="zh-CN"/>
              </w:rPr>
              <w:t>〔</w:t>
            </w:r>
            <w:r>
              <w:rPr>
                <w:rFonts w:hint="default" w:ascii="Times New Roman" w:hAnsi="Times New Roman" w:eastAsia="宋体" w:cs="Times New Roman"/>
                <w:color w:val="auto"/>
                <w:spacing w:val="0"/>
                <w:sz w:val="24"/>
                <w:szCs w:val="24"/>
                <w:lang w:val="en-US" w:eastAsia="zh-CN"/>
              </w:rPr>
              <w:t>2021</w:t>
            </w:r>
            <w:r>
              <w:rPr>
                <w:rFonts w:hint="eastAsia" w:cs="Times New Roman"/>
                <w:color w:val="auto"/>
                <w:spacing w:val="0"/>
                <w:sz w:val="24"/>
                <w:szCs w:val="24"/>
                <w:lang w:val="en-US" w:eastAsia="zh-CN"/>
              </w:rPr>
              <w:t>〕</w:t>
            </w:r>
            <w:r>
              <w:rPr>
                <w:rFonts w:hint="default" w:ascii="Times New Roman" w:hAnsi="Times New Roman" w:eastAsia="宋体" w:cs="Times New Roman"/>
                <w:color w:val="auto"/>
                <w:spacing w:val="0"/>
                <w:sz w:val="24"/>
                <w:szCs w:val="24"/>
                <w:lang w:val="en-US" w:eastAsia="zh-CN"/>
              </w:rPr>
              <w:t>7号），属于现行《固定污染源排污许可分类管理名录》内重点管理和简化管理的行业，在环评文件中应明确“建设项目环境影响评价与排污许可联动内容”和《建设项目排污许可申请与填发信息表》。</w:t>
            </w:r>
          </w:p>
          <w:p w14:paraId="6B5FD37D">
            <w:pPr>
              <w:keepNext w:val="0"/>
              <w:keepLines w:val="0"/>
              <w:pageBreakBefore w:val="0"/>
              <w:widowControl w:val="0"/>
              <w:kinsoku/>
              <w:wordWrap/>
              <w:overflowPunct/>
              <w:topLinePunct w:val="0"/>
              <w:autoSpaceDE/>
              <w:autoSpaceDN/>
              <w:bidi w:val="0"/>
              <w:adjustRightInd w:val="0"/>
              <w:snapToGrid/>
              <w:spacing w:line="240" w:lineRule="auto"/>
              <w:ind w:firstLine="480" w:firstLineChars="200"/>
              <w:jc w:val="both"/>
              <w:textAlignment w:val="auto"/>
              <w:rPr>
                <w:rFonts w:hint="eastAsia" w:ascii="Times New Roman" w:hAnsi="Times New Roman" w:eastAsia="宋体" w:cs="Times New Roman"/>
                <w:color w:val="auto"/>
                <w:spacing w:val="0"/>
                <w:sz w:val="24"/>
                <w:szCs w:val="24"/>
                <w:lang w:val="en-US" w:eastAsia="zh-CN"/>
              </w:rPr>
            </w:pPr>
            <w:r>
              <w:rPr>
                <w:rFonts w:hint="default" w:ascii="Times New Roman" w:hAnsi="Times New Roman" w:eastAsia="宋体" w:cs="Times New Roman"/>
                <w:color w:val="auto"/>
                <w:spacing w:val="0"/>
                <w:sz w:val="24"/>
                <w:szCs w:val="24"/>
                <w:lang w:val="en-US" w:eastAsia="zh-CN"/>
              </w:rPr>
              <w:t>本项目国民经济行业类别为</w:t>
            </w:r>
            <w:r>
              <w:rPr>
                <w:rFonts w:hint="eastAsia" w:cs="Times New Roman"/>
                <w:b w:val="0"/>
                <w:bCs w:val="0"/>
                <w:color w:val="auto"/>
                <w:sz w:val="24"/>
                <w:szCs w:val="24"/>
                <w:lang w:val="en-US" w:eastAsia="zh-CN"/>
              </w:rPr>
              <w:t>C4420非金属废料和碎屑加工处理</w:t>
            </w:r>
            <w:r>
              <w:rPr>
                <w:rFonts w:hint="default" w:ascii="Times New Roman" w:hAnsi="Times New Roman" w:eastAsia="宋体" w:cs="Times New Roman"/>
                <w:color w:val="auto"/>
                <w:spacing w:val="0"/>
                <w:sz w:val="24"/>
                <w:szCs w:val="24"/>
                <w:lang w:val="en-US" w:eastAsia="zh-CN"/>
              </w:rPr>
              <w:t>。对照《固定污染源排污许可分类管理名录》</w:t>
            </w:r>
            <w:r>
              <w:rPr>
                <w:rFonts w:hint="eastAsia" w:cs="Times New Roman"/>
                <w:color w:val="auto"/>
                <w:spacing w:val="0"/>
                <w:sz w:val="24"/>
                <w:szCs w:val="24"/>
                <w:lang w:val="en-US" w:eastAsia="zh-CN"/>
              </w:rPr>
              <w:t>（</w:t>
            </w:r>
            <w:r>
              <w:rPr>
                <w:rFonts w:hint="default" w:ascii="Times New Roman" w:hAnsi="Times New Roman" w:eastAsia="宋体" w:cs="Times New Roman"/>
                <w:color w:val="auto"/>
                <w:spacing w:val="0"/>
                <w:sz w:val="24"/>
                <w:szCs w:val="24"/>
                <w:lang w:val="en-US" w:eastAsia="zh-CN"/>
              </w:rPr>
              <w:t>2019年版），结合表2-1，本项目属于</w:t>
            </w:r>
            <w:r>
              <w:rPr>
                <w:rFonts w:hint="eastAsia" w:cs="Times New Roman"/>
                <w:color w:val="auto"/>
                <w:spacing w:val="0"/>
                <w:sz w:val="24"/>
                <w:szCs w:val="24"/>
                <w:lang w:val="en-US" w:eastAsia="zh-CN"/>
              </w:rPr>
              <w:t>简化</w:t>
            </w:r>
            <w:r>
              <w:rPr>
                <w:rFonts w:hint="default" w:ascii="Times New Roman" w:hAnsi="Times New Roman" w:eastAsia="宋体" w:cs="Times New Roman"/>
                <w:color w:val="auto"/>
                <w:spacing w:val="0"/>
                <w:sz w:val="24"/>
                <w:szCs w:val="24"/>
                <w:lang w:val="en-US" w:eastAsia="zh-CN"/>
              </w:rPr>
              <w:t>管理。</w:t>
            </w:r>
            <w:r>
              <w:rPr>
                <w:rFonts w:hint="eastAsia" w:cs="Times New Roman"/>
                <w:color w:val="auto"/>
                <w:spacing w:val="0"/>
                <w:sz w:val="24"/>
                <w:szCs w:val="24"/>
                <w:lang w:val="en-US" w:eastAsia="zh-CN"/>
              </w:rPr>
              <w:t>需填写</w:t>
            </w:r>
            <w:r>
              <w:rPr>
                <w:rFonts w:hint="default" w:ascii="Times New Roman" w:hAnsi="Times New Roman" w:eastAsia="宋体" w:cs="Times New Roman"/>
                <w:color w:val="auto"/>
                <w:spacing w:val="0"/>
                <w:sz w:val="24"/>
                <w:szCs w:val="24"/>
                <w:lang w:val="en-US" w:eastAsia="zh-CN"/>
              </w:rPr>
              <w:t>“建设项目环境影响评价与排污许可联动内容”和《建设项目排污许可证申请与填发信息表》</w:t>
            </w:r>
            <w:r>
              <w:rPr>
                <w:rFonts w:hint="eastAsia" w:ascii="Times New Roman" w:hAnsi="Times New Roman" w:eastAsia="宋体" w:cs="Times New Roman"/>
                <w:color w:val="auto"/>
                <w:spacing w:val="0"/>
                <w:sz w:val="24"/>
                <w:szCs w:val="24"/>
                <w:lang w:val="en-US" w:eastAsia="zh-CN"/>
              </w:rPr>
              <w:t>。</w:t>
            </w:r>
          </w:p>
        </w:tc>
      </w:tr>
    </w:tbl>
    <w:p w14:paraId="39E452FB">
      <w:pPr>
        <w:pStyle w:val="23"/>
        <w:jc w:val="center"/>
        <w:outlineLvl w:val="0"/>
        <w:rPr>
          <w:rFonts w:hint="default" w:ascii="Times New Roman" w:hAnsi="Times New Roman" w:cs="Times New Roman"/>
          <w:snapToGrid w:val="0"/>
          <w:color w:val="auto"/>
          <w:spacing w:val="0"/>
          <w:position w:val="0"/>
        </w:rPr>
        <w:sectPr>
          <w:pgSz w:w="16838" w:h="11905" w:orient="landscape"/>
          <w:pgMar w:top="1083" w:right="1440" w:bottom="1083" w:left="1440" w:header="851" w:footer="1077" w:gutter="0"/>
          <w:pgBorders>
            <w:top w:val="none" w:sz="0" w:space="0"/>
            <w:left w:val="none" w:sz="0" w:space="0"/>
            <w:bottom w:val="none" w:sz="0" w:space="0"/>
            <w:right w:val="none" w:sz="0" w:space="0"/>
          </w:pgBorders>
          <w:pgNumType w:fmt="decimal"/>
          <w:cols w:space="0" w:num="1"/>
          <w:rtlGutter w:val="0"/>
          <w:docGrid w:linePitch="312" w:charSpace="0"/>
        </w:sectPr>
      </w:pPr>
      <w:r>
        <w:rPr>
          <w:rFonts w:hint="default" w:ascii="Times New Roman" w:hAnsi="Times New Roman" w:cs="Times New Roman"/>
          <w:snapToGrid w:val="0"/>
          <w:color w:val="auto"/>
          <w:spacing w:val="0"/>
          <w:position w:val="0"/>
        </w:rPr>
        <w:br w:type="page"/>
      </w:r>
    </w:p>
    <w:p w14:paraId="6144725B">
      <w:pPr>
        <w:pStyle w:val="3"/>
        <w:bidi w:val="0"/>
        <w:rPr>
          <w:rFonts w:hint="eastAsia"/>
        </w:rPr>
      </w:pPr>
      <w:bookmarkStart w:id="15" w:name="_Toc26714"/>
      <w:r>
        <w:rPr>
          <w:rFonts w:hint="eastAsia"/>
        </w:rPr>
        <w:t>六、结论</w:t>
      </w:r>
      <w:bookmarkEnd w:id="15"/>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215"/>
      </w:tblGrid>
      <w:tr w14:paraId="57FB2D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863" w:hRule="atLeast"/>
          <w:jc w:val="center"/>
        </w:trPr>
        <w:tc>
          <w:tcPr>
            <w:tcW w:w="10215" w:type="dxa"/>
          </w:tcPr>
          <w:p w14:paraId="19E3ECAB">
            <w:pPr>
              <w:keepNext w:val="0"/>
              <w:keepLines w:val="0"/>
              <w:pageBreakBefore w:val="0"/>
              <w:widowControl/>
              <w:suppressLineNumbers w:val="0"/>
              <w:kinsoku/>
              <w:wordWrap/>
              <w:overflowPunct/>
              <w:topLinePunct w:val="0"/>
              <w:autoSpaceDE/>
              <w:autoSpaceDN/>
              <w:bidi w:val="0"/>
              <w:adjustRightInd/>
              <w:snapToGrid/>
              <w:spacing w:line="480" w:lineRule="atLeast"/>
              <w:ind w:firstLine="480" w:firstLineChars="200"/>
              <w:jc w:val="both"/>
              <w:textAlignment w:val="auto"/>
              <w:rPr>
                <w:rFonts w:hint="default" w:ascii="Times New Roman" w:hAnsi="Times New Roman" w:cs="Times New Roman"/>
                <w:color w:val="auto"/>
                <w:spacing w:val="0"/>
                <w:position w:val="0"/>
                <w:sz w:val="24"/>
              </w:rPr>
            </w:pPr>
            <w:r>
              <w:rPr>
                <w:rFonts w:hint="eastAsia" w:cs="Times New Roman"/>
                <w:color w:val="auto"/>
                <w:spacing w:val="0"/>
                <w:position w:val="0"/>
                <w:sz w:val="24"/>
                <w:lang w:eastAsia="zh-CN"/>
              </w:rPr>
              <w:t>安徽合丰卓盛新能源科技有限公司年处理3万吨废旧光伏组件循环再利用项目</w:t>
            </w:r>
            <w:r>
              <w:rPr>
                <w:rFonts w:hint="default" w:ascii="Times New Roman" w:hAnsi="Times New Roman" w:cs="Times New Roman"/>
                <w:color w:val="auto"/>
                <w:spacing w:val="0"/>
                <w:position w:val="0"/>
                <w:sz w:val="24"/>
              </w:rPr>
              <w:t>选址位于</w:t>
            </w:r>
            <w:r>
              <w:rPr>
                <w:rFonts w:hint="eastAsia"/>
                <w:color w:val="auto"/>
                <w:spacing w:val="0"/>
                <w:position w:val="0"/>
                <w:sz w:val="24"/>
                <w:lang w:val="en-US" w:eastAsia="zh-CN"/>
              </w:rPr>
              <w:t>皖江江南新兴产业集中区万凯产业园7#厂房</w:t>
            </w:r>
            <w:r>
              <w:rPr>
                <w:rFonts w:hint="default" w:ascii="Times New Roman" w:hAnsi="Times New Roman" w:cs="Times New Roman"/>
                <w:color w:val="auto"/>
                <w:spacing w:val="0"/>
                <w:position w:val="0"/>
                <w:sz w:val="24"/>
              </w:rPr>
              <w:t>，</w:t>
            </w:r>
            <w:r>
              <w:rPr>
                <w:rFonts w:hint="default" w:ascii="Times New Roman" w:hAnsi="Times New Roman" w:eastAsia="宋体" w:cs="Times New Roman"/>
                <w:color w:val="auto"/>
                <w:sz w:val="24"/>
                <w:lang w:eastAsia="zh-CN"/>
              </w:rPr>
              <w:t>项目建设符合国家产业政策，选址可行</w:t>
            </w:r>
            <w:r>
              <w:rPr>
                <w:rFonts w:hint="default" w:ascii="Times New Roman" w:hAnsi="Times New Roman" w:eastAsia="宋体" w:cs="Times New Roman"/>
                <w:color w:val="auto"/>
                <w:sz w:val="24"/>
                <w:lang w:val="en-US" w:eastAsia="zh-CN"/>
              </w:rPr>
              <w:t>，排放污染物符合国家和地方规定的污染物排放标准和主要污染物排放总量</w:t>
            </w:r>
            <w:r>
              <w:rPr>
                <w:rFonts w:hint="default" w:ascii="Times New Roman" w:hAnsi="Times New Roman" w:eastAsia="宋体" w:cs="Times New Roman"/>
                <w:color w:val="auto"/>
                <w:kern w:val="0"/>
                <w:sz w:val="24"/>
                <w:szCs w:val="24"/>
                <w:lang w:val="en-US" w:eastAsia="zh-CN" w:bidi="ar"/>
              </w:rPr>
              <w:t>控制指标。项目</w:t>
            </w:r>
            <w:r>
              <w:rPr>
                <w:rFonts w:hint="eastAsia" w:cs="Times New Roman"/>
                <w:color w:val="auto"/>
                <w:kern w:val="0"/>
                <w:sz w:val="24"/>
                <w:szCs w:val="24"/>
                <w:lang w:val="en-US" w:eastAsia="zh-CN" w:bidi="ar"/>
              </w:rPr>
              <w:t>运营</w:t>
            </w:r>
            <w:r>
              <w:rPr>
                <w:rFonts w:hint="default" w:ascii="Times New Roman" w:hAnsi="Times New Roman" w:eastAsia="宋体" w:cs="Times New Roman"/>
                <w:color w:val="auto"/>
                <w:kern w:val="0"/>
                <w:sz w:val="24"/>
                <w:szCs w:val="24"/>
                <w:lang w:val="en-US" w:eastAsia="zh-CN" w:bidi="ar"/>
              </w:rPr>
              <w:t>期会产生一定的污染物，经评价分析，若采用严格的科学管理和环保治理手段，可控制环境污染，对周边环境影响不大。可以认为，全面落实本报告提出的各项环保措施，切实</w:t>
            </w:r>
            <w:r>
              <w:rPr>
                <w:rFonts w:hint="eastAsia" w:ascii="宋体" w:hAnsi="宋体" w:eastAsia="宋体" w:cs="宋体"/>
                <w:color w:val="auto"/>
                <w:kern w:val="0"/>
                <w:sz w:val="24"/>
                <w:szCs w:val="24"/>
                <w:lang w:val="en-US" w:eastAsia="zh-CN" w:bidi="ar"/>
              </w:rPr>
              <w:t>做到“三同时”，</w:t>
            </w:r>
            <w:r>
              <w:rPr>
                <w:rFonts w:hint="default" w:ascii="Times New Roman" w:hAnsi="Times New Roman" w:eastAsia="宋体" w:cs="Times New Roman"/>
                <w:color w:val="auto"/>
                <w:kern w:val="0"/>
                <w:sz w:val="24"/>
                <w:szCs w:val="24"/>
                <w:lang w:val="en-US" w:eastAsia="zh-CN" w:bidi="ar"/>
              </w:rPr>
              <w:t>从环境影响角度分析，本项目的建设是可行的</w:t>
            </w:r>
            <w:r>
              <w:rPr>
                <w:rFonts w:hint="default" w:ascii="Times New Roman" w:hAnsi="Times New Roman" w:cs="Times New Roman"/>
                <w:color w:val="auto"/>
                <w:spacing w:val="0"/>
                <w:position w:val="0"/>
                <w:sz w:val="24"/>
              </w:rPr>
              <w:t>。</w:t>
            </w:r>
          </w:p>
          <w:p w14:paraId="0D726328">
            <w:pPr>
              <w:spacing w:line="480" w:lineRule="exact"/>
              <w:ind w:firstLine="480" w:firstLineChars="200"/>
              <w:rPr>
                <w:rFonts w:hint="default" w:ascii="Times New Roman" w:hAnsi="Times New Roman" w:cs="Times New Roman"/>
                <w:color w:val="auto"/>
                <w:spacing w:val="0"/>
                <w:position w:val="0"/>
                <w:sz w:val="24"/>
              </w:rPr>
            </w:pPr>
          </w:p>
          <w:p w14:paraId="544DEC58">
            <w:pPr>
              <w:spacing w:line="480" w:lineRule="exact"/>
              <w:ind w:firstLine="480" w:firstLineChars="200"/>
              <w:rPr>
                <w:rFonts w:hint="default" w:ascii="Times New Roman" w:hAnsi="Times New Roman" w:cs="Times New Roman"/>
                <w:color w:val="auto"/>
                <w:spacing w:val="0"/>
                <w:position w:val="0"/>
                <w:sz w:val="24"/>
              </w:rPr>
            </w:pPr>
          </w:p>
          <w:p w14:paraId="7DC1F1A9">
            <w:pPr>
              <w:spacing w:line="480" w:lineRule="exact"/>
              <w:ind w:firstLine="480" w:firstLineChars="200"/>
              <w:rPr>
                <w:rFonts w:hint="default" w:ascii="Times New Roman" w:hAnsi="Times New Roman" w:cs="Times New Roman"/>
                <w:color w:val="auto"/>
                <w:spacing w:val="0"/>
                <w:position w:val="0"/>
                <w:sz w:val="24"/>
              </w:rPr>
            </w:pPr>
          </w:p>
          <w:p w14:paraId="3359CB8D">
            <w:pPr>
              <w:spacing w:line="480" w:lineRule="exact"/>
              <w:ind w:firstLine="480" w:firstLineChars="200"/>
              <w:rPr>
                <w:rFonts w:hint="default" w:ascii="Times New Roman" w:hAnsi="Times New Roman" w:cs="Times New Roman"/>
                <w:color w:val="auto"/>
                <w:spacing w:val="0"/>
                <w:position w:val="0"/>
                <w:sz w:val="24"/>
              </w:rPr>
            </w:pPr>
          </w:p>
          <w:p w14:paraId="524A6F2F">
            <w:pPr>
              <w:spacing w:line="480" w:lineRule="exact"/>
              <w:ind w:firstLine="480" w:firstLineChars="200"/>
              <w:rPr>
                <w:rFonts w:hint="default" w:ascii="Times New Roman" w:hAnsi="Times New Roman" w:cs="Times New Roman"/>
                <w:color w:val="auto"/>
                <w:spacing w:val="0"/>
                <w:position w:val="0"/>
                <w:sz w:val="24"/>
              </w:rPr>
            </w:pPr>
          </w:p>
          <w:p w14:paraId="7149A68F">
            <w:pPr>
              <w:spacing w:line="480" w:lineRule="exact"/>
              <w:ind w:firstLine="480" w:firstLineChars="200"/>
              <w:rPr>
                <w:rFonts w:hint="default" w:ascii="Times New Roman" w:hAnsi="Times New Roman" w:cs="Times New Roman"/>
                <w:color w:val="auto"/>
                <w:spacing w:val="0"/>
                <w:position w:val="0"/>
                <w:sz w:val="24"/>
              </w:rPr>
            </w:pPr>
          </w:p>
          <w:p w14:paraId="6F0E8C23">
            <w:pPr>
              <w:spacing w:line="480" w:lineRule="exact"/>
              <w:ind w:firstLine="480" w:firstLineChars="200"/>
              <w:rPr>
                <w:rFonts w:hint="default" w:ascii="Times New Roman" w:hAnsi="Times New Roman" w:cs="Times New Roman"/>
                <w:color w:val="auto"/>
                <w:spacing w:val="0"/>
                <w:position w:val="0"/>
                <w:sz w:val="24"/>
              </w:rPr>
            </w:pPr>
          </w:p>
          <w:p w14:paraId="2250A84C">
            <w:pPr>
              <w:spacing w:line="480" w:lineRule="exact"/>
              <w:ind w:firstLine="480" w:firstLineChars="200"/>
              <w:rPr>
                <w:rFonts w:hint="default" w:ascii="Times New Roman" w:hAnsi="Times New Roman" w:cs="Times New Roman"/>
                <w:color w:val="auto"/>
                <w:spacing w:val="0"/>
                <w:position w:val="0"/>
                <w:sz w:val="24"/>
              </w:rPr>
            </w:pPr>
          </w:p>
          <w:p w14:paraId="28F05AEA">
            <w:pPr>
              <w:spacing w:line="480" w:lineRule="exact"/>
              <w:ind w:firstLine="480" w:firstLineChars="200"/>
              <w:rPr>
                <w:rFonts w:hint="default" w:ascii="Times New Roman" w:hAnsi="Times New Roman" w:cs="Times New Roman"/>
                <w:color w:val="auto"/>
                <w:spacing w:val="0"/>
                <w:position w:val="0"/>
                <w:sz w:val="24"/>
              </w:rPr>
            </w:pPr>
          </w:p>
          <w:p w14:paraId="786E4FEF">
            <w:pPr>
              <w:spacing w:line="480" w:lineRule="exact"/>
              <w:ind w:firstLine="480" w:firstLineChars="200"/>
              <w:rPr>
                <w:rFonts w:hint="default" w:ascii="Times New Roman" w:hAnsi="Times New Roman" w:cs="Times New Roman"/>
                <w:color w:val="auto"/>
                <w:spacing w:val="0"/>
                <w:position w:val="0"/>
                <w:sz w:val="24"/>
              </w:rPr>
            </w:pPr>
          </w:p>
          <w:p w14:paraId="2F74D9DF">
            <w:pPr>
              <w:spacing w:line="480" w:lineRule="exact"/>
              <w:ind w:firstLine="480" w:firstLineChars="200"/>
              <w:rPr>
                <w:rFonts w:hint="default" w:ascii="Times New Roman" w:hAnsi="Times New Roman" w:cs="Times New Roman"/>
                <w:color w:val="auto"/>
                <w:spacing w:val="0"/>
                <w:position w:val="0"/>
                <w:sz w:val="24"/>
              </w:rPr>
            </w:pPr>
          </w:p>
          <w:p w14:paraId="0DCD32F9">
            <w:pPr>
              <w:spacing w:line="480" w:lineRule="exact"/>
              <w:ind w:firstLine="480" w:firstLineChars="200"/>
              <w:rPr>
                <w:rFonts w:hint="default" w:ascii="Times New Roman" w:hAnsi="Times New Roman" w:cs="Times New Roman"/>
                <w:color w:val="auto"/>
                <w:spacing w:val="0"/>
                <w:position w:val="0"/>
                <w:sz w:val="24"/>
              </w:rPr>
            </w:pPr>
          </w:p>
          <w:p w14:paraId="05A09894">
            <w:pPr>
              <w:spacing w:line="480" w:lineRule="exact"/>
              <w:ind w:firstLine="480" w:firstLineChars="200"/>
              <w:rPr>
                <w:rFonts w:hint="default" w:ascii="Times New Roman" w:hAnsi="Times New Roman" w:cs="Times New Roman"/>
                <w:color w:val="auto"/>
                <w:spacing w:val="0"/>
                <w:position w:val="0"/>
                <w:sz w:val="24"/>
              </w:rPr>
            </w:pPr>
          </w:p>
          <w:p w14:paraId="0AC0D393">
            <w:pPr>
              <w:spacing w:line="480" w:lineRule="exact"/>
              <w:ind w:firstLine="480" w:firstLineChars="200"/>
              <w:rPr>
                <w:rFonts w:hint="default" w:ascii="Times New Roman" w:hAnsi="Times New Roman" w:cs="Times New Roman"/>
                <w:color w:val="auto"/>
                <w:spacing w:val="0"/>
                <w:position w:val="0"/>
                <w:sz w:val="24"/>
              </w:rPr>
            </w:pPr>
          </w:p>
          <w:p w14:paraId="01EF7943">
            <w:pPr>
              <w:spacing w:line="480" w:lineRule="exact"/>
              <w:ind w:firstLine="480" w:firstLineChars="200"/>
              <w:rPr>
                <w:rFonts w:hint="default" w:ascii="Times New Roman" w:hAnsi="Times New Roman" w:cs="Times New Roman"/>
                <w:color w:val="auto"/>
                <w:spacing w:val="0"/>
                <w:position w:val="0"/>
                <w:sz w:val="24"/>
              </w:rPr>
            </w:pPr>
          </w:p>
          <w:p w14:paraId="781C13A7">
            <w:pPr>
              <w:spacing w:line="480" w:lineRule="exact"/>
              <w:ind w:firstLine="480" w:firstLineChars="200"/>
              <w:rPr>
                <w:rFonts w:hint="default" w:ascii="Times New Roman" w:hAnsi="Times New Roman" w:cs="Times New Roman"/>
                <w:color w:val="auto"/>
                <w:spacing w:val="0"/>
                <w:position w:val="0"/>
                <w:sz w:val="24"/>
              </w:rPr>
            </w:pPr>
          </w:p>
          <w:p w14:paraId="06AA5A0E">
            <w:pPr>
              <w:spacing w:line="480" w:lineRule="exact"/>
              <w:ind w:firstLine="480" w:firstLineChars="200"/>
              <w:rPr>
                <w:rFonts w:hint="default" w:ascii="Times New Roman" w:hAnsi="Times New Roman" w:cs="Times New Roman"/>
                <w:color w:val="auto"/>
                <w:spacing w:val="0"/>
                <w:position w:val="0"/>
                <w:sz w:val="24"/>
              </w:rPr>
            </w:pPr>
          </w:p>
          <w:p w14:paraId="20B00A81">
            <w:pPr>
              <w:spacing w:line="480" w:lineRule="exact"/>
              <w:ind w:firstLine="480" w:firstLineChars="200"/>
              <w:rPr>
                <w:rFonts w:hint="default" w:ascii="Times New Roman" w:hAnsi="Times New Roman" w:cs="Times New Roman"/>
                <w:color w:val="auto"/>
                <w:spacing w:val="0"/>
                <w:position w:val="0"/>
                <w:sz w:val="24"/>
              </w:rPr>
            </w:pPr>
          </w:p>
          <w:p w14:paraId="41A4AAF8">
            <w:pPr>
              <w:spacing w:line="480" w:lineRule="exact"/>
              <w:ind w:firstLine="480" w:firstLineChars="200"/>
              <w:rPr>
                <w:rFonts w:hint="default" w:ascii="Times New Roman" w:hAnsi="Times New Roman" w:cs="Times New Roman"/>
                <w:color w:val="auto"/>
                <w:spacing w:val="0"/>
                <w:position w:val="0"/>
                <w:sz w:val="24"/>
              </w:rPr>
            </w:pPr>
          </w:p>
          <w:p w14:paraId="77F70593">
            <w:pPr>
              <w:spacing w:line="480" w:lineRule="exact"/>
              <w:ind w:firstLine="480" w:firstLineChars="200"/>
              <w:rPr>
                <w:rFonts w:hint="default" w:ascii="Times New Roman" w:hAnsi="Times New Roman" w:cs="Times New Roman"/>
                <w:color w:val="auto"/>
                <w:spacing w:val="0"/>
                <w:position w:val="0"/>
                <w:sz w:val="24"/>
              </w:rPr>
            </w:pPr>
          </w:p>
          <w:p w14:paraId="79CE8E0E">
            <w:pPr>
              <w:spacing w:line="480" w:lineRule="exact"/>
              <w:rPr>
                <w:rFonts w:hint="default" w:ascii="Times New Roman" w:hAnsi="Times New Roman" w:cs="Times New Roman"/>
                <w:color w:val="auto"/>
                <w:spacing w:val="0"/>
                <w:position w:val="0"/>
                <w:sz w:val="24"/>
              </w:rPr>
            </w:pPr>
          </w:p>
        </w:tc>
      </w:tr>
    </w:tbl>
    <w:p w14:paraId="215B0F9D">
      <w:pPr>
        <w:rPr>
          <w:rFonts w:hint="default" w:ascii="Times New Roman" w:hAnsi="Times New Roman" w:cs="Times New Roman"/>
          <w:color w:val="auto"/>
          <w:spacing w:val="0"/>
          <w:position w:val="0"/>
        </w:rPr>
        <w:sectPr>
          <w:pgSz w:w="11905" w:h="16838"/>
          <w:pgMar w:top="1440" w:right="1083" w:bottom="1440" w:left="1083" w:header="851" w:footer="1077" w:gutter="0"/>
          <w:pgBorders>
            <w:top w:val="none" w:sz="0" w:space="0"/>
            <w:left w:val="none" w:sz="0" w:space="0"/>
            <w:bottom w:val="none" w:sz="0" w:space="0"/>
            <w:right w:val="none" w:sz="0" w:space="0"/>
          </w:pgBorders>
          <w:pgNumType w:fmt="decimal"/>
          <w:cols w:space="0" w:num="1"/>
          <w:rtlGutter w:val="0"/>
          <w:docGrid w:linePitch="312" w:charSpace="0"/>
        </w:sectPr>
      </w:pPr>
    </w:p>
    <w:p w14:paraId="3A991AEA">
      <w:pPr>
        <w:pStyle w:val="3"/>
        <w:bidi w:val="0"/>
        <w:jc w:val="left"/>
        <w:rPr>
          <w:rFonts w:hint="default"/>
        </w:rPr>
      </w:pPr>
      <w:bookmarkStart w:id="16" w:name="_Toc18835"/>
      <w:bookmarkStart w:id="17" w:name="_Toc72793136"/>
      <w:r>
        <w:rPr>
          <w:rFonts w:hint="default"/>
        </w:rPr>
        <w:t>附表</w:t>
      </w:r>
      <w:bookmarkEnd w:id="16"/>
      <w:bookmarkEnd w:id="17"/>
    </w:p>
    <w:p w14:paraId="7A597517">
      <w:pPr>
        <w:bidi w:val="0"/>
        <w:jc w:val="center"/>
        <w:rPr>
          <w:rFonts w:hint="default" w:ascii="Times New Roman" w:hAnsi="Times New Roman" w:cs="Times New Roman"/>
          <w:b/>
          <w:snapToGrid w:val="0"/>
          <w:color w:val="auto"/>
          <w:sz w:val="28"/>
          <w:szCs w:val="28"/>
        </w:rPr>
      </w:pPr>
      <w:bookmarkStart w:id="18" w:name="_Toc67775558"/>
      <w:bookmarkStart w:id="19" w:name="_Toc72793137"/>
      <w:r>
        <w:rPr>
          <w:rFonts w:hint="default" w:ascii="Times New Roman" w:hAnsi="Times New Roman" w:eastAsia="方正小标宋_GBK" w:cs="Times New Roman"/>
          <w:b/>
          <w:snapToGrid w:val="0"/>
          <w:color w:val="auto"/>
          <w:sz w:val="28"/>
          <w:szCs w:val="28"/>
        </w:rPr>
        <w:t>建设项目污染物排放量汇总表</w:t>
      </w:r>
      <w:bookmarkEnd w:id="18"/>
      <w:r>
        <w:rPr>
          <w:rFonts w:hint="default" w:ascii="Times New Roman" w:hAnsi="Times New Roman" w:eastAsia="方正小标宋_GBK" w:cs="Times New Roman"/>
          <w:b/>
          <w:snapToGrid w:val="0"/>
          <w:color w:val="auto"/>
          <w:sz w:val="28"/>
          <w:szCs w:val="28"/>
        </w:rPr>
        <w:t xml:space="preserve">  单位</w:t>
      </w:r>
      <w:r>
        <w:rPr>
          <w:rFonts w:hint="default" w:ascii="Times New Roman" w:hAnsi="Times New Roman" w:cs="Times New Roman"/>
          <w:b/>
          <w:snapToGrid w:val="0"/>
          <w:color w:val="auto"/>
          <w:sz w:val="28"/>
          <w:szCs w:val="28"/>
        </w:rPr>
        <w:t>：t/a</w:t>
      </w:r>
      <w:bookmarkEnd w:id="19"/>
    </w:p>
    <w:tbl>
      <w:tblPr>
        <w:tblStyle w:val="26"/>
        <w:tblW w:w="140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860"/>
        <w:gridCol w:w="1207"/>
        <w:gridCol w:w="2568"/>
        <w:gridCol w:w="1456"/>
        <w:gridCol w:w="1125"/>
        <w:gridCol w:w="1246"/>
        <w:gridCol w:w="1456"/>
        <w:gridCol w:w="1246"/>
        <w:gridCol w:w="1456"/>
        <w:gridCol w:w="1456"/>
      </w:tblGrid>
      <w:tr w14:paraId="74F3A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59" w:hRule="atLeast"/>
          <w:jc w:val="center"/>
        </w:trPr>
        <w:tc>
          <w:tcPr>
            <w:tcW w:w="2067" w:type="dxa"/>
            <w:gridSpan w:val="2"/>
            <w:tcBorders>
              <w:tl2br w:val="nil"/>
              <w:tr2bl w:val="nil"/>
            </w:tcBorders>
            <w:shd w:val="clear" w:color="auto" w:fill="auto"/>
            <w:vAlign w:val="center"/>
          </w:tcPr>
          <w:p w14:paraId="369CAAEC">
            <w:pPr>
              <w:keepNext w:val="0"/>
              <w:keepLines w:val="0"/>
              <w:widowControl/>
              <w:suppressLineNumbers w:val="0"/>
              <w:jc w:val="center"/>
              <w:textAlignment w:val="center"/>
              <w:rPr>
                <w:rFonts w:hint="default" w:ascii="Times New Roman" w:hAnsi="Times New Roman" w:eastAsia="宋体" w:cs="Times New Roman"/>
                <w:b/>
                <w:bCs/>
                <w:i w:val="0"/>
                <w:iCs w:val="0"/>
                <w:color w:val="000000"/>
                <w:kern w:val="0"/>
                <w:sz w:val="21"/>
                <w:szCs w:val="21"/>
                <w:u w:val="none"/>
                <w:lang w:val="en-US" w:eastAsia="zh-CN" w:bidi="ar"/>
              </w:rPr>
            </w:pPr>
            <w:r>
              <w:rPr>
                <w:rFonts w:hint="default" w:ascii="Times New Roman" w:hAnsi="Times New Roman" w:eastAsia="宋体" w:cs="Times New Roman"/>
                <w:b/>
                <w:bCs/>
                <w:i w:val="0"/>
                <w:iCs w:val="0"/>
                <w:color w:val="000000"/>
                <w:kern w:val="0"/>
                <w:sz w:val="21"/>
                <w:szCs w:val="21"/>
                <w:u w:val="none"/>
                <w:lang w:val="en-US" w:eastAsia="zh-CN" w:bidi="ar"/>
              </w:rPr>
              <w:t xml:space="preserve">        </w:t>
            </w:r>
            <w:r>
              <w:rPr>
                <w:rFonts w:hint="eastAsia" w:ascii="Times New Roman" w:hAnsi="Times New Roman" w:eastAsia="宋体" w:cs="Times New Roman"/>
                <w:b/>
                <w:bCs/>
                <w:i w:val="0"/>
                <w:iCs w:val="0"/>
                <w:color w:val="000000"/>
                <w:kern w:val="0"/>
                <w:sz w:val="21"/>
                <w:szCs w:val="21"/>
                <w:u w:val="none"/>
                <w:lang w:val="en-US" w:eastAsia="zh-CN" w:bidi="ar"/>
              </w:rPr>
              <w:t xml:space="preserve">    </w:t>
            </w:r>
            <w:r>
              <w:rPr>
                <w:rFonts w:hint="eastAsia" w:ascii="宋体" w:hAnsi="宋体" w:eastAsia="宋体" w:cs="宋体"/>
                <w:b/>
                <w:bCs/>
                <w:i w:val="0"/>
                <w:iCs w:val="0"/>
                <w:color w:val="000000"/>
                <w:kern w:val="0"/>
                <w:sz w:val="21"/>
                <w:szCs w:val="21"/>
                <w:u w:val="none"/>
                <w:lang w:val="en-US" w:eastAsia="zh-CN" w:bidi="ar"/>
              </w:rPr>
              <w:t>项目</w:t>
            </w:r>
          </w:p>
          <w:p w14:paraId="7B715811">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分类</w:t>
            </w:r>
          </w:p>
        </w:tc>
        <w:tc>
          <w:tcPr>
            <w:tcW w:w="2568" w:type="dxa"/>
            <w:tcBorders>
              <w:tl2br w:val="nil"/>
              <w:tr2bl w:val="nil"/>
            </w:tcBorders>
            <w:shd w:val="clear" w:color="auto" w:fill="auto"/>
            <w:vAlign w:val="center"/>
          </w:tcPr>
          <w:p w14:paraId="4A7F8FE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污染物名称</w:t>
            </w:r>
          </w:p>
        </w:tc>
        <w:tc>
          <w:tcPr>
            <w:tcW w:w="1456" w:type="dxa"/>
            <w:tcBorders>
              <w:tl2br w:val="nil"/>
              <w:tr2bl w:val="nil"/>
            </w:tcBorders>
            <w:shd w:val="clear" w:color="auto" w:fill="auto"/>
            <w:vAlign w:val="center"/>
          </w:tcPr>
          <w:p w14:paraId="712439F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现有工程排放量（固体废物产生量）</w:t>
            </w:r>
            <w:r>
              <w:rPr>
                <w:rFonts w:hint="default" w:ascii="Times New Roman" w:hAnsi="Times New Roman" w:eastAsia="宋体" w:cs="Times New Roman"/>
                <w:b/>
                <w:bCs/>
                <w:i w:val="0"/>
                <w:iCs w:val="0"/>
                <w:color w:val="000000"/>
                <w:kern w:val="0"/>
                <w:sz w:val="21"/>
                <w:szCs w:val="21"/>
                <w:u w:val="none"/>
                <w:lang w:val="en-US" w:eastAsia="zh-CN" w:bidi="ar"/>
              </w:rPr>
              <w:t>①</w:t>
            </w:r>
          </w:p>
        </w:tc>
        <w:tc>
          <w:tcPr>
            <w:tcW w:w="1125" w:type="dxa"/>
            <w:tcBorders>
              <w:tl2br w:val="nil"/>
              <w:tr2bl w:val="nil"/>
            </w:tcBorders>
            <w:shd w:val="clear" w:color="auto" w:fill="auto"/>
            <w:vAlign w:val="center"/>
          </w:tcPr>
          <w:p w14:paraId="1DAE870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现有工程许可排放量</w:t>
            </w:r>
            <w:r>
              <w:rPr>
                <w:rFonts w:hint="default" w:ascii="Times New Roman" w:hAnsi="Times New Roman" w:eastAsia="宋体" w:cs="Times New Roman"/>
                <w:b/>
                <w:bCs/>
                <w:i w:val="0"/>
                <w:iCs w:val="0"/>
                <w:color w:val="000000"/>
                <w:kern w:val="0"/>
                <w:sz w:val="21"/>
                <w:szCs w:val="21"/>
                <w:u w:val="none"/>
                <w:lang w:val="en-US" w:eastAsia="zh-CN" w:bidi="ar"/>
              </w:rPr>
              <w:t>②</w:t>
            </w:r>
          </w:p>
        </w:tc>
        <w:tc>
          <w:tcPr>
            <w:tcW w:w="1246" w:type="dxa"/>
            <w:tcBorders>
              <w:tl2br w:val="nil"/>
              <w:tr2bl w:val="nil"/>
            </w:tcBorders>
            <w:shd w:val="clear" w:color="auto" w:fill="auto"/>
            <w:vAlign w:val="center"/>
          </w:tcPr>
          <w:p w14:paraId="4991E58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在建工程排放量（固体废物产生量）</w:t>
            </w:r>
            <w:r>
              <w:rPr>
                <w:rFonts w:hint="default" w:ascii="Times New Roman" w:hAnsi="Times New Roman" w:eastAsia="宋体" w:cs="Times New Roman"/>
                <w:b/>
                <w:bCs/>
                <w:i w:val="0"/>
                <w:iCs w:val="0"/>
                <w:color w:val="000000"/>
                <w:kern w:val="0"/>
                <w:sz w:val="21"/>
                <w:szCs w:val="21"/>
                <w:u w:val="none"/>
                <w:lang w:val="en-US" w:eastAsia="zh-CN" w:bidi="ar"/>
              </w:rPr>
              <w:t>③</w:t>
            </w:r>
          </w:p>
        </w:tc>
        <w:tc>
          <w:tcPr>
            <w:tcW w:w="1456" w:type="dxa"/>
            <w:tcBorders>
              <w:tl2br w:val="nil"/>
              <w:tr2bl w:val="nil"/>
            </w:tcBorders>
            <w:shd w:val="clear" w:color="auto" w:fill="auto"/>
            <w:vAlign w:val="center"/>
          </w:tcPr>
          <w:p w14:paraId="00833BF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本项目排放量（固体废物产生量）</w:t>
            </w:r>
            <w:r>
              <w:rPr>
                <w:rFonts w:hint="default" w:ascii="Times New Roman" w:hAnsi="Times New Roman" w:eastAsia="宋体" w:cs="Times New Roman"/>
                <w:b/>
                <w:bCs/>
                <w:i w:val="0"/>
                <w:iCs w:val="0"/>
                <w:color w:val="000000"/>
                <w:kern w:val="0"/>
                <w:sz w:val="21"/>
                <w:szCs w:val="21"/>
                <w:u w:val="none"/>
                <w:lang w:val="en-US" w:eastAsia="zh-CN" w:bidi="ar"/>
              </w:rPr>
              <w:t>④</w:t>
            </w:r>
          </w:p>
        </w:tc>
        <w:tc>
          <w:tcPr>
            <w:tcW w:w="1246" w:type="dxa"/>
            <w:tcBorders>
              <w:tl2br w:val="nil"/>
              <w:tr2bl w:val="nil"/>
            </w:tcBorders>
            <w:shd w:val="clear" w:color="auto" w:fill="auto"/>
            <w:vAlign w:val="center"/>
          </w:tcPr>
          <w:p w14:paraId="4D905A0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以新带老削减量（新建项目不填）</w:t>
            </w:r>
            <w:r>
              <w:rPr>
                <w:rFonts w:hint="default" w:ascii="Times New Roman" w:hAnsi="Times New Roman" w:eastAsia="宋体" w:cs="Times New Roman"/>
                <w:b/>
                <w:bCs/>
                <w:i w:val="0"/>
                <w:iCs w:val="0"/>
                <w:color w:val="000000"/>
                <w:kern w:val="0"/>
                <w:sz w:val="21"/>
                <w:szCs w:val="21"/>
                <w:u w:val="none"/>
                <w:lang w:val="en-US" w:eastAsia="zh-CN" w:bidi="ar"/>
              </w:rPr>
              <w:t>⑤</w:t>
            </w:r>
          </w:p>
        </w:tc>
        <w:tc>
          <w:tcPr>
            <w:tcW w:w="1456" w:type="dxa"/>
            <w:tcBorders>
              <w:tl2br w:val="nil"/>
              <w:tr2bl w:val="nil"/>
            </w:tcBorders>
            <w:shd w:val="clear" w:color="auto" w:fill="auto"/>
            <w:vAlign w:val="center"/>
          </w:tcPr>
          <w:p w14:paraId="5B30CC4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本项目建成后全厂排放量（固体废物产生量）</w:t>
            </w:r>
            <w:r>
              <w:rPr>
                <w:rFonts w:hint="default" w:ascii="Times New Roman" w:hAnsi="Times New Roman" w:eastAsia="宋体" w:cs="Times New Roman"/>
                <w:b/>
                <w:bCs/>
                <w:i w:val="0"/>
                <w:iCs w:val="0"/>
                <w:color w:val="000000"/>
                <w:kern w:val="0"/>
                <w:sz w:val="21"/>
                <w:szCs w:val="21"/>
                <w:u w:val="none"/>
                <w:lang w:val="en-US" w:eastAsia="zh-CN" w:bidi="ar"/>
              </w:rPr>
              <w:t>⑥</w:t>
            </w:r>
          </w:p>
        </w:tc>
        <w:tc>
          <w:tcPr>
            <w:tcW w:w="1456" w:type="dxa"/>
            <w:tcBorders>
              <w:tl2br w:val="nil"/>
              <w:tr2bl w:val="nil"/>
            </w:tcBorders>
            <w:shd w:val="clear" w:color="auto" w:fill="auto"/>
            <w:vAlign w:val="center"/>
          </w:tcPr>
          <w:p w14:paraId="41AEC3A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变化量</w:t>
            </w:r>
            <w:r>
              <w:rPr>
                <w:rFonts w:hint="default" w:ascii="Times New Roman" w:hAnsi="Times New Roman" w:eastAsia="宋体" w:cs="Times New Roman"/>
                <w:b/>
                <w:bCs/>
                <w:i w:val="0"/>
                <w:iCs w:val="0"/>
                <w:color w:val="000000"/>
                <w:kern w:val="0"/>
                <w:sz w:val="21"/>
                <w:szCs w:val="21"/>
                <w:u w:val="none"/>
                <w:lang w:val="en-US" w:eastAsia="zh-CN" w:bidi="ar"/>
              </w:rPr>
              <w:t>⑦</w:t>
            </w:r>
          </w:p>
        </w:tc>
      </w:tr>
      <w:tr w14:paraId="55BDE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restart"/>
            <w:tcBorders>
              <w:tl2br w:val="nil"/>
              <w:tr2bl w:val="nil"/>
            </w:tcBorders>
            <w:shd w:val="clear" w:color="auto" w:fill="auto"/>
            <w:noWrap/>
            <w:vAlign w:val="center"/>
          </w:tcPr>
          <w:p w14:paraId="3CAE50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废气</w:t>
            </w:r>
          </w:p>
        </w:tc>
        <w:tc>
          <w:tcPr>
            <w:tcW w:w="1207" w:type="dxa"/>
            <w:vMerge w:val="restart"/>
            <w:tcBorders>
              <w:tl2br w:val="nil"/>
              <w:tr2bl w:val="nil"/>
            </w:tcBorders>
            <w:shd w:val="clear" w:color="auto" w:fill="auto"/>
            <w:noWrap/>
            <w:vAlign w:val="center"/>
          </w:tcPr>
          <w:p w14:paraId="0DEB4F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有组织</w:t>
            </w:r>
          </w:p>
        </w:tc>
        <w:tc>
          <w:tcPr>
            <w:tcW w:w="2568" w:type="dxa"/>
            <w:tcBorders>
              <w:tl2br w:val="nil"/>
              <w:tr2bl w:val="nil"/>
            </w:tcBorders>
            <w:shd w:val="clear" w:color="auto" w:fill="auto"/>
            <w:noWrap/>
            <w:vAlign w:val="center"/>
          </w:tcPr>
          <w:p w14:paraId="70655E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456" w:type="dxa"/>
            <w:tcBorders>
              <w:tl2br w:val="nil"/>
              <w:tr2bl w:val="nil"/>
            </w:tcBorders>
            <w:shd w:val="clear" w:color="auto" w:fill="auto"/>
            <w:vAlign w:val="center"/>
          </w:tcPr>
          <w:p w14:paraId="68CBFE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34795B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6B31C7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D260D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6.02E-06</w:t>
            </w:r>
          </w:p>
        </w:tc>
        <w:tc>
          <w:tcPr>
            <w:tcW w:w="1246" w:type="dxa"/>
            <w:tcBorders>
              <w:tl2br w:val="nil"/>
              <w:tr2bl w:val="nil"/>
            </w:tcBorders>
            <w:shd w:val="clear" w:color="auto" w:fill="auto"/>
            <w:vAlign w:val="center"/>
          </w:tcPr>
          <w:p w14:paraId="25EC79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B8F72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6.02E-06</w:t>
            </w:r>
          </w:p>
        </w:tc>
        <w:tc>
          <w:tcPr>
            <w:tcW w:w="1456" w:type="dxa"/>
            <w:tcBorders>
              <w:tl2br w:val="nil"/>
              <w:tr2bl w:val="nil"/>
            </w:tcBorders>
            <w:shd w:val="clear" w:color="auto" w:fill="auto"/>
            <w:vAlign w:val="center"/>
          </w:tcPr>
          <w:p w14:paraId="6A1045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6.02E-06</w:t>
            </w:r>
          </w:p>
        </w:tc>
      </w:tr>
      <w:tr w14:paraId="3BC61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3B6714A7">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7ADE90B0">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6AF799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456" w:type="dxa"/>
            <w:tcBorders>
              <w:tl2br w:val="nil"/>
              <w:tr2bl w:val="nil"/>
            </w:tcBorders>
            <w:shd w:val="clear" w:color="auto" w:fill="auto"/>
            <w:vAlign w:val="center"/>
          </w:tcPr>
          <w:p w14:paraId="437D33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65A7CE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5964B1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0FAF6A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r>
              <w:rPr>
                <w:rFonts w:hint="eastAsia" w:cs="Times New Roman"/>
                <w:i w:val="0"/>
                <w:iCs w:val="0"/>
                <w:color w:val="000000"/>
                <w:kern w:val="0"/>
                <w:sz w:val="21"/>
                <w:szCs w:val="21"/>
                <w:u w:val="none"/>
                <w:lang w:val="en-US" w:eastAsia="zh-CN" w:bidi="ar"/>
              </w:rPr>
              <w:t>684</w:t>
            </w:r>
          </w:p>
        </w:tc>
        <w:tc>
          <w:tcPr>
            <w:tcW w:w="1246" w:type="dxa"/>
            <w:tcBorders>
              <w:tl2br w:val="nil"/>
              <w:tr2bl w:val="nil"/>
            </w:tcBorders>
            <w:shd w:val="clear" w:color="auto" w:fill="auto"/>
            <w:vAlign w:val="center"/>
          </w:tcPr>
          <w:p w14:paraId="70F4BC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7E87B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r>
              <w:rPr>
                <w:rFonts w:hint="eastAsia" w:cs="Times New Roman"/>
                <w:i w:val="0"/>
                <w:iCs w:val="0"/>
                <w:color w:val="000000"/>
                <w:kern w:val="0"/>
                <w:sz w:val="21"/>
                <w:szCs w:val="21"/>
                <w:u w:val="none"/>
                <w:lang w:val="en-US" w:eastAsia="zh-CN" w:bidi="ar"/>
              </w:rPr>
              <w:t>684</w:t>
            </w:r>
          </w:p>
        </w:tc>
        <w:tc>
          <w:tcPr>
            <w:tcW w:w="1456" w:type="dxa"/>
            <w:tcBorders>
              <w:tl2br w:val="nil"/>
              <w:tr2bl w:val="nil"/>
            </w:tcBorders>
            <w:shd w:val="clear" w:color="auto" w:fill="auto"/>
            <w:vAlign w:val="center"/>
          </w:tcPr>
          <w:p w14:paraId="57BC60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3.</w:t>
            </w:r>
            <w:r>
              <w:rPr>
                <w:rFonts w:hint="eastAsia" w:cs="Times New Roman"/>
                <w:i w:val="0"/>
                <w:iCs w:val="0"/>
                <w:color w:val="000000"/>
                <w:kern w:val="0"/>
                <w:sz w:val="21"/>
                <w:szCs w:val="21"/>
                <w:u w:val="none"/>
                <w:lang w:val="en-US" w:eastAsia="zh-CN" w:bidi="ar"/>
              </w:rPr>
              <w:t>684</w:t>
            </w:r>
          </w:p>
        </w:tc>
      </w:tr>
      <w:tr w14:paraId="62559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860" w:type="dxa"/>
            <w:vMerge w:val="continue"/>
            <w:tcBorders>
              <w:tl2br w:val="nil"/>
              <w:tr2bl w:val="nil"/>
            </w:tcBorders>
            <w:shd w:val="clear" w:color="auto" w:fill="auto"/>
            <w:noWrap/>
            <w:vAlign w:val="center"/>
          </w:tcPr>
          <w:p w14:paraId="2BF51F5C">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5E2D83A0">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3BB1DE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456" w:type="dxa"/>
            <w:tcBorders>
              <w:tl2br w:val="nil"/>
              <w:tr2bl w:val="nil"/>
            </w:tcBorders>
            <w:shd w:val="clear" w:color="auto" w:fill="auto"/>
            <w:vAlign w:val="center"/>
          </w:tcPr>
          <w:p w14:paraId="3DA358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6188F1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38D2C7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477DBF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0.208</w:t>
            </w:r>
          </w:p>
        </w:tc>
        <w:tc>
          <w:tcPr>
            <w:tcW w:w="1246" w:type="dxa"/>
            <w:tcBorders>
              <w:tl2br w:val="nil"/>
              <w:tr2bl w:val="nil"/>
            </w:tcBorders>
            <w:shd w:val="clear" w:color="auto" w:fill="auto"/>
            <w:vAlign w:val="center"/>
          </w:tcPr>
          <w:p w14:paraId="600A13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60B206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0.208</w:t>
            </w:r>
          </w:p>
        </w:tc>
        <w:tc>
          <w:tcPr>
            <w:tcW w:w="1456" w:type="dxa"/>
            <w:tcBorders>
              <w:tl2br w:val="nil"/>
              <w:tr2bl w:val="nil"/>
            </w:tcBorders>
            <w:shd w:val="clear" w:color="auto" w:fill="auto"/>
            <w:vAlign w:val="center"/>
          </w:tcPr>
          <w:p w14:paraId="529E4C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0.208</w:t>
            </w:r>
          </w:p>
        </w:tc>
      </w:tr>
      <w:tr w14:paraId="191A0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7958C0BB">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09FAA73C">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716861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锡及其化合物</w:t>
            </w:r>
          </w:p>
        </w:tc>
        <w:tc>
          <w:tcPr>
            <w:tcW w:w="1456" w:type="dxa"/>
            <w:tcBorders>
              <w:tl2br w:val="nil"/>
              <w:tr2bl w:val="nil"/>
            </w:tcBorders>
            <w:shd w:val="clear" w:color="auto" w:fill="auto"/>
            <w:vAlign w:val="center"/>
          </w:tcPr>
          <w:p w14:paraId="3FEBCE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5ABC99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31059C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62B5DD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7.92E-05</w:t>
            </w:r>
          </w:p>
        </w:tc>
        <w:tc>
          <w:tcPr>
            <w:tcW w:w="1246" w:type="dxa"/>
            <w:tcBorders>
              <w:tl2br w:val="nil"/>
              <w:tr2bl w:val="nil"/>
            </w:tcBorders>
            <w:shd w:val="clear" w:color="auto" w:fill="auto"/>
            <w:vAlign w:val="center"/>
          </w:tcPr>
          <w:p w14:paraId="27881C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435F84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7.92E-05</w:t>
            </w:r>
          </w:p>
        </w:tc>
        <w:tc>
          <w:tcPr>
            <w:tcW w:w="1456" w:type="dxa"/>
            <w:tcBorders>
              <w:tl2br w:val="nil"/>
              <w:tr2bl w:val="nil"/>
            </w:tcBorders>
            <w:shd w:val="clear" w:color="auto" w:fill="auto"/>
            <w:vAlign w:val="center"/>
          </w:tcPr>
          <w:p w14:paraId="2D1C36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7.92E-05</w:t>
            </w:r>
          </w:p>
        </w:tc>
      </w:tr>
      <w:tr w14:paraId="64830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776061A0">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4531A202">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0D2476D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456" w:type="dxa"/>
            <w:tcBorders>
              <w:tl2br w:val="nil"/>
              <w:tr2bl w:val="nil"/>
            </w:tcBorders>
            <w:shd w:val="clear" w:color="auto" w:fill="auto"/>
            <w:vAlign w:val="center"/>
          </w:tcPr>
          <w:p w14:paraId="7924087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721597D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75A4DAB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08D0E79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1.49E-03</w:t>
            </w:r>
          </w:p>
        </w:tc>
        <w:tc>
          <w:tcPr>
            <w:tcW w:w="1246" w:type="dxa"/>
            <w:tcBorders>
              <w:tl2br w:val="nil"/>
              <w:tr2bl w:val="nil"/>
            </w:tcBorders>
            <w:shd w:val="clear" w:color="auto" w:fill="auto"/>
            <w:vAlign w:val="center"/>
          </w:tcPr>
          <w:p w14:paraId="47F6DAA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5E4C87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1.49E-03</w:t>
            </w:r>
          </w:p>
        </w:tc>
        <w:tc>
          <w:tcPr>
            <w:tcW w:w="1456" w:type="dxa"/>
            <w:tcBorders>
              <w:tl2br w:val="nil"/>
              <w:tr2bl w:val="nil"/>
            </w:tcBorders>
            <w:shd w:val="clear" w:color="auto" w:fill="auto"/>
            <w:vAlign w:val="center"/>
          </w:tcPr>
          <w:p w14:paraId="34F6CB5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1.49E-03</w:t>
            </w:r>
          </w:p>
        </w:tc>
      </w:tr>
      <w:tr w14:paraId="1AE2E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7A4112DE">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1502A278">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466139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456" w:type="dxa"/>
            <w:tcBorders>
              <w:tl2br w:val="nil"/>
              <w:tr2bl w:val="nil"/>
            </w:tcBorders>
            <w:shd w:val="clear" w:color="auto" w:fill="auto"/>
            <w:vAlign w:val="center"/>
          </w:tcPr>
          <w:p w14:paraId="19EDAC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2BF5A6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33480B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7D04BE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0.416</w:t>
            </w:r>
          </w:p>
        </w:tc>
        <w:tc>
          <w:tcPr>
            <w:tcW w:w="1246" w:type="dxa"/>
            <w:tcBorders>
              <w:tl2br w:val="nil"/>
              <w:tr2bl w:val="nil"/>
            </w:tcBorders>
            <w:shd w:val="clear" w:color="auto" w:fill="auto"/>
            <w:vAlign w:val="center"/>
          </w:tcPr>
          <w:p w14:paraId="0430B1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4CC34E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0.416</w:t>
            </w:r>
          </w:p>
        </w:tc>
        <w:tc>
          <w:tcPr>
            <w:tcW w:w="1456" w:type="dxa"/>
            <w:tcBorders>
              <w:tl2br w:val="nil"/>
              <w:tr2bl w:val="nil"/>
            </w:tcBorders>
            <w:shd w:val="clear" w:color="auto" w:fill="auto"/>
            <w:vAlign w:val="center"/>
          </w:tcPr>
          <w:p w14:paraId="10AB67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0.416</w:t>
            </w:r>
          </w:p>
        </w:tc>
      </w:tr>
      <w:tr w14:paraId="5DE79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1F98EDB9">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540F78EA">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6E9081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456" w:type="dxa"/>
            <w:tcBorders>
              <w:tl2br w:val="nil"/>
              <w:tr2bl w:val="nil"/>
            </w:tcBorders>
            <w:shd w:val="clear" w:color="auto" w:fill="auto"/>
            <w:vAlign w:val="center"/>
          </w:tcPr>
          <w:p w14:paraId="4E8A74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25AD7B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4088C8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577AE5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1.283</w:t>
            </w:r>
          </w:p>
        </w:tc>
        <w:tc>
          <w:tcPr>
            <w:tcW w:w="1246" w:type="dxa"/>
            <w:tcBorders>
              <w:tl2br w:val="nil"/>
              <w:tr2bl w:val="nil"/>
            </w:tcBorders>
            <w:shd w:val="clear" w:color="auto" w:fill="auto"/>
            <w:vAlign w:val="center"/>
          </w:tcPr>
          <w:p w14:paraId="2BF434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0F00BD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1.283</w:t>
            </w:r>
          </w:p>
        </w:tc>
        <w:tc>
          <w:tcPr>
            <w:tcW w:w="1456" w:type="dxa"/>
            <w:tcBorders>
              <w:tl2br w:val="nil"/>
              <w:tr2bl w:val="nil"/>
            </w:tcBorders>
            <w:shd w:val="clear" w:color="auto" w:fill="auto"/>
            <w:vAlign w:val="center"/>
          </w:tcPr>
          <w:p w14:paraId="137674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1.283</w:t>
            </w:r>
          </w:p>
        </w:tc>
      </w:tr>
      <w:tr w14:paraId="3CB4F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3475960C">
            <w:pPr>
              <w:jc w:val="center"/>
              <w:rPr>
                <w:rFonts w:hint="eastAsia" w:ascii="宋体" w:hAnsi="宋体" w:eastAsia="宋体" w:cs="宋体"/>
                <w:i w:val="0"/>
                <w:iCs w:val="0"/>
                <w:color w:val="000000"/>
                <w:sz w:val="21"/>
                <w:szCs w:val="21"/>
                <w:u w:val="none"/>
              </w:rPr>
            </w:pPr>
          </w:p>
        </w:tc>
        <w:tc>
          <w:tcPr>
            <w:tcW w:w="1207" w:type="dxa"/>
            <w:vMerge w:val="restart"/>
            <w:tcBorders>
              <w:tl2br w:val="nil"/>
              <w:tr2bl w:val="nil"/>
            </w:tcBorders>
            <w:shd w:val="clear" w:color="auto" w:fill="auto"/>
            <w:noWrap/>
            <w:vAlign w:val="center"/>
          </w:tcPr>
          <w:p w14:paraId="38DA7D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无组织</w:t>
            </w:r>
          </w:p>
        </w:tc>
        <w:tc>
          <w:tcPr>
            <w:tcW w:w="2568" w:type="dxa"/>
            <w:tcBorders>
              <w:tl2br w:val="nil"/>
              <w:tr2bl w:val="nil"/>
            </w:tcBorders>
            <w:shd w:val="clear" w:color="auto" w:fill="auto"/>
            <w:noWrap/>
            <w:vAlign w:val="center"/>
          </w:tcPr>
          <w:p w14:paraId="5A2A08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w:t>
            </w:r>
          </w:p>
        </w:tc>
        <w:tc>
          <w:tcPr>
            <w:tcW w:w="1456" w:type="dxa"/>
            <w:tcBorders>
              <w:tl2br w:val="nil"/>
              <w:tr2bl w:val="nil"/>
            </w:tcBorders>
            <w:shd w:val="clear" w:color="auto" w:fill="auto"/>
            <w:vAlign w:val="center"/>
          </w:tcPr>
          <w:p w14:paraId="27B980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3C6FB6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47D395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4B1F86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6.08E-08</w:t>
            </w:r>
          </w:p>
        </w:tc>
        <w:tc>
          <w:tcPr>
            <w:tcW w:w="1246" w:type="dxa"/>
            <w:tcBorders>
              <w:tl2br w:val="nil"/>
              <w:tr2bl w:val="nil"/>
            </w:tcBorders>
            <w:shd w:val="clear" w:color="auto" w:fill="auto"/>
            <w:vAlign w:val="center"/>
          </w:tcPr>
          <w:p w14:paraId="46B741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9CB7F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6.08E-08</w:t>
            </w:r>
          </w:p>
        </w:tc>
        <w:tc>
          <w:tcPr>
            <w:tcW w:w="1456" w:type="dxa"/>
            <w:tcBorders>
              <w:tl2br w:val="nil"/>
              <w:tr2bl w:val="nil"/>
            </w:tcBorders>
            <w:shd w:val="clear" w:color="auto" w:fill="auto"/>
            <w:vAlign w:val="center"/>
          </w:tcPr>
          <w:p w14:paraId="22841F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6.08E-08</w:t>
            </w:r>
          </w:p>
        </w:tc>
      </w:tr>
      <w:tr w14:paraId="4164C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3E9B4F76">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7D4A24A3">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1B22F1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氮氧化物</w:t>
            </w:r>
          </w:p>
        </w:tc>
        <w:tc>
          <w:tcPr>
            <w:tcW w:w="1456" w:type="dxa"/>
            <w:tcBorders>
              <w:tl2br w:val="nil"/>
              <w:tr2bl w:val="nil"/>
            </w:tcBorders>
            <w:shd w:val="clear" w:color="auto" w:fill="auto"/>
            <w:vAlign w:val="center"/>
          </w:tcPr>
          <w:p w14:paraId="00B756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53D5C0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0C50C0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752BC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w:t>
            </w:r>
            <w:r>
              <w:rPr>
                <w:rFonts w:hint="eastAsia" w:cs="Times New Roman"/>
                <w:i w:val="0"/>
                <w:iCs w:val="0"/>
                <w:color w:val="000000"/>
                <w:kern w:val="0"/>
                <w:sz w:val="21"/>
                <w:szCs w:val="21"/>
                <w:u w:val="none"/>
                <w:lang w:val="en-US" w:eastAsia="zh-CN" w:bidi="ar"/>
              </w:rPr>
              <w:t>34</w:t>
            </w:r>
          </w:p>
        </w:tc>
        <w:tc>
          <w:tcPr>
            <w:tcW w:w="1246" w:type="dxa"/>
            <w:tcBorders>
              <w:tl2br w:val="nil"/>
              <w:tr2bl w:val="nil"/>
            </w:tcBorders>
            <w:shd w:val="clear" w:color="auto" w:fill="auto"/>
            <w:vAlign w:val="center"/>
          </w:tcPr>
          <w:p w14:paraId="07F835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68E49A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w:t>
            </w:r>
            <w:r>
              <w:rPr>
                <w:rFonts w:hint="eastAsia" w:cs="Times New Roman"/>
                <w:i w:val="0"/>
                <w:iCs w:val="0"/>
                <w:color w:val="000000"/>
                <w:kern w:val="0"/>
                <w:sz w:val="21"/>
                <w:szCs w:val="21"/>
                <w:u w:val="none"/>
                <w:lang w:val="en-US" w:eastAsia="zh-CN" w:bidi="ar"/>
              </w:rPr>
              <w:t>34</w:t>
            </w:r>
          </w:p>
        </w:tc>
        <w:tc>
          <w:tcPr>
            <w:tcW w:w="1456" w:type="dxa"/>
            <w:tcBorders>
              <w:tl2br w:val="nil"/>
              <w:tr2bl w:val="nil"/>
            </w:tcBorders>
            <w:shd w:val="clear" w:color="auto" w:fill="auto"/>
            <w:vAlign w:val="center"/>
          </w:tcPr>
          <w:p w14:paraId="25BF77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0.0</w:t>
            </w:r>
            <w:r>
              <w:rPr>
                <w:rFonts w:hint="eastAsia" w:cs="Times New Roman"/>
                <w:i w:val="0"/>
                <w:iCs w:val="0"/>
                <w:color w:val="000000"/>
                <w:kern w:val="0"/>
                <w:sz w:val="21"/>
                <w:szCs w:val="21"/>
                <w:u w:val="none"/>
                <w:lang w:val="en-US" w:eastAsia="zh-CN" w:bidi="ar"/>
              </w:rPr>
              <w:t>34</w:t>
            </w:r>
          </w:p>
        </w:tc>
      </w:tr>
      <w:tr w14:paraId="2DA21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860" w:type="dxa"/>
            <w:vMerge w:val="continue"/>
            <w:tcBorders>
              <w:tl2br w:val="nil"/>
              <w:tr2bl w:val="nil"/>
            </w:tcBorders>
            <w:shd w:val="clear" w:color="auto" w:fill="auto"/>
            <w:noWrap/>
            <w:vAlign w:val="center"/>
          </w:tcPr>
          <w:p w14:paraId="5A63F91A">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751C390C">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45AF32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颗粒物（</w:t>
            </w:r>
            <w:r>
              <w:rPr>
                <w:rFonts w:hint="eastAsia" w:ascii="宋体" w:hAnsi="宋体" w:cs="宋体"/>
                <w:i w:val="0"/>
                <w:iCs w:val="0"/>
                <w:color w:val="000000"/>
                <w:kern w:val="0"/>
                <w:sz w:val="21"/>
                <w:szCs w:val="21"/>
                <w:u w:val="none"/>
                <w:lang w:val="en-US" w:eastAsia="zh-CN" w:bidi="ar"/>
              </w:rPr>
              <w:t>含炭黑尘、铜、锡等</w:t>
            </w:r>
            <w:r>
              <w:rPr>
                <w:rFonts w:hint="eastAsia" w:ascii="宋体" w:hAnsi="宋体" w:eastAsia="宋体" w:cs="宋体"/>
                <w:i w:val="0"/>
                <w:iCs w:val="0"/>
                <w:color w:val="000000"/>
                <w:kern w:val="0"/>
                <w:sz w:val="21"/>
                <w:szCs w:val="21"/>
                <w:u w:val="none"/>
                <w:lang w:val="en-US" w:eastAsia="zh-CN" w:bidi="ar"/>
              </w:rPr>
              <w:t>）</w:t>
            </w:r>
          </w:p>
        </w:tc>
        <w:tc>
          <w:tcPr>
            <w:tcW w:w="1456" w:type="dxa"/>
            <w:tcBorders>
              <w:tl2br w:val="nil"/>
              <w:tr2bl w:val="nil"/>
            </w:tcBorders>
            <w:shd w:val="clear" w:color="auto" w:fill="auto"/>
            <w:vAlign w:val="center"/>
          </w:tcPr>
          <w:p w14:paraId="1BB27E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5FF0DC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544DEB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49943A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0.269</w:t>
            </w:r>
          </w:p>
        </w:tc>
        <w:tc>
          <w:tcPr>
            <w:tcW w:w="1246" w:type="dxa"/>
            <w:tcBorders>
              <w:tl2br w:val="nil"/>
              <w:tr2bl w:val="nil"/>
            </w:tcBorders>
            <w:shd w:val="clear" w:color="auto" w:fill="auto"/>
            <w:vAlign w:val="center"/>
          </w:tcPr>
          <w:p w14:paraId="67CF6D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37CDB0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0.269</w:t>
            </w:r>
          </w:p>
        </w:tc>
        <w:tc>
          <w:tcPr>
            <w:tcW w:w="1456" w:type="dxa"/>
            <w:tcBorders>
              <w:tl2br w:val="nil"/>
              <w:tr2bl w:val="nil"/>
            </w:tcBorders>
            <w:shd w:val="clear" w:color="auto" w:fill="auto"/>
            <w:vAlign w:val="center"/>
          </w:tcPr>
          <w:p w14:paraId="0B3268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0.269</w:t>
            </w:r>
          </w:p>
        </w:tc>
      </w:tr>
      <w:tr w14:paraId="51D17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08489087">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51510881">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77B23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锡及其化合物</w:t>
            </w:r>
          </w:p>
        </w:tc>
        <w:tc>
          <w:tcPr>
            <w:tcW w:w="1456" w:type="dxa"/>
            <w:tcBorders>
              <w:tl2br w:val="nil"/>
              <w:tr2bl w:val="nil"/>
            </w:tcBorders>
            <w:shd w:val="clear" w:color="auto" w:fill="auto"/>
            <w:vAlign w:val="center"/>
          </w:tcPr>
          <w:p w14:paraId="048856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1F183B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4B1C69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071589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8.00E-05</w:t>
            </w:r>
          </w:p>
        </w:tc>
        <w:tc>
          <w:tcPr>
            <w:tcW w:w="1246" w:type="dxa"/>
            <w:tcBorders>
              <w:tl2br w:val="nil"/>
              <w:tr2bl w:val="nil"/>
            </w:tcBorders>
            <w:shd w:val="clear" w:color="auto" w:fill="auto"/>
            <w:vAlign w:val="center"/>
          </w:tcPr>
          <w:p w14:paraId="189064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3A43A7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8.00E-05</w:t>
            </w:r>
          </w:p>
        </w:tc>
        <w:tc>
          <w:tcPr>
            <w:tcW w:w="1456" w:type="dxa"/>
            <w:tcBorders>
              <w:tl2br w:val="nil"/>
              <w:tr2bl w:val="nil"/>
            </w:tcBorders>
            <w:shd w:val="clear" w:color="auto" w:fill="auto"/>
            <w:vAlign w:val="center"/>
          </w:tcPr>
          <w:p w14:paraId="291F4C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8.00E-05</w:t>
            </w:r>
          </w:p>
        </w:tc>
      </w:tr>
      <w:tr w14:paraId="47372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445D4A18">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794802C8">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53175E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铜及其化合物</w:t>
            </w:r>
          </w:p>
        </w:tc>
        <w:tc>
          <w:tcPr>
            <w:tcW w:w="1456" w:type="dxa"/>
            <w:tcBorders>
              <w:tl2br w:val="nil"/>
              <w:tr2bl w:val="nil"/>
            </w:tcBorders>
            <w:shd w:val="clear" w:color="auto" w:fill="auto"/>
            <w:vAlign w:val="center"/>
          </w:tcPr>
          <w:p w14:paraId="2A22980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52662FC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0C7308D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7818FF0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0.0015</w:t>
            </w:r>
          </w:p>
        </w:tc>
        <w:tc>
          <w:tcPr>
            <w:tcW w:w="1246" w:type="dxa"/>
            <w:tcBorders>
              <w:tl2br w:val="nil"/>
              <w:tr2bl w:val="nil"/>
            </w:tcBorders>
            <w:shd w:val="clear" w:color="auto" w:fill="auto"/>
            <w:vAlign w:val="center"/>
          </w:tcPr>
          <w:p w14:paraId="4B2523F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341E0D4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0.0015</w:t>
            </w:r>
          </w:p>
        </w:tc>
        <w:tc>
          <w:tcPr>
            <w:tcW w:w="1456" w:type="dxa"/>
            <w:tcBorders>
              <w:tl2br w:val="nil"/>
              <w:tr2bl w:val="nil"/>
            </w:tcBorders>
            <w:shd w:val="clear" w:color="auto" w:fill="auto"/>
            <w:vAlign w:val="center"/>
          </w:tcPr>
          <w:p w14:paraId="6F95A87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eastAsia" w:cs="Times New Roman"/>
                <w:i w:val="0"/>
                <w:iCs w:val="0"/>
                <w:color w:val="000000"/>
                <w:kern w:val="0"/>
                <w:sz w:val="21"/>
                <w:szCs w:val="21"/>
                <w:u w:val="none"/>
                <w:lang w:val="en-US" w:eastAsia="zh-CN" w:bidi="ar"/>
              </w:rPr>
              <w:t>0.0015</w:t>
            </w:r>
          </w:p>
        </w:tc>
      </w:tr>
      <w:tr w14:paraId="0DD4A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860" w:type="dxa"/>
            <w:vMerge w:val="continue"/>
            <w:tcBorders>
              <w:tl2br w:val="nil"/>
              <w:tr2bl w:val="nil"/>
            </w:tcBorders>
            <w:shd w:val="clear" w:color="auto" w:fill="auto"/>
            <w:noWrap/>
            <w:vAlign w:val="center"/>
          </w:tcPr>
          <w:p w14:paraId="78E6415C">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09CF479D">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158C58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456" w:type="dxa"/>
            <w:tcBorders>
              <w:tl2br w:val="nil"/>
              <w:tr2bl w:val="nil"/>
            </w:tcBorders>
            <w:shd w:val="clear" w:color="auto" w:fill="auto"/>
            <w:vAlign w:val="center"/>
          </w:tcPr>
          <w:p w14:paraId="61F5A7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2AAD5A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7649FC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6CC09D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0.028</w:t>
            </w:r>
          </w:p>
        </w:tc>
        <w:tc>
          <w:tcPr>
            <w:tcW w:w="1246" w:type="dxa"/>
            <w:tcBorders>
              <w:tl2br w:val="nil"/>
              <w:tr2bl w:val="nil"/>
            </w:tcBorders>
            <w:shd w:val="clear" w:color="auto" w:fill="auto"/>
            <w:vAlign w:val="center"/>
          </w:tcPr>
          <w:p w14:paraId="4A808F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336082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0.028</w:t>
            </w:r>
          </w:p>
        </w:tc>
        <w:tc>
          <w:tcPr>
            <w:tcW w:w="1456" w:type="dxa"/>
            <w:tcBorders>
              <w:tl2br w:val="nil"/>
              <w:tr2bl w:val="nil"/>
            </w:tcBorders>
            <w:shd w:val="clear" w:color="auto" w:fill="auto"/>
            <w:vAlign w:val="center"/>
          </w:tcPr>
          <w:p w14:paraId="1E5A19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0.028</w:t>
            </w:r>
          </w:p>
        </w:tc>
      </w:tr>
      <w:tr w14:paraId="0A48C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5E69EE7A">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5C8C11D0">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noWrap/>
            <w:vAlign w:val="center"/>
          </w:tcPr>
          <w:p w14:paraId="1BF6A9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非甲烷总烃</w:t>
            </w:r>
          </w:p>
        </w:tc>
        <w:tc>
          <w:tcPr>
            <w:tcW w:w="1456" w:type="dxa"/>
            <w:tcBorders>
              <w:tl2br w:val="nil"/>
              <w:tr2bl w:val="nil"/>
            </w:tcBorders>
            <w:shd w:val="clear" w:color="auto" w:fill="auto"/>
            <w:vAlign w:val="center"/>
          </w:tcPr>
          <w:p w14:paraId="322B83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257A1E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6175A8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35412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0.117</w:t>
            </w:r>
          </w:p>
        </w:tc>
        <w:tc>
          <w:tcPr>
            <w:tcW w:w="1246" w:type="dxa"/>
            <w:tcBorders>
              <w:tl2br w:val="nil"/>
              <w:tr2bl w:val="nil"/>
            </w:tcBorders>
            <w:shd w:val="clear" w:color="auto" w:fill="auto"/>
            <w:vAlign w:val="center"/>
          </w:tcPr>
          <w:p w14:paraId="0BD248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558A99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0.117</w:t>
            </w:r>
          </w:p>
        </w:tc>
        <w:tc>
          <w:tcPr>
            <w:tcW w:w="1456" w:type="dxa"/>
            <w:tcBorders>
              <w:tl2br w:val="nil"/>
              <w:tr2bl w:val="nil"/>
            </w:tcBorders>
            <w:shd w:val="clear" w:color="auto" w:fill="auto"/>
            <w:vAlign w:val="center"/>
          </w:tcPr>
          <w:p w14:paraId="242875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0.117</w:t>
            </w:r>
          </w:p>
        </w:tc>
      </w:tr>
      <w:tr w14:paraId="4EBDF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restart"/>
            <w:tcBorders>
              <w:tl2br w:val="nil"/>
              <w:tr2bl w:val="nil"/>
            </w:tcBorders>
            <w:shd w:val="clear" w:color="auto" w:fill="auto"/>
            <w:noWrap/>
            <w:vAlign w:val="center"/>
          </w:tcPr>
          <w:p w14:paraId="434D93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废水</w:t>
            </w:r>
          </w:p>
        </w:tc>
        <w:tc>
          <w:tcPr>
            <w:tcW w:w="1207" w:type="dxa"/>
            <w:vMerge w:val="restart"/>
            <w:tcBorders>
              <w:tl2br w:val="nil"/>
              <w:tr2bl w:val="nil"/>
            </w:tcBorders>
            <w:shd w:val="clear" w:color="auto" w:fill="auto"/>
            <w:vAlign w:val="center"/>
          </w:tcPr>
          <w:p w14:paraId="474D957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综合废水</w:t>
            </w:r>
          </w:p>
          <w:p w14:paraId="5C1680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426609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废水量</w:t>
            </w:r>
          </w:p>
        </w:tc>
        <w:tc>
          <w:tcPr>
            <w:tcW w:w="1456" w:type="dxa"/>
            <w:tcBorders>
              <w:tl2br w:val="nil"/>
              <w:tr2bl w:val="nil"/>
            </w:tcBorders>
            <w:shd w:val="clear" w:color="auto" w:fill="auto"/>
            <w:vAlign w:val="center"/>
          </w:tcPr>
          <w:p w14:paraId="41FB4F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07925C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3BB763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55D37C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lang w:val="en-US"/>
              </w:rPr>
            </w:pPr>
            <w:r>
              <w:rPr>
                <w:rFonts w:hint="eastAsia" w:cs="Times New Roman"/>
                <w:i w:val="0"/>
                <w:iCs w:val="0"/>
                <w:color w:val="000000"/>
                <w:kern w:val="0"/>
                <w:sz w:val="21"/>
                <w:szCs w:val="21"/>
                <w:u w:val="none"/>
                <w:lang w:val="en-US" w:eastAsia="zh-CN" w:bidi="ar"/>
              </w:rPr>
              <w:t>1591.2</w:t>
            </w:r>
          </w:p>
        </w:tc>
        <w:tc>
          <w:tcPr>
            <w:tcW w:w="1246" w:type="dxa"/>
            <w:tcBorders>
              <w:tl2br w:val="nil"/>
              <w:tr2bl w:val="nil"/>
            </w:tcBorders>
            <w:shd w:val="clear" w:color="auto" w:fill="auto"/>
            <w:vAlign w:val="center"/>
          </w:tcPr>
          <w:p w14:paraId="4E6CA9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F8D59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1591.2</w:t>
            </w:r>
          </w:p>
        </w:tc>
        <w:tc>
          <w:tcPr>
            <w:tcW w:w="1456" w:type="dxa"/>
            <w:tcBorders>
              <w:tl2br w:val="nil"/>
              <w:tr2bl w:val="nil"/>
            </w:tcBorders>
            <w:shd w:val="clear" w:color="auto" w:fill="auto"/>
            <w:vAlign w:val="center"/>
          </w:tcPr>
          <w:p w14:paraId="374D8D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+1591.2</w:t>
            </w:r>
          </w:p>
        </w:tc>
      </w:tr>
      <w:tr w14:paraId="3A276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860" w:type="dxa"/>
            <w:vMerge w:val="continue"/>
            <w:tcBorders>
              <w:tl2br w:val="nil"/>
              <w:tr2bl w:val="nil"/>
            </w:tcBorders>
            <w:shd w:val="clear" w:color="auto" w:fill="auto"/>
            <w:noWrap/>
            <w:vAlign w:val="center"/>
          </w:tcPr>
          <w:p w14:paraId="098B4832">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103311D1">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4E0664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w:t>
            </w:r>
          </w:p>
        </w:tc>
        <w:tc>
          <w:tcPr>
            <w:tcW w:w="1456" w:type="dxa"/>
            <w:tcBorders>
              <w:tl2br w:val="nil"/>
              <w:tr2bl w:val="nil"/>
            </w:tcBorders>
            <w:shd w:val="clear" w:color="auto" w:fill="auto"/>
            <w:vAlign w:val="center"/>
          </w:tcPr>
          <w:p w14:paraId="63F96BC0">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60A8B33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28507E7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342DDB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0.490 </w:t>
            </w:r>
          </w:p>
        </w:tc>
        <w:tc>
          <w:tcPr>
            <w:tcW w:w="1246" w:type="dxa"/>
            <w:tcBorders>
              <w:tl2br w:val="nil"/>
              <w:tr2bl w:val="nil"/>
            </w:tcBorders>
            <w:shd w:val="clear" w:color="auto" w:fill="auto"/>
            <w:vAlign w:val="center"/>
          </w:tcPr>
          <w:p w14:paraId="351B81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456" w:type="dxa"/>
            <w:tcBorders>
              <w:tl2br w:val="nil"/>
              <w:tr2bl w:val="nil"/>
            </w:tcBorders>
            <w:shd w:val="clear" w:color="auto" w:fill="auto"/>
            <w:vAlign w:val="center"/>
          </w:tcPr>
          <w:p w14:paraId="3EF36C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0.490 </w:t>
            </w:r>
          </w:p>
        </w:tc>
        <w:tc>
          <w:tcPr>
            <w:tcW w:w="1456" w:type="dxa"/>
            <w:tcBorders>
              <w:tl2br w:val="nil"/>
              <w:tr2bl w:val="nil"/>
            </w:tcBorders>
            <w:shd w:val="clear" w:color="auto" w:fill="auto"/>
            <w:vAlign w:val="center"/>
          </w:tcPr>
          <w:p w14:paraId="29621C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 xml:space="preserve">0.490 </w:t>
            </w:r>
          </w:p>
        </w:tc>
      </w:tr>
      <w:tr w14:paraId="3EEEB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860" w:type="dxa"/>
            <w:vMerge w:val="continue"/>
            <w:tcBorders>
              <w:tl2br w:val="nil"/>
              <w:tr2bl w:val="nil"/>
            </w:tcBorders>
            <w:shd w:val="clear" w:color="auto" w:fill="auto"/>
            <w:noWrap/>
            <w:vAlign w:val="center"/>
          </w:tcPr>
          <w:p w14:paraId="1FF6E587">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7DDCCB06">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579691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色度</w:t>
            </w:r>
          </w:p>
        </w:tc>
        <w:tc>
          <w:tcPr>
            <w:tcW w:w="1456" w:type="dxa"/>
            <w:tcBorders>
              <w:tl2br w:val="nil"/>
              <w:tr2bl w:val="nil"/>
            </w:tcBorders>
            <w:shd w:val="clear" w:color="auto" w:fill="auto"/>
            <w:vAlign w:val="center"/>
          </w:tcPr>
          <w:p w14:paraId="726B71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7F6EA3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7BB615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689E14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0.216 </w:t>
            </w:r>
          </w:p>
        </w:tc>
        <w:tc>
          <w:tcPr>
            <w:tcW w:w="1246" w:type="dxa"/>
            <w:tcBorders>
              <w:tl2br w:val="nil"/>
              <w:tr2bl w:val="nil"/>
            </w:tcBorders>
            <w:shd w:val="clear" w:color="auto" w:fill="auto"/>
            <w:vAlign w:val="center"/>
          </w:tcPr>
          <w:p w14:paraId="0D4EC6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3CEBB4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0.216 </w:t>
            </w:r>
          </w:p>
        </w:tc>
        <w:tc>
          <w:tcPr>
            <w:tcW w:w="1456" w:type="dxa"/>
            <w:tcBorders>
              <w:tl2br w:val="nil"/>
              <w:tr2bl w:val="nil"/>
            </w:tcBorders>
            <w:shd w:val="clear" w:color="auto" w:fill="auto"/>
            <w:vAlign w:val="center"/>
          </w:tcPr>
          <w:p w14:paraId="5E1115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 xml:space="preserve">0.216 </w:t>
            </w:r>
          </w:p>
        </w:tc>
      </w:tr>
      <w:tr w14:paraId="6FA11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7" w:hRule="atLeast"/>
          <w:jc w:val="center"/>
        </w:trPr>
        <w:tc>
          <w:tcPr>
            <w:tcW w:w="860" w:type="dxa"/>
            <w:vMerge w:val="continue"/>
            <w:tcBorders>
              <w:tl2br w:val="nil"/>
              <w:tr2bl w:val="nil"/>
            </w:tcBorders>
            <w:shd w:val="clear" w:color="auto" w:fill="auto"/>
            <w:noWrap/>
            <w:vAlign w:val="center"/>
          </w:tcPr>
          <w:p w14:paraId="5270F4EF">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47E23015">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593B32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氟化物</w:t>
            </w:r>
          </w:p>
        </w:tc>
        <w:tc>
          <w:tcPr>
            <w:tcW w:w="1456" w:type="dxa"/>
            <w:tcBorders>
              <w:tl2br w:val="nil"/>
              <w:tr2bl w:val="nil"/>
            </w:tcBorders>
            <w:shd w:val="clear" w:color="auto" w:fill="auto"/>
            <w:vAlign w:val="center"/>
          </w:tcPr>
          <w:p w14:paraId="2BEE1F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2B9EA8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30E1C8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41B7C6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0.288 </w:t>
            </w:r>
          </w:p>
        </w:tc>
        <w:tc>
          <w:tcPr>
            <w:tcW w:w="1246" w:type="dxa"/>
            <w:tcBorders>
              <w:tl2br w:val="nil"/>
              <w:tr2bl w:val="nil"/>
            </w:tcBorders>
            <w:shd w:val="clear" w:color="auto" w:fill="auto"/>
            <w:vAlign w:val="center"/>
          </w:tcPr>
          <w:p w14:paraId="6FC6C8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099323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0.288 </w:t>
            </w:r>
          </w:p>
        </w:tc>
        <w:tc>
          <w:tcPr>
            <w:tcW w:w="1456" w:type="dxa"/>
            <w:tcBorders>
              <w:tl2br w:val="nil"/>
              <w:tr2bl w:val="nil"/>
            </w:tcBorders>
            <w:shd w:val="clear" w:color="auto" w:fill="auto"/>
            <w:vAlign w:val="center"/>
          </w:tcPr>
          <w:p w14:paraId="4A5700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 xml:space="preserve">0.288 </w:t>
            </w:r>
          </w:p>
        </w:tc>
      </w:tr>
      <w:tr w14:paraId="64C9E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7" w:hRule="atLeast"/>
          <w:jc w:val="center"/>
        </w:trPr>
        <w:tc>
          <w:tcPr>
            <w:tcW w:w="860" w:type="dxa"/>
            <w:vMerge w:val="continue"/>
            <w:tcBorders>
              <w:tl2br w:val="nil"/>
              <w:tr2bl w:val="nil"/>
            </w:tcBorders>
            <w:shd w:val="clear" w:color="auto" w:fill="auto"/>
            <w:noWrap/>
            <w:vAlign w:val="center"/>
          </w:tcPr>
          <w:p w14:paraId="03F19D3F">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31C8A34B">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3D105A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COD</w:t>
            </w:r>
          </w:p>
        </w:tc>
        <w:tc>
          <w:tcPr>
            <w:tcW w:w="1456" w:type="dxa"/>
            <w:tcBorders>
              <w:tl2br w:val="nil"/>
              <w:tr2bl w:val="nil"/>
            </w:tcBorders>
            <w:shd w:val="clear" w:color="auto" w:fill="auto"/>
            <w:vAlign w:val="center"/>
          </w:tcPr>
          <w:p w14:paraId="4759A0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299323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1E2845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4FF50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0.050 </w:t>
            </w:r>
          </w:p>
        </w:tc>
        <w:tc>
          <w:tcPr>
            <w:tcW w:w="1246" w:type="dxa"/>
            <w:tcBorders>
              <w:tl2br w:val="nil"/>
              <w:tr2bl w:val="nil"/>
            </w:tcBorders>
            <w:shd w:val="clear" w:color="auto" w:fill="auto"/>
            <w:vAlign w:val="center"/>
          </w:tcPr>
          <w:p w14:paraId="59A52E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4ED6A3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0.050 </w:t>
            </w:r>
          </w:p>
        </w:tc>
        <w:tc>
          <w:tcPr>
            <w:tcW w:w="1456" w:type="dxa"/>
            <w:tcBorders>
              <w:tl2br w:val="nil"/>
              <w:tr2bl w:val="nil"/>
            </w:tcBorders>
            <w:shd w:val="clear" w:color="auto" w:fill="auto"/>
            <w:vAlign w:val="center"/>
          </w:tcPr>
          <w:p w14:paraId="50C507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 xml:space="preserve">0.050 </w:t>
            </w:r>
          </w:p>
        </w:tc>
      </w:tr>
      <w:tr w14:paraId="44163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860" w:type="dxa"/>
            <w:vMerge w:val="continue"/>
            <w:tcBorders>
              <w:tl2br w:val="nil"/>
              <w:tr2bl w:val="nil"/>
            </w:tcBorders>
            <w:shd w:val="clear" w:color="auto" w:fill="auto"/>
            <w:noWrap/>
            <w:vAlign w:val="center"/>
          </w:tcPr>
          <w:p w14:paraId="51730C7B">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3550CF8D">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396F93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BOD</w:t>
            </w:r>
            <w:r>
              <w:rPr>
                <w:rFonts w:hint="default" w:ascii="Times New Roman" w:hAnsi="Times New Roman" w:eastAsia="宋体" w:cs="Times New Roman"/>
                <w:i w:val="0"/>
                <w:iCs w:val="0"/>
                <w:color w:val="000000"/>
                <w:kern w:val="0"/>
                <w:sz w:val="21"/>
                <w:szCs w:val="21"/>
                <w:u w:val="none"/>
                <w:vertAlign w:val="subscript"/>
                <w:lang w:val="en-US" w:eastAsia="zh-CN" w:bidi="ar"/>
              </w:rPr>
              <w:t>5</w:t>
            </w:r>
          </w:p>
        </w:tc>
        <w:tc>
          <w:tcPr>
            <w:tcW w:w="1456" w:type="dxa"/>
            <w:tcBorders>
              <w:tl2br w:val="nil"/>
              <w:tr2bl w:val="nil"/>
            </w:tcBorders>
            <w:shd w:val="clear" w:color="auto" w:fill="auto"/>
            <w:vAlign w:val="center"/>
          </w:tcPr>
          <w:p w14:paraId="55E06D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34B4EC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4999E1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3A4C5A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0.065 </w:t>
            </w:r>
          </w:p>
        </w:tc>
        <w:tc>
          <w:tcPr>
            <w:tcW w:w="1246" w:type="dxa"/>
            <w:tcBorders>
              <w:tl2br w:val="nil"/>
              <w:tr2bl w:val="nil"/>
            </w:tcBorders>
            <w:shd w:val="clear" w:color="auto" w:fill="auto"/>
            <w:vAlign w:val="center"/>
          </w:tcPr>
          <w:p w14:paraId="47EE0B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45032E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0.065 </w:t>
            </w:r>
          </w:p>
        </w:tc>
        <w:tc>
          <w:tcPr>
            <w:tcW w:w="1456" w:type="dxa"/>
            <w:tcBorders>
              <w:tl2br w:val="nil"/>
              <w:tr2bl w:val="nil"/>
            </w:tcBorders>
            <w:shd w:val="clear" w:color="auto" w:fill="auto"/>
            <w:vAlign w:val="center"/>
          </w:tcPr>
          <w:p w14:paraId="034396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 xml:space="preserve">0.065 </w:t>
            </w:r>
          </w:p>
        </w:tc>
      </w:tr>
      <w:tr w14:paraId="2E237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860" w:type="dxa"/>
            <w:vMerge w:val="continue"/>
            <w:tcBorders>
              <w:tl2br w:val="nil"/>
              <w:tr2bl w:val="nil"/>
            </w:tcBorders>
            <w:shd w:val="clear" w:color="auto" w:fill="auto"/>
            <w:noWrap/>
            <w:vAlign w:val="center"/>
          </w:tcPr>
          <w:p w14:paraId="73D4D1A8">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7FD97609">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4B251A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1456" w:type="dxa"/>
            <w:tcBorders>
              <w:tl2br w:val="nil"/>
              <w:tr2bl w:val="nil"/>
            </w:tcBorders>
            <w:shd w:val="clear" w:color="auto" w:fill="auto"/>
            <w:vAlign w:val="center"/>
          </w:tcPr>
          <w:p w14:paraId="1C95B5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41BEBB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320C89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D6969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0.006 </w:t>
            </w:r>
          </w:p>
        </w:tc>
        <w:tc>
          <w:tcPr>
            <w:tcW w:w="1246" w:type="dxa"/>
            <w:tcBorders>
              <w:tl2br w:val="nil"/>
              <w:tr2bl w:val="nil"/>
            </w:tcBorders>
            <w:shd w:val="clear" w:color="auto" w:fill="auto"/>
            <w:vAlign w:val="center"/>
          </w:tcPr>
          <w:p w14:paraId="7626E51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337046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0.006 </w:t>
            </w:r>
          </w:p>
        </w:tc>
        <w:tc>
          <w:tcPr>
            <w:tcW w:w="1456" w:type="dxa"/>
            <w:tcBorders>
              <w:tl2br w:val="nil"/>
              <w:tr2bl w:val="nil"/>
            </w:tcBorders>
            <w:shd w:val="clear" w:color="auto" w:fill="auto"/>
            <w:vAlign w:val="center"/>
          </w:tcPr>
          <w:p w14:paraId="442CB6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 xml:space="preserve">0.006 </w:t>
            </w:r>
          </w:p>
        </w:tc>
      </w:tr>
      <w:tr w14:paraId="5A925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5A246219">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7C0D8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1D0BF0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TOC</w:t>
            </w:r>
          </w:p>
        </w:tc>
        <w:tc>
          <w:tcPr>
            <w:tcW w:w="1456" w:type="dxa"/>
            <w:tcBorders>
              <w:tl2br w:val="nil"/>
              <w:tr2bl w:val="nil"/>
            </w:tcBorders>
            <w:shd w:val="clear" w:color="auto" w:fill="auto"/>
            <w:vAlign w:val="center"/>
          </w:tcPr>
          <w:p w14:paraId="2B19EA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72976A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4E1448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589E84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4413.345</w:t>
            </w:r>
          </w:p>
        </w:tc>
        <w:tc>
          <w:tcPr>
            <w:tcW w:w="1246" w:type="dxa"/>
            <w:tcBorders>
              <w:tl2br w:val="nil"/>
              <w:tr2bl w:val="nil"/>
            </w:tcBorders>
            <w:shd w:val="clear" w:color="auto" w:fill="auto"/>
            <w:vAlign w:val="center"/>
          </w:tcPr>
          <w:p w14:paraId="3F6F82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F6FE4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4413.345</w:t>
            </w:r>
          </w:p>
        </w:tc>
        <w:tc>
          <w:tcPr>
            <w:tcW w:w="1456" w:type="dxa"/>
            <w:tcBorders>
              <w:tl2br w:val="nil"/>
              <w:tr2bl w:val="nil"/>
            </w:tcBorders>
            <w:shd w:val="clear" w:color="auto" w:fill="auto"/>
            <w:vAlign w:val="center"/>
          </w:tcPr>
          <w:p w14:paraId="2A506B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4413.345</w:t>
            </w:r>
          </w:p>
        </w:tc>
      </w:tr>
      <w:tr w14:paraId="0B6F8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noWrap/>
            <w:vAlign w:val="center"/>
          </w:tcPr>
          <w:p w14:paraId="503F3DBD">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noWrap/>
            <w:vAlign w:val="center"/>
          </w:tcPr>
          <w:p w14:paraId="2F290F9C">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686923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NH</w:t>
            </w:r>
            <w:r>
              <w:rPr>
                <w:rFonts w:hint="default" w:ascii="Times New Roman" w:hAnsi="Times New Roman" w:eastAsia="宋体" w:cs="Times New Roman"/>
                <w:i w:val="0"/>
                <w:iCs w:val="0"/>
                <w:color w:val="000000"/>
                <w:kern w:val="0"/>
                <w:sz w:val="21"/>
                <w:szCs w:val="21"/>
                <w:u w:val="none"/>
                <w:vertAlign w:val="subscript"/>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-N</w:t>
            </w:r>
          </w:p>
        </w:tc>
        <w:tc>
          <w:tcPr>
            <w:tcW w:w="1456" w:type="dxa"/>
            <w:tcBorders>
              <w:tl2br w:val="nil"/>
              <w:tr2bl w:val="nil"/>
            </w:tcBorders>
            <w:shd w:val="clear" w:color="auto" w:fill="auto"/>
            <w:vAlign w:val="center"/>
          </w:tcPr>
          <w:p w14:paraId="6AF9DE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1CD237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7EC86B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0AA98F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0.001</w:t>
            </w:r>
          </w:p>
        </w:tc>
        <w:tc>
          <w:tcPr>
            <w:tcW w:w="1246" w:type="dxa"/>
            <w:tcBorders>
              <w:tl2br w:val="nil"/>
              <w:tr2bl w:val="nil"/>
            </w:tcBorders>
            <w:shd w:val="clear" w:color="auto" w:fill="auto"/>
            <w:vAlign w:val="center"/>
          </w:tcPr>
          <w:p w14:paraId="5D7BFD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6801C1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0.001</w:t>
            </w:r>
          </w:p>
        </w:tc>
        <w:tc>
          <w:tcPr>
            <w:tcW w:w="1456" w:type="dxa"/>
            <w:tcBorders>
              <w:tl2br w:val="nil"/>
              <w:tr2bl w:val="nil"/>
            </w:tcBorders>
            <w:shd w:val="clear" w:color="auto" w:fill="auto"/>
            <w:vAlign w:val="center"/>
          </w:tcPr>
          <w:p w14:paraId="25DCA9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0.001</w:t>
            </w:r>
          </w:p>
        </w:tc>
      </w:tr>
      <w:tr w14:paraId="4FFA6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restart"/>
            <w:tcBorders>
              <w:tl2br w:val="nil"/>
              <w:tr2bl w:val="nil"/>
            </w:tcBorders>
            <w:shd w:val="clear" w:color="auto" w:fill="auto"/>
            <w:vAlign w:val="center"/>
          </w:tcPr>
          <w:p w14:paraId="04624E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固体废物</w:t>
            </w:r>
          </w:p>
        </w:tc>
        <w:tc>
          <w:tcPr>
            <w:tcW w:w="1207" w:type="dxa"/>
            <w:vMerge w:val="restart"/>
            <w:tcBorders>
              <w:tl2br w:val="nil"/>
              <w:tr2bl w:val="nil"/>
            </w:tcBorders>
            <w:shd w:val="clear" w:color="auto" w:fill="auto"/>
            <w:vAlign w:val="center"/>
          </w:tcPr>
          <w:p w14:paraId="13994A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一般固废</w:t>
            </w:r>
          </w:p>
        </w:tc>
        <w:tc>
          <w:tcPr>
            <w:tcW w:w="2568" w:type="dxa"/>
            <w:tcBorders>
              <w:tl2br w:val="nil"/>
              <w:tr2bl w:val="nil"/>
            </w:tcBorders>
            <w:shd w:val="clear" w:color="auto" w:fill="auto"/>
            <w:vAlign w:val="center"/>
          </w:tcPr>
          <w:p w14:paraId="5B5196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沉淀池泥渣</w:t>
            </w:r>
          </w:p>
        </w:tc>
        <w:tc>
          <w:tcPr>
            <w:tcW w:w="1456" w:type="dxa"/>
            <w:tcBorders>
              <w:tl2br w:val="nil"/>
              <w:tr2bl w:val="nil"/>
            </w:tcBorders>
            <w:shd w:val="clear" w:color="auto" w:fill="auto"/>
            <w:vAlign w:val="center"/>
          </w:tcPr>
          <w:p w14:paraId="769B50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7F6B8F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638B96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492345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47.868</w:t>
            </w:r>
          </w:p>
        </w:tc>
        <w:tc>
          <w:tcPr>
            <w:tcW w:w="1246" w:type="dxa"/>
            <w:tcBorders>
              <w:tl2br w:val="nil"/>
              <w:tr2bl w:val="nil"/>
            </w:tcBorders>
            <w:shd w:val="clear" w:color="auto" w:fill="auto"/>
            <w:vAlign w:val="center"/>
          </w:tcPr>
          <w:p w14:paraId="5A4A61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6E8268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cs="Times New Roman"/>
                <w:i w:val="0"/>
                <w:iCs w:val="0"/>
                <w:color w:val="000000"/>
                <w:kern w:val="0"/>
                <w:sz w:val="21"/>
                <w:szCs w:val="21"/>
                <w:u w:val="none"/>
                <w:lang w:val="en-US" w:eastAsia="zh-CN" w:bidi="ar"/>
              </w:rPr>
              <w:t>47.868</w:t>
            </w:r>
          </w:p>
        </w:tc>
        <w:tc>
          <w:tcPr>
            <w:tcW w:w="1456" w:type="dxa"/>
            <w:tcBorders>
              <w:tl2br w:val="nil"/>
              <w:tr2bl w:val="nil"/>
            </w:tcBorders>
            <w:shd w:val="clear" w:color="auto" w:fill="auto"/>
            <w:vAlign w:val="center"/>
          </w:tcPr>
          <w:p w14:paraId="267BEA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eastAsia" w:cs="Times New Roman"/>
                <w:i w:val="0"/>
                <w:iCs w:val="0"/>
                <w:color w:val="000000"/>
                <w:kern w:val="0"/>
                <w:sz w:val="21"/>
                <w:szCs w:val="21"/>
                <w:u w:val="none"/>
                <w:lang w:val="en-US" w:eastAsia="zh-CN" w:bidi="ar"/>
              </w:rPr>
              <w:t>47.868</w:t>
            </w:r>
          </w:p>
        </w:tc>
      </w:tr>
      <w:tr w14:paraId="396A4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vAlign w:val="center"/>
          </w:tcPr>
          <w:p w14:paraId="760CD230">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5B0BD448">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71EE7A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除尘器收尘</w:t>
            </w:r>
          </w:p>
        </w:tc>
        <w:tc>
          <w:tcPr>
            <w:tcW w:w="1456" w:type="dxa"/>
            <w:tcBorders>
              <w:tl2br w:val="nil"/>
              <w:tr2bl w:val="nil"/>
            </w:tcBorders>
            <w:shd w:val="clear" w:color="auto" w:fill="auto"/>
            <w:vAlign w:val="center"/>
          </w:tcPr>
          <w:p w14:paraId="2A79ED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26895B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2DF38D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684ED1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20.475</w:t>
            </w:r>
          </w:p>
        </w:tc>
        <w:tc>
          <w:tcPr>
            <w:tcW w:w="1246" w:type="dxa"/>
            <w:tcBorders>
              <w:tl2br w:val="nil"/>
              <w:tr2bl w:val="nil"/>
            </w:tcBorders>
            <w:shd w:val="clear" w:color="auto" w:fill="auto"/>
            <w:vAlign w:val="center"/>
          </w:tcPr>
          <w:p w14:paraId="0DA543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44BB9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20.475</w:t>
            </w:r>
          </w:p>
        </w:tc>
        <w:tc>
          <w:tcPr>
            <w:tcW w:w="1456" w:type="dxa"/>
            <w:tcBorders>
              <w:tl2br w:val="nil"/>
              <w:tr2bl w:val="nil"/>
            </w:tcBorders>
            <w:shd w:val="clear" w:color="auto" w:fill="auto"/>
            <w:vAlign w:val="center"/>
          </w:tcPr>
          <w:p w14:paraId="25C736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20.475</w:t>
            </w:r>
          </w:p>
        </w:tc>
      </w:tr>
      <w:tr w14:paraId="10BD8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vAlign w:val="center"/>
          </w:tcPr>
          <w:p w14:paraId="3B86A9E3">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63318F6C">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42753A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废布袋</w:t>
            </w:r>
          </w:p>
        </w:tc>
        <w:tc>
          <w:tcPr>
            <w:tcW w:w="1456" w:type="dxa"/>
            <w:tcBorders>
              <w:tl2br w:val="nil"/>
              <w:tr2bl w:val="nil"/>
            </w:tcBorders>
            <w:shd w:val="clear" w:color="auto" w:fill="auto"/>
            <w:vAlign w:val="center"/>
          </w:tcPr>
          <w:p w14:paraId="7BBA8D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28D66F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3E7362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A7ABB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个</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年</w:t>
            </w:r>
          </w:p>
        </w:tc>
        <w:tc>
          <w:tcPr>
            <w:tcW w:w="1246" w:type="dxa"/>
            <w:tcBorders>
              <w:tl2br w:val="nil"/>
              <w:tr2bl w:val="nil"/>
            </w:tcBorders>
            <w:shd w:val="clear" w:color="auto" w:fill="auto"/>
            <w:vAlign w:val="center"/>
          </w:tcPr>
          <w:p w14:paraId="5BB43C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0CC017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个</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年</w:t>
            </w:r>
          </w:p>
        </w:tc>
        <w:tc>
          <w:tcPr>
            <w:tcW w:w="1456" w:type="dxa"/>
            <w:tcBorders>
              <w:tl2br w:val="nil"/>
              <w:tr2bl w:val="nil"/>
            </w:tcBorders>
            <w:shd w:val="clear" w:color="auto" w:fill="auto"/>
            <w:vAlign w:val="center"/>
          </w:tcPr>
          <w:p w14:paraId="2E4CB1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个</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年</w:t>
            </w:r>
          </w:p>
        </w:tc>
      </w:tr>
      <w:tr w14:paraId="03672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vAlign w:val="center"/>
          </w:tcPr>
          <w:p w14:paraId="16A962A6">
            <w:pPr>
              <w:jc w:val="center"/>
              <w:rPr>
                <w:rFonts w:hint="eastAsia" w:ascii="宋体" w:hAnsi="宋体" w:eastAsia="宋体" w:cs="宋体"/>
                <w:i w:val="0"/>
                <w:iCs w:val="0"/>
                <w:color w:val="000000"/>
                <w:sz w:val="21"/>
                <w:szCs w:val="21"/>
                <w:u w:val="none"/>
              </w:rPr>
            </w:pPr>
          </w:p>
        </w:tc>
        <w:tc>
          <w:tcPr>
            <w:tcW w:w="1207" w:type="dxa"/>
            <w:vMerge w:val="restart"/>
            <w:tcBorders>
              <w:tl2br w:val="nil"/>
              <w:tr2bl w:val="nil"/>
            </w:tcBorders>
            <w:shd w:val="clear" w:color="auto" w:fill="auto"/>
            <w:vAlign w:val="center"/>
          </w:tcPr>
          <w:p w14:paraId="6688CE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危险废物</w:t>
            </w:r>
          </w:p>
        </w:tc>
        <w:tc>
          <w:tcPr>
            <w:tcW w:w="2568" w:type="dxa"/>
            <w:tcBorders>
              <w:tl2br w:val="nil"/>
              <w:tr2bl w:val="nil"/>
            </w:tcBorders>
            <w:shd w:val="clear" w:color="auto" w:fill="auto"/>
            <w:vAlign w:val="center"/>
          </w:tcPr>
          <w:p w14:paraId="3CDE195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废化学原料包装材料</w:t>
            </w:r>
          </w:p>
        </w:tc>
        <w:tc>
          <w:tcPr>
            <w:tcW w:w="1456" w:type="dxa"/>
            <w:tcBorders>
              <w:tl2br w:val="nil"/>
              <w:tr2bl w:val="nil"/>
            </w:tcBorders>
            <w:shd w:val="clear" w:color="auto" w:fill="auto"/>
            <w:vAlign w:val="center"/>
          </w:tcPr>
          <w:p w14:paraId="00A9EBB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5D9C135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008DA20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504C76D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cs="Times New Roman"/>
                <w:i w:val="0"/>
                <w:iCs w:val="0"/>
                <w:color w:val="000000"/>
                <w:kern w:val="0"/>
                <w:sz w:val="21"/>
                <w:szCs w:val="21"/>
                <w:u w:val="none"/>
                <w:lang w:val="en-US" w:eastAsia="zh-CN" w:bidi="ar"/>
              </w:rPr>
              <w:t>0.14</w:t>
            </w:r>
          </w:p>
        </w:tc>
        <w:tc>
          <w:tcPr>
            <w:tcW w:w="1246" w:type="dxa"/>
            <w:tcBorders>
              <w:tl2br w:val="nil"/>
              <w:tr2bl w:val="nil"/>
            </w:tcBorders>
            <w:shd w:val="clear" w:color="auto" w:fill="auto"/>
            <w:vAlign w:val="center"/>
          </w:tcPr>
          <w:p w14:paraId="41F4E5C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6B8ACDC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cs="Times New Roman"/>
                <w:i w:val="0"/>
                <w:iCs w:val="0"/>
                <w:color w:val="000000"/>
                <w:kern w:val="0"/>
                <w:sz w:val="21"/>
                <w:szCs w:val="21"/>
                <w:u w:val="none"/>
                <w:lang w:val="en-US" w:eastAsia="zh-CN" w:bidi="ar"/>
              </w:rPr>
              <w:t>0.14</w:t>
            </w:r>
          </w:p>
        </w:tc>
        <w:tc>
          <w:tcPr>
            <w:tcW w:w="1456" w:type="dxa"/>
            <w:tcBorders>
              <w:tl2br w:val="nil"/>
              <w:tr2bl w:val="nil"/>
            </w:tcBorders>
            <w:shd w:val="clear" w:color="auto" w:fill="auto"/>
            <w:vAlign w:val="center"/>
          </w:tcPr>
          <w:p w14:paraId="2E5CE4A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w:t>
            </w:r>
            <w:r>
              <w:rPr>
                <w:rFonts w:hint="eastAsia" w:cs="Times New Roman"/>
                <w:i w:val="0"/>
                <w:iCs w:val="0"/>
                <w:color w:val="000000"/>
                <w:kern w:val="0"/>
                <w:sz w:val="21"/>
                <w:szCs w:val="21"/>
                <w:u w:val="none"/>
                <w:lang w:val="en-US" w:eastAsia="zh-CN" w:bidi="ar"/>
              </w:rPr>
              <w:t>0.14</w:t>
            </w:r>
          </w:p>
        </w:tc>
      </w:tr>
      <w:tr w14:paraId="7011C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vAlign w:val="center"/>
          </w:tcPr>
          <w:p w14:paraId="1638994C">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6652F955">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0F5A515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废活性炭</w:t>
            </w:r>
          </w:p>
        </w:tc>
        <w:tc>
          <w:tcPr>
            <w:tcW w:w="1456" w:type="dxa"/>
            <w:tcBorders>
              <w:tl2br w:val="nil"/>
              <w:tr2bl w:val="nil"/>
            </w:tcBorders>
            <w:shd w:val="clear" w:color="auto" w:fill="auto"/>
            <w:vAlign w:val="center"/>
          </w:tcPr>
          <w:p w14:paraId="49973BD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4FA3C6A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0B9F779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50000BC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63.112</w:t>
            </w:r>
          </w:p>
        </w:tc>
        <w:tc>
          <w:tcPr>
            <w:tcW w:w="1246" w:type="dxa"/>
            <w:tcBorders>
              <w:tl2br w:val="nil"/>
              <w:tr2bl w:val="nil"/>
            </w:tcBorders>
            <w:shd w:val="clear" w:color="auto" w:fill="auto"/>
            <w:vAlign w:val="center"/>
          </w:tcPr>
          <w:p w14:paraId="33856350">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183634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63.112</w:t>
            </w:r>
          </w:p>
        </w:tc>
        <w:tc>
          <w:tcPr>
            <w:tcW w:w="1456" w:type="dxa"/>
            <w:tcBorders>
              <w:tl2br w:val="nil"/>
              <w:tr2bl w:val="nil"/>
            </w:tcBorders>
            <w:shd w:val="clear" w:color="auto" w:fill="auto"/>
            <w:vAlign w:val="center"/>
          </w:tcPr>
          <w:p w14:paraId="147D9CA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63.112</w:t>
            </w:r>
          </w:p>
        </w:tc>
      </w:tr>
      <w:tr w14:paraId="2AC3E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vAlign w:val="center"/>
          </w:tcPr>
          <w:p w14:paraId="5006FBB7">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0C38137D">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399F8AD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废润滑油</w:t>
            </w:r>
          </w:p>
        </w:tc>
        <w:tc>
          <w:tcPr>
            <w:tcW w:w="1456" w:type="dxa"/>
            <w:tcBorders>
              <w:tl2br w:val="nil"/>
              <w:tr2bl w:val="nil"/>
            </w:tcBorders>
            <w:shd w:val="clear" w:color="auto" w:fill="auto"/>
            <w:vAlign w:val="center"/>
          </w:tcPr>
          <w:p w14:paraId="2F73DEB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5FA75372">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72CD74A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D28851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0.16</w:t>
            </w:r>
          </w:p>
        </w:tc>
        <w:tc>
          <w:tcPr>
            <w:tcW w:w="1246" w:type="dxa"/>
            <w:tcBorders>
              <w:tl2br w:val="nil"/>
              <w:tr2bl w:val="nil"/>
            </w:tcBorders>
            <w:shd w:val="clear" w:color="auto" w:fill="auto"/>
            <w:vAlign w:val="center"/>
          </w:tcPr>
          <w:p w14:paraId="47131B8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70FB660">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0.16</w:t>
            </w:r>
          </w:p>
        </w:tc>
        <w:tc>
          <w:tcPr>
            <w:tcW w:w="1456" w:type="dxa"/>
            <w:tcBorders>
              <w:tl2br w:val="nil"/>
              <w:tr2bl w:val="nil"/>
            </w:tcBorders>
            <w:shd w:val="clear" w:color="auto" w:fill="auto"/>
            <w:vAlign w:val="center"/>
          </w:tcPr>
          <w:p w14:paraId="103ED8A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0.16</w:t>
            </w:r>
          </w:p>
        </w:tc>
      </w:tr>
      <w:tr w14:paraId="4AED7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vAlign w:val="center"/>
          </w:tcPr>
          <w:p w14:paraId="3FACF346">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0291A9E4">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2C8B283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废液压油</w:t>
            </w:r>
          </w:p>
        </w:tc>
        <w:tc>
          <w:tcPr>
            <w:tcW w:w="1456" w:type="dxa"/>
            <w:tcBorders>
              <w:tl2br w:val="nil"/>
              <w:tr2bl w:val="nil"/>
            </w:tcBorders>
            <w:shd w:val="clear" w:color="auto" w:fill="auto"/>
            <w:vAlign w:val="center"/>
          </w:tcPr>
          <w:p w14:paraId="51701D9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79A1A15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1EDC66B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732087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0.8</w:t>
            </w:r>
          </w:p>
        </w:tc>
        <w:tc>
          <w:tcPr>
            <w:tcW w:w="1246" w:type="dxa"/>
            <w:tcBorders>
              <w:tl2br w:val="nil"/>
              <w:tr2bl w:val="nil"/>
            </w:tcBorders>
            <w:shd w:val="clear" w:color="auto" w:fill="auto"/>
            <w:vAlign w:val="center"/>
          </w:tcPr>
          <w:p w14:paraId="07036A8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766FF80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0.8</w:t>
            </w:r>
          </w:p>
        </w:tc>
        <w:tc>
          <w:tcPr>
            <w:tcW w:w="1456" w:type="dxa"/>
            <w:tcBorders>
              <w:tl2br w:val="nil"/>
              <w:tr2bl w:val="nil"/>
            </w:tcBorders>
            <w:shd w:val="clear" w:color="auto" w:fill="auto"/>
            <w:vAlign w:val="center"/>
          </w:tcPr>
          <w:p w14:paraId="2922C0D0">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0.8</w:t>
            </w:r>
          </w:p>
        </w:tc>
      </w:tr>
      <w:tr w14:paraId="7E435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vAlign w:val="center"/>
          </w:tcPr>
          <w:p w14:paraId="7C52FECD">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143F0F42">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277602B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废油桶</w:t>
            </w:r>
          </w:p>
        </w:tc>
        <w:tc>
          <w:tcPr>
            <w:tcW w:w="1456" w:type="dxa"/>
            <w:tcBorders>
              <w:tl2br w:val="nil"/>
              <w:tr2bl w:val="nil"/>
            </w:tcBorders>
            <w:shd w:val="clear" w:color="auto" w:fill="auto"/>
            <w:vAlign w:val="center"/>
          </w:tcPr>
          <w:p w14:paraId="55C845F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1C7211AB">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6A15EC47">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00E1EC0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0.072</w:t>
            </w:r>
          </w:p>
        </w:tc>
        <w:tc>
          <w:tcPr>
            <w:tcW w:w="1246" w:type="dxa"/>
            <w:tcBorders>
              <w:tl2br w:val="nil"/>
              <w:tr2bl w:val="nil"/>
            </w:tcBorders>
            <w:shd w:val="clear" w:color="auto" w:fill="auto"/>
            <w:vAlign w:val="center"/>
          </w:tcPr>
          <w:p w14:paraId="7346F13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D12ED6B">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0.072</w:t>
            </w:r>
          </w:p>
        </w:tc>
        <w:tc>
          <w:tcPr>
            <w:tcW w:w="1456" w:type="dxa"/>
            <w:tcBorders>
              <w:tl2br w:val="nil"/>
              <w:tr2bl w:val="nil"/>
            </w:tcBorders>
            <w:shd w:val="clear" w:color="auto" w:fill="auto"/>
            <w:vAlign w:val="center"/>
          </w:tcPr>
          <w:p w14:paraId="5D21B7C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0.072</w:t>
            </w:r>
          </w:p>
        </w:tc>
      </w:tr>
      <w:tr w14:paraId="67679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860" w:type="dxa"/>
            <w:vMerge w:val="continue"/>
            <w:tcBorders>
              <w:tl2br w:val="nil"/>
              <w:tr2bl w:val="nil"/>
            </w:tcBorders>
            <w:shd w:val="clear" w:color="auto" w:fill="auto"/>
            <w:vAlign w:val="center"/>
          </w:tcPr>
          <w:p w14:paraId="47966751">
            <w:pPr>
              <w:jc w:val="center"/>
              <w:rPr>
                <w:rFonts w:hint="eastAsia" w:ascii="宋体" w:hAnsi="宋体" w:eastAsia="宋体" w:cs="宋体"/>
                <w:i w:val="0"/>
                <w:iCs w:val="0"/>
                <w:color w:val="000000"/>
                <w:sz w:val="21"/>
                <w:szCs w:val="21"/>
                <w:u w:val="none"/>
              </w:rPr>
            </w:pPr>
          </w:p>
        </w:tc>
        <w:tc>
          <w:tcPr>
            <w:tcW w:w="1207" w:type="dxa"/>
            <w:vMerge w:val="continue"/>
            <w:tcBorders>
              <w:tl2br w:val="nil"/>
              <w:tr2bl w:val="nil"/>
            </w:tcBorders>
            <w:shd w:val="clear" w:color="auto" w:fill="auto"/>
            <w:vAlign w:val="center"/>
          </w:tcPr>
          <w:p w14:paraId="25288F76">
            <w:pPr>
              <w:jc w:val="center"/>
              <w:rPr>
                <w:rFonts w:hint="eastAsia" w:ascii="宋体" w:hAnsi="宋体" w:eastAsia="宋体" w:cs="宋体"/>
                <w:i w:val="0"/>
                <w:iCs w:val="0"/>
                <w:color w:val="000000"/>
                <w:sz w:val="21"/>
                <w:szCs w:val="21"/>
                <w:u w:val="none"/>
              </w:rPr>
            </w:pPr>
          </w:p>
        </w:tc>
        <w:tc>
          <w:tcPr>
            <w:tcW w:w="2568" w:type="dxa"/>
            <w:tcBorders>
              <w:tl2br w:val="nil"/>
              <w:tr2bl w:val="nil"/>
            </w:tcBorders>
            <w:shd w:val="clear" w:color="auto" w:fill="auto"/>
            <w:vAlign w:val="center"/>
          </w:tcPr>
          <w:p w14:paraId="3A94EB6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含油废手套</w:t>
            </w:r>
          </w:p>
        </w:tc>
        <w:tc>
          <w:tcPr>
            <w:tcW w:w="1456" w:type="dxa"/>
            <w:tcBorders>
              <w:tl2br w:val="nil"/>
              <w:tr2bl w:val="nil"/>
            </w:tcBorders>
            <w:shd w:val="clear" w:color="auto" w:fill="auto"/>
            <w:vAlign w:val="center"/>
          </w:tcPr>
          <w:p w14:paraId="097A029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78F8BC8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34FE72A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2CDAD5B2">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0.01</w:t>
            </w:r>
          </w:p>
        </w:tc>
        <w:tc>
          <w:tcPr>
            <w:tcW w:w="1246" w:type="dxa"/>
            <w:tcBorders>
              <w:tl2br w:val="nil"/>
              <w:tr2bl w:val="nil"/>
            </w:tcBorders>
            <w:shd w:val="clear" w:color="auto" w:fill="auto"/>
            <w:vAlign w:val="center"/>
          </w:tcPr>
          <w:p w14:paraId="10D2383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59E6967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0.01</w:t>
            </w:r>
          </w:p>
        </w:tc>
        <w:tc>
          <w:tcPr>
            <w:tcW w:w="1456" w:type="dxa"/>
            <w:tcBorders>
              <w:tl2br w:val="nil"/>
              <w:tr2bl w:val="nil"/>
            </w:tcBorders>
            <w:shd w:val="clear" w:color="auto" w:fill="auto"/>
            <w:vAlign w:val="center"/>
          </w:tcPr>
          <w:p w14:paraId="5E42047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0.01</w:t>
            </w:r>
          </w:p>
        </w:tc>
      </w:tr>
      <w:tr w14:paraId="7DEEF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5" w:hRule="atLeast"/>
          <w:jc w:val="center"/>
        </w:trPr>
        <w:tc>
          <w:tcPr>
            <w:tcW w:w="860" w:type="dxa"/>
            <w:vMerge w:val="continue"/>
            <w:tcBorders>
              <w:tl2br w:val="nil"/>
              <w:tr2bl w:val="nil"/>
            </w:tcBorders>
            <w:shd w:val="clear" w:color="auto" w:fill="auto"/>
            <w:vAlign w:val="center"/>
          </w:tcPr>
          <w:p w14:paraId="4808BFD0">
            <w:pPr>
              <w:jc w:val="center"/>
              <w:rPr>
                <w:rFonts w:hint="eastAsia" w:ascii="宋体" w:hAnsi="宋体" w:eastAsia="宋体" w:cs="宋体"/>
                <w:i w:val="0"/>
                <w:iCs w:val="0"/>
                <w:color w:val="000000"/>
                <w:sz w:val="21"/>
                <w:szCs w:val="21"/>
                <w:u w:val="none"/>
              </w:rPr>
            </w:pPr>
          </w:p>
        </w:tc>
        <w:tc>
          <w:tcPr>
            <w:tcW w:w="1207" w:type="dxa"/>
            <w:tcBorders>
              <w:tl2br w:val="nil"/>
              <w:tr2bl w:val="nil"/>
            </w:tcBorders>
            <w:shd w:val="clear" w:color="auto" w:fill="auto"/>
            <w:vAlign w:val="center"/>
          </w:tcPr>
          <w:p w14:paraId="01EE59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生活垃圾</w:t>
            </w:r>
          </w:p>
        </w:tc>
        <w:tc>
          <w:tcPr>
            <w:tcW w:w="2568" w:type="dxa"/>
            <w:tcBorders>
              <w:tl2br w:val="nil"/>
              <w:tr2bl w:val="nil"/>
            </w:tcBorders>
            <w:shd w:val="clear" w:color="auto" w:fill="auto"/>
            <w:vAlign w:val="center"/>
          </w:tcPr>
          <w:p w14:paraId="2A8115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生活垃圾</w:t>
            </w:r>
          </w:p>
        </w:tc>
        <w:tc>
          <w:tcPr>
            <w:tcW w:w="1456" w:type="dxa"/>
            <w:tcBorders>
              <w:tl2br w:val="nil"/>
              <w:tr2bl w:val="nil"/>
            </w:tcBorders>
            <w:shd w:val="clear" w:color="auto" w:fill="auto"/>
            <w:vAlign w:val="center"/>
          </w:tcPr>
          <w:p w14:paraId="0C48B3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125" w:type="dxa"/>
            <w:tcBorders>
              <w:tl2br w:val="nil"/>
              <w:tr2bl w:val="nil"/>
            </w:tcBorders>
            <w:shd w:val="clear" w:color="auto" w:fill="auto"/>
            <w:vAlign w:val="center"/>
          </w:tcPr>
          <w:p w14:paraId="208131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246" w:type="dxa"/>
            <w:tcBorders>
              <w:tl2br w:val="nil"/>
              <w:tr2bl w:val="nil"/>
            </w:tcBorders>
            <w:shd w:val="clear" w:color="auto" w:fill="auto"/>
            <w:vAlign w:val="center"/>
          </w:tcPr>
          <w:p w14:paraId="57D6C4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61E4AE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1246" w:type="dxa"/>
            <w:tcBorders>
              <w:tl2br w:val="nil"/>
              <w:tr2bl w:val="nil"/>
            </w:tcBorders>
            <w:shd w:val="clear" w:color="auto" w:fill="auto"/>
            <w:vAlign w:val="center"/>
          </w:tcPr>
          <w:p w14:paraId="02A2AB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456" w:type="dxa"/>
            <w:tcBorders>
              <w:tl2br w:val="nil"/>
              <w:tr2bl w:val="nil"/>
            </w:tcBorders>
            <w:shd w:val="clear" w:color="auto" w:fill="auto"/>
            <w:vAlign w:val="center"/>
          </w:tcPr>
          <w:p w14:paraId="1FD889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1456" w:type="dxa"/>
            <w:tcBorders>
              <w:tl2br w:val="nil"/>
              <w:tr2bl w:val="nil"/>
            </w:tcBorders>
            <w:shd w:val="clear" w:color="auto" w:fill="auto"/>
            <w:vAlign w:val="center"/>
          </w:tcPr>
          <w:p w14:paraId="4FCFD2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r>
    </w:tbl>
    <w:p w14:paraId="15130162">
      <w:pPr>
        <w:pStyle w:val="43"/>
        <w:snapToGrid/>
        <w:spacing w:beforeLines="0" w:afterLines="0" w:line="440" w:lineRule="exact"/>
        <w:jc w:val="left"/>
        <w:rPr>
          <w:rFonts w:hint="default" w:ascii="Times New Roman" w:hAnsi="Times New Roman" w:cs="Times New Roman"/>
          <w:snapToGrid w:val="0"/>
          <w:color w:val="auto"/>
          <w:kern w:val="21"/>
        </w:rPr>
      </w:pPr>
      <w:r>
        <w:rPr>
          <w:rFonts w:hint="default" w:ascii="Times New Roman" w:hAnsi="Times New Roman" w:cs="Times New Roman"/>
          <w:snapToGrid w:val="0"/>
          <w:color w:val="auto"/>
          <w:kern w:val="21"/>
        </w:rPr>
        <w:t>注：</w:t>
      </w:r>
      <w:r>
        <w:rPr>
          <w:rFonts w:hint="default" w:ascii="Times New Roman" w:hAnsi="Times New Roman" w:cs="Times New Roman"/>
          <w:snapToGrid w:val="0"/>
          <w:color w:val="auto"/>
          <w:kern w:val="21"/>
        </w:rPr>
        <w:fldChar w:fldCharType="begin"/>
      </w:r>
      <w:r>
        <w:rPr>
          <w:rFonts w:hint="default" w:ascii="Times New Roman" w:hAnsi="Times New Roman" w:cs="Times New Roman"/>
          <w:snapToGrid w:val="0"/>
          <w:color w:val="auto"/>
          <w:kern w:val="21"/>
        </w:rPr>
        <w:instrText xml:space="preserve"> = 6 \* GB3 \* MERGEFORMAT </w:instrText>
      </w:r>
      <w:r>
        <w:rPr>
          <w:rFonts w:hint="default" w:ascii="Times New Roman" w:hAnsi="Times New Roman" w:cs="Times New Roman"/>
          <w:snapToGrid w:val="0"/>
          <w:color w:val="auto"/>
          <w:kern w:val="21"/>
        </w:rPr>
        <w:fldChar w:fldCharType="separate"/>
      </w:r>
      <w:r>
        <w:rPr>
          <w:rFonts w:hint="default" w:ascii="Times New Roman" w:hAnsi="Times New Roman" w:cs="Times New Roman"/>
          <w:color w:val="auto"/>
        </w:rPr>
        <w:t>⑥</w:t>
      </w:r>
      <w:r>
        <w:rPr>
          <w:rFonts w:hint="default" w:ascii="Times New Roman" w:hAnsi="Times New Roman" w:cs="Times New Roman"/>
          <w:snapToGrid w:val="0"/>
          <w:color w:val="auto"/>
          <w:kern w:val="21"/>
        </w:rPr>
        <w:fldChar w:fldCharType="end"/>
      </w:r>
      <w:r>
        <w:rPr>
          <w:rFonts w:hint="default" w:ascii="Times New Roman" w:hAnsi="Times New Roman" w:cs="Times New Roman"/>
          <w:snapToGrid w:val="0"/>
          <w:color w:val="auto"/>
          <w:kern w:val="21"/>
        </w:rPr>
        <w:t>=</w:t>
      </w:r>
      <w:r>
        <w:rPr>
          <w:rFonts w:hint="default" w:ascii="Times New Roman" w:hAnsi="Times New Roman" w:cs="Times New Roman"/>
          <w:snapToGrid w:val="0"/>
          <w:color w:val="auto"/>
          <w:kern w:val="21"/>
        </w:rPr>
        <w:fldChar w:fldCharType="begin"/>
      </w:r>
      <w:r>
        <w:rPr>
          <w:rFonts w:hint="default" w:ascii="Times New Roman" w:hAnsi="Times New Roman" w:cs="Times New Roman"/>
          <w:snapToGrid w:val="0"/>
          <w:color w:val="auto"/>
          <w:kern w:val="21"/>
        </w:rPr>
        <w:instrText xml:space="preserve"> = 1 \* GB3 \* MERGEFORMAT </w:instrText>
      </w:r>
      <w:r>
        <w:rPr>
          <w:rFonts w:hint="default" w:ascii="Times New Roman" w:hAnsi="Times New Roman" w:cs="Times New Roman"/>
          <w:snapToGrid w:val="0"/>
          <w:color w:val="auto"/>
          <w:kern w:val="21"/>
        </w:rPr>
        <w:fldChar w:fldCharType="separate"/>
      </w:r>
      <w:r>
        <w:rPr>
          <w:rFonts w:hint="default" w:ascii="Times New Roman" w:hAnsi="Times New Roman" w:cs="Times New Roman"/>
          <w:color w:val="auto"/>
        </w:rPr>
        <w:t>①</w:t>
      </w:r>
      <w:r>
        <w:rPr>
          <w:rFonts w:hint="default" w:ascii="Times New Roman" w:hAnsi="Times New Roman" w:cs="Times New Roman"/>
          <w:snapToGrid w:val="0"/>
          <w:color w:val="auto"/>
          <w:kern w:val="21"/>
        </w:rPr>
        <w:fldChar w:fldCharType="end"/>
      </w:r>
      <w:r>
        <w:rPr>
          <w:rFonts w:hint="default" w:ascii="Times New Roman" w:hAnsi="Times New Roman" w:cs="Times New Roman"/>
          <w:snapToGrid w:val="0"/>
          <w:color w:val="auto"/>
          <w:kern w:val="21"/>
        </w:rPr>
        <w:t>+</w:t>
      </w:r>
      <w:r>
        <w:rPr>
          <w:rFonts w:hint="default" w:ascii="Times New Roman" w:hAnsi="Times New Roman" w:cs="Times New Roman"/>
          <w:snapToGrid w:val="0"/>
          <w:color w:val="auto"/>
          <w:kern w:val="21"/>
        </w:rPr>
        <w:fldChar w:fldCharType="begin"/>
      </w:r>
      <w:r>
        <w:rPr>
          <w:rFonts w:hint="default" w:ascii="Times New Roman" w:hAnsi="Times New Roman" w:cs="Times New Roman"/>
          <w:snapToGrid w:val="0"/>
          <w:color w:val="auto"/>
          <w:kern w:val="21"/>
        </w:rPr>
        <w:instrText xml:space="preserve"> = 3 \* GB3 \* MERGEFORMAT </w:instrText>
      </w:r>
      <w:r>
        <w:rPr>
          <w:rFonts w:hint="default" w:ascii="Times New Roman" w:hAnsi="Times New Roman" w:cs="Times New Roman"/>
          <w:snapToGrid w:val="0"/>
          <w:color w:val="auto"/>
          <w:kern w:val="21"/>
        </w:rPr>
        <w:fldChar w:fldCharType="separate"/>
      </w:r>
      <w:r>
        <w:rPr>
          <w:rFonts w:hint="default" w:ascii="Times New Roman" w:hAnsi="Times New Roman" w:cs="Times New Roman"/>
          <w:color w:val="auto"/>
        </w:rPr>
        <w:t>③</w:t>
      </w:r>
      <w:r>
        <w:rPr>
          <w:rFonts w:hint="default" w:ascii="Times New Roman" w:hAnsi="Times New Roman" w:cs="Times New Roman"/>
          <w:snapToGrid w:val="0"/>
          <w:color w:val="auto"/>
          <w:kern w:val="21"/>
        </w:rPr>
        <w:fldChar w:fldCharType="end"/>
      </w:r>
      <w:r>
        <w:rPr>
          <w:rFonts w:hint="default" w:ascii="Times New Roman" w:hAnsi="Times New Roman" w:cs="Times New Roman"/>
          <w:snapToGrid w:val="0"/>
          <w:color w:val="auto"/>
          <w:kern w:val="21"/>
        </w:rPr>
        <w:t>+</w:t>
      </w:r>
      <w:r>
        <w:rPr>
          <w:rFonts w:hint="default" w:ascii="Times New Roman" w:hAnsi="Times New Roman" w:cs="Times New Roman"/>
          <w:snapToGrid w:val="0"/>
          <w:color w:val="auto"/>
          <w:kern w:val="21"/>
        </w:rPr>
        <w:fldChar w:fldCharType="begin"/>
      </w:r>
      <w:r>
        <w:rPr>
          <w:rFonts w:hint="default" w:ascii="Times New Roman" w:hAnsi="Times New Roman" w:cs="Times New Roman"/>
          <w:snapToGrid w:val="0"/>
          <w:color w:val="auto"/>
          <w:kern w:val="21"/>
        </w:rPr>
        <w:instrText xml:space="preserve"> = 4 \* GB3 \* MERGEFORMAT </w:instrText>
      </w:r>
      <w:r>
        <w:rPr>
          <w:rFonts w:hint="default" w:ascii="Times New Roman" w:hAnsi="Times New Roman" w:cs="Times New Roman"/>
          <w:snapToGrid w:val="0"/>
          <w:color w:val="auto"/>
          <w:kern w:val="21"/>
        </w:rPr>
        <w:fldChar w:fldCharType="separate"/>
      </w:r>
      <w:r>
        <w:rPr>
          <w:rFonts w:hint="default" w:ascii="Times New Roman" w:hAnsi="Times New Roman" w:cs="Times New Roman"/>
          <w:color w:val="auto"/>
        </w:rPr>
        <w:t>④</w:t>
      </w:r>
      <w:r>
        <w:rPr>
          <w:rFonts w:hint="default" w:ascii="Times New Roman" w:hAnsi="Times New Roman" w:cs="Times New Roman"/>
          <w:snapToGrid w:val="0"/>
          <w:color w:val="auto"/>
          <w:kern w:val="21"/>
        </w:rPr>
        <w:fldChar w:fldCharType="end"/>
      </w:r>
      <w:r>
        <w:rPr>
          <w:rFonts w:hint="default" w:ascii="Times New Roman" w:hAnsi="Times New Roman" w:cs="Times New Roman"/>
          <w:snapToGrid w:val="0"/>
          <w:color w:val="auto"/>
          <w:kern w:val="21"/>
        </w:rPr>
        <w:t>-</w:t>
      </w:r>
      <w:r>
        <w:rPr>
          <w:rFonts w:hint="default" w:ascii="Times New Roman" w:hAnsi="Times New Roman" w:cs="Times New Roman"/>
          <w:snapToGrid w:val="0"/>
          <w:color w:val="auto"/>
          <w:kern w:val="21"/>
        </w:rPr>
        <w:fldChar w:fldCharType="begin"/>
      </w:r>
      <w:r>
        <w:rPr>
          <w:rFonts w:hint="default" w:ascii="Times New Roman" w:hAnsi="Times New Roman" w:cs="Times New Roman"/>
          <w:snapToGrid w:val="0"/>
          <w:color w:val="auto"/>
          <w:kern w:val="21"/>
        </w:rPr>
        <w:instrText xml:space="preserve"> = 5 \* GB3 \* MERGEFORMAT </w:instrText>
      </w:r>
      <w:r>
        <w:rPr>
          <w:rFonts w:hint="default" w:ascii="Times New Roman" w:hAnsi="Times New Roman" w:cs="Times New Roman"/>
          <w:snapToGrid w:val="0"/>
          <w:color w:val="auto"/>
          <w:kern w:val="21"/>
        </w:rPr>
        <w:fldChar w:fldCharType="separate"/>
      </w:r>
      <w:r>
        <w:rPr>
          <w:rFonts w:hint="default" w:ascii="Times New Roman" w:hAnsi="Times New Roman" w:cs="Times New Roman"/>
          <w:color w:val="auto"/>
        </w:rPr>
        <w:t>⑤</w:t>
      </w:r>
      <w:r>
        <w:rPr>
          <w:rFonts w:hint="default" w:ascii="Times New Roman" w:hAnsi="Times New Roman" w:cs="Times New Roman"/>
          <w:snapToGrid w:val="0"/>
          <w:color w:val="auto"/>
          <w:kern w:val="21"/>
        </w:rPr>
        <w:fldChar w:fldCharType="end"/>
      </w:r>
      <w:r>
        <w:rPr>
          <w:rFonts w:hint="eastAsia" w:cs="Times New Roman"/>
          <w:snapToGrid w:val="0"/>
          <w:color w:val="auto"/>
          <w:kern w:val="21"/>
          <w:lang w:eastAsia="zh-CN"/>
        </w:rPr>
        <w:t>；</w:t>
      </w:r>
      <w:r>
        <w:rPr>
          <w:rFonts w:hint="default" w:ascii="Times New Roman" w:hAnsi="Times New Roman" w:cs="Times New Roman"/>
          <w:snapToGrid w:val="0"/>
          <w:color w:val="auto"/>
          <w:kern w:val="21"/>
        </w:rPr>
        <w:fldChar w:fldCharType="begin"/>
      </w:r>
      <w:r>
        <w:rPr>
          <w:rFonts w:hint="default" w:ascii="Times New Roman" w:hAnsi="Times New Roman" w:cs="Times New Roman"/>
          <w:snapToGrid w:val="0"/>
          <w:color w:val="auto"/>
          <w:kern w:val="21"/>
        </w:rPr>
        <w:instrText xml:space="preserve"> = 7 \* GB3 \* MERGEFORMAT </w:instrText>
      </w:r>
      <w:r>
        <w:rPr>
          <w:rFonts w:hint="default" w:ascii="Times New Roman" w:hAnsi="Times New Roman" w:cs="Times New Roman"/>
          <w:snapToGrid w:val="0"/>
          <w:color w:val="auto"/>
          <w:kern w:val="21"/>
        </w:rPr>
        <w:fldChar w:fldCharType="separate"/>
      </w:r>
      <w:r>
        <w:rPr>
          <w:rFonts w:hint="default" w:ascii="Times New Roman" w:hAnsi="Times New Roman" w:cs="Times New Roman"/>
          <w:color w:val="auto"/>
        </w:rPr>
        <w:t>⑦</w:t>
      </w:r>
      <w:r>
        <w:rPr>
          <w:rFonts w:hint="default" w:ascii="Times New Roman" w:hAnsi="Times New Roman" w:cs="Times New Roman"/>
          <w:snapToGrid w:val="0"/>
          <w:color w:val="auto"/>
          <w:kern w:val="21"/>
        </w:rPr>
        <w:fldChar w:fldCharType="end"/>
      </w:r>
      <w:r>
        <w:rPr>
          <w:rFonts w:hint="default" w:ascii="Times New Roman" w:hAnsi="Times New Roman" w:cs="Times New Roman"/>
          <w:snapToGrid w:val="0"/>
          <w:color w:val="auto"/>
          <w:kern w:val="21"/>
        </w:rPr>
        <w:t>=</w:t>
      </w:r>
      <w:r>
        <w:rPr>
          <w:rFonts w:hint="default" w:ascii="Times New Roman" w:hAnsi="Times New Roman" w:cs="Times New Roman"/>
          <w:snapToGrid w:val="0"/>
          <w:color w:val="auto"/>
          <w:kern w:val="21"/>
        </w:rPr>
        <w:fldChar w:fldCharType="begin"/>
      </w:r>
      <w:r>
        <w:rPr>
          <w:rFonts w:hint="default" w:ascii="Times New Roman" w:hAnsi="Times New Roman" w:cs="Times New Roman"/>
          <w:snapToGrid w:val="0"/>
          <w:color w:val="auto"/>
          <w:kern w:val="21"/>
        </w:rPr>
        <w:instrText xml:space="preserve"> = 6 \* GB3 \* MERGEFORMAT </w:instrText>
      </w:r>
      <w:r>
        <w:rPr>
          <w:rFonts w:hint="default" w:ascii="Times New Roman" w:hAnsi="Times New Roman" w:cs="Times New Roman"/>
          <w:snapToGrid w:val="0"/>
          <w:color w:val="auto"/>
          <w:kern w:val="21"/>
        </w:rPr>
        <w:fldChar w:fldCharType="separate"/>
      </w:r>
      <w:r>
        <w:rPr>
          <w:rFonts w:hint="default" w:ascii="Times New Roman" w:hAnsi="Times New Roman" w:cs="Times New Roman"/>
          <w:color w:val="auto"/>
        </w:rPr>
        <w:t>⑥</w:t>
      </w:r>
      <w:r>
        <w:rPr>
          <w:rFonts w:hint="default" w:ascii="Times New Roman" w:hAnsi="Times New Roman" w:cs="Times New Roman"/>
          <w:snapToGrid w:val="0"/>
          <w:color w:val="auto"/>
          <w:kern w:val="21"/>
        </w:rPr>
        <w:fldChar w:fldCharType="end"/>
      </w:r>
      <w:r>
        <w:rPr>
          <w:rFonts w:hint="default" w:ascii="Times New Roman" w:hAnsi="Times New Roman" w:cs="Times New Roman"/>
          <w:snapToGrid w:val="0"/>
          <w:color w:val="auto"/>
          <w:kern w:val="21"/>
        </w:rPr>
        <w:t>-</w:t>
      </w:r>
      <w:r>
        <w:rPr>
          <w:rFonts w:hint="default" w:ascii="Times New Roman" w:hAnsi="Times New Roman" w:cs="Times New Roman"/>
          <w:snapToGrid w:val="0"/>
          <w:color w:val="auto"/>
          <w:kern w:val="21"/>
        </w:rPr>
        <w:fldChar w:fldCharType="begin"/>
      </w:r>
      <w:r>
        <w:rPr>
          <w:rFonts w:hint="default" w:ascii="Times New Roman" w:hAnsi="Times New Roman" w:cs="Times New Roman"/>
          <w:snapToGrid w:val="0"/>
          <w:color w:val="auto"/>
          <w:kern w:val="21"/>
        </w:rPr>
        <w:instrText xml:space="preserve"> = 1 \* GB3 \* MERGEFORMAT </w:instrText>
      </w:r>
      <w:r>
        <w:rPr>
          <w:rFonts w:hint="default" w:ascii="Times New Roman" w:hAnsi="Times New Roman" w:cs="Times New Roman"/>
          <w:snapToGrid w:val="0"/>
          <w:color w:val="auto"/>
          <w:kern w:val="21"/>
        </w:rPr>
        <w:fldChar w:fldCharType="separate"/>
      </w:r>
      <w:r>
        <w:rPr>
          <w:rFonts w:hint="default" w:ascii="Times New Roman" w:hAnsi="Times New Roman" w:cs="Times New Roman"/>
          <w:color w:val="auto"/>
        </w:rPr>
        <w:t>①</w:t>
      </w:r>
      <w:r>
        <w:rPr>
          <w:rFonts w:hint="default" w:ascii="Times New Roman" w:hAnsi="Times New Roman" w:cs="Times New Roman"/>
          <w:snapToGrid w:val="0"/>
          <w:color w:val="auto"/>
          <w:kern w:val="21"/>
        </w:rPr>
        <w:fldChar w:fldCharType="end"/>
      </w:r>
    </w:p>
    <w:p w14:paraId="13D277AD">
      <w:pPr>
        <w:bidi w:val="0"/>
        <w:rPr>
          <w:rFonts w:hint="default"/>
        </w:rPr>
      </w:pPr>
    </w:p>
    <w:p w14:paraId="6AB0CDD4">
      <w:pPr>
        <w:pStyle w:val="23"/>
        <w:adjustRightInd w:val="0"/>
        <w:snapToGrid w:val="0"/>
        <w:spacing w:before="0" w:beforeAutospacing="0" w:after="0" w:afterAutospacing="0"/>
        <w:jc w:val="both"/>
        <w:rPr>
          <w:rFonts w:hint="default"/>
        </w:rPr>
      </w:pPr>
    </w:p>
    <w:p w14:paraId="205A96A7"/>
    <w:p w14:paraId="4732CAC5"/>
    <w:sectPr>
      <w:footerReference r:id="rId8" w:type="default"/>
      <w:pgSz w:w="16838" w:h="11905" w:orient="landscape"/>
      <w:pgMar w:top="1440" w:right="1080" w:bottom="1440" w:left="1080" w:header="851" w:footer="1077"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customizations.xml><?xml version="1.0" encoding="utf-8"?>
<wne:tcg xmlns:r="http://schemas.openxmlformats.org/officeDocument/2006/relationships" xmlns:wne="http://schemas.microsoft.com/office/word/2006/wordml">
  <wne:keymaps>
    <wne:keymap wne:kcmPrimary="0331">
      <wne:acd wne:acdName="acd0"/>
    </wne:keymap>
  </wne:keymaps>
  <wne:acds>
    <wne:acd wne:argValue="AQAAAAEA" wne:acdName="acd0"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sans-serif">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E4D79">
    <w:pPr>
      <w:pStyle w:val="17"/>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4D718">
    <w:pPr>
      <w:pStyle w:val="17"/>
      <w:ind w:right="360"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24C24">
    <w:pPr>
      <w:pStyle w:val="17"/>
      <w:ind w:right="360"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4FFCE7">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24FFCE7">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3A805">
    <w:pPr>
      <w:pStyle w:val="17"/>
      <w:ind w:right="360"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69622">
                          <w:pPr>
                            <w:pStyle w:val="17"/>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2C069622">
                    <w:pPr>
                      <w:pStyle w:val="17"/>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FB6C3">
    <w:pPr>
      <w:pStyle w:val="17"/>
      <w:ind w:right="360"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0B5E71">
                          <w:pPr>
                            <w:pStyle w:val="17"/>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670B5E71">
                    <w:pPr>
                      <w:pStyle w:val="17"/>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7FFDA">
    <w:pPr>
      <w:pStyle w:val="17"/>
      <w:ind w:right="360"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117368">
                          <w:pPr>
                            <w:pStyle w:val="17"/>
                          </w:pPr>
                          <w:r>
                            <w:fldChar w:fldCharType="begin"/>
                          </w:r>
                          <w:r>
                            <w:instrText xml:space="preserve"> PAGE  \* MERGEFORMAT </w:instrText>
                          </w:r>
                          <w:r>
                            <w:fldChar w:fldCharType="separate"/>
                          </w:r>
                          <w:r>
                            <w:t>146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1117368">
                    <w:pPr>
                      <w:pStyle w:val="17"/>
                    </w:pPr>
                    <w:r>
                      <w:fldChar w:fldCharType="begin"/>
                    </w:r>
                    <w:r>
                      <w:instrText xml:space="preserve"> PAGE  \* MERGEFORMAT </w:instrText>
                    </w:r>
                    <w:r>
                      <w:fldChar w:fldCharType="separate"/>
                    </w:r>
                    <w:r>
                      <w:t>146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A6CA99"/>
    <w:multiLevelType w:val="singleLevel"/>
    <w:tmpl w:val="8DA6CA99"/>
    <w:lvl w:ilvl="0" w:tentative="0">
      <w:start w:val="1"/>
      <w:numFmt w:val="bullet"/>
      <w:lvlText w:val=""/>
      <w:lvlJc w:val="left"/>
      <w:pPr>
        <w:ind w:left="420" w:hanging="420"/>
      </w:pPr>
      <w:rPr>
        <w:rFonts w:hint="default" w:ascii="Wingdings" w:hAnsi="Wingdings"/>
      </w:rPr>
    </w:lvl>
  </w:abstractNum>
  <w:abstractNum w:abstractNumId="1">
    <w:nsid w:val="9059057C"/>
    <w:multiLevelType w:val="singleLevel"/>
    <w:tmpl w:val="9059057C"/>
    <w:lvl w:ilvl="0" w:tentative="0">
      <w:start w:val="1"/>
      <w:numFmt w:val="decimal"/>
      <w:suff w:val="nothing"/>
      <w:lvlText w:val="（%1）"/>
      <w:lvlJc w:val="left"/>
    </w:lvl>
  </w:abstractNum>
  <w:abstractNum w:abstractNumId="2">
    <w:nsid w:val="94BC30DA"/>
    <w:multiLevelType w:val="multilevel"/>
    <w:tmpl w:val="94BC30DA"/>
    <w:lvl w:ilvl="0" w:tentative="0">
      <w:start w:val="1"/>
      <w:numFmt w:val="decimal"/>
      <w:pStyle w:val="88"/>
      <w:lvlText w:val="表%1."/>
      <w:lvlJc w:val="center"/>
      <w:pPr>
        <w:ind w:left="425" w:hanging="425"/>
      </w:pPr>
      <w:rPr>
        <w:rFonts w:hint="default" w:ascii="Times New Roman" w:hAnsi="Times New Roman" w:eastAsia="宋体" w:cs="宋体"/>
        <w:b/>
        <w:bCs/>
        <w:sz w:val="21"/>
        <w:szCs w:val="21"/>
      </w:rPr>
    </w:lvl>
    <w:lvl w:ilvl="1" w:tentative="0">
      <w:start w:val="1"/>
      <w:numFmt w:val="decimal"/>
      <w:lvlText w:val="表%1.%2."/>
      <w:lvlJc w:val="center"/>
      <w:pPr>
        <w:ind w:left="567" w:hanging="567"/>
      </w:pPr>
      <w:rPr>
        <w:rFonts w:hint="default" w:ascii="宋体" w:hAnsi="宋体" w:eastAsia="宋体" w:cs="宋体"/>
        <w:b/>
        <w:bCs/>
        <w:sz w:val="24"/>
        <w:szCs w:val="24"/>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9C1BBA7D"/>
    <w:multiLevelType w:val="singleLevel"/>
    <w:tmpl w:val="9C1BBA7D"/>
    <w:lvl w:ilvl="0" w:tentative="0">
      <w:start w:val="1"/>
      <w:numFmt w:val="decimal"/>
      <w:suff w:val="nothing"/>
      <w:lvlText w:val="（%1）"/>
      <w:lvlJc w:val="left"/>
    </w:lvl>
  </w:abstractNum>
  <w:abstractNum w:abstractNumId="4">
    <w:nsid w:val="0053208E"/>
    <w:multiLevelType w:val="multilevel"/>
    <w:tmpl w:val="0053208E"/>
    <w:lvl w:ilvl="0" w:tentative="0">
      <w:start w:val="1"/>
      <w:numFmt w:val="decimal"/>
      <w:suff w:val="nothing"/>
      <w:lvlText w:val="%1、"/>
      <w:lvlJc w:val="left"/>
    </w:lvl>
    <w:lvl w:ilvl="1" w:tentative="0">
      <w:start w:val="1"/>
      <w:numFmt w:val="decimal"/>
      <w:lvlText w:val="（%2）"/>
      <w:lvlJc w:val="left"/>
      <w:pPr>
        <w:ind w:left="1060" w:hanging="627"/>
      </w:pPr>
      <w:rPr>
        <w:rFonts w:hint="default" w:ascii="宋体" w:hAnsi="宋体" w:eastAsia="宋体" w:cs="宋体"/>
        <w:spacing w:val="-1"/>
        <w:w w:val="100"/>
        <w:sz w:val="22"/>
        <w:szCs w:val="22"/>
        <w:lang w:val="zh-CN" w:eastAsia="zh-CN" w:bidi="zh-CN"/>
      </w:rPr>
    </w:lvl>
    <w:lvl w:ilvl="2" w:tentative="0">
      <w:start w:val="0"/>
      <w:numFmt w:val="bullet"/>
      <w:lvlText w:val="•"/>
      <w:lvlJc w:val="left"/>
      <w:pPr>
        <w:ind w:left="2427" w:hanging="627"/>
      </w:pPr>
      <w:rPr>
        <w:rFonts w:hint="default"/>
        <w:lang w:val="zh-CN" w:eastAsia="zh-CN" w:bidi="zh-CN"/>
      </w:rPr>
    </w:lvl>
    <w:lvl w:ilvl="3" w:tentative="0">
      <w:start w:val="0"/>
      <w:numFmt w:val="bullet"/>
      <w:lvlText w:val="•"/>
      <w:lvlJc w:val="left"/>
      <w:pPr>
        <w:ind w:left="3435" w:hanging="627"/>
      </w:pPr>
      <w:rPr>
        <w:rFonts w:hint="default"/>
        <w:lang w:val="zh-CN" w:eastAsia="zh-CN" w:bidi="zh-CN"/>
      </w:rPr>
    </w:lvl>
    <w:lvl w:ilvl="4" w:tentative="0">
      <w:start w:val="0"/>
      <w:numFmt w:val="bullet"/>
      <w:lvlText w:val="•"/>
      <w:lvlJc w:val="left"/>
      <w:pPr>
        <w:ind w:left="4443" w:hanging="627"/>
      </w:pPr>
      <w:rPr>
        <w:rFonts w:hint="default"/>
        <w:lang w:val="zh-CN" w:eastAsia="zh-CN" w:bidi="zh-CN"/>
      </w:rPr>
    </w:lvl>
    <w:lvl w:ilvl="5" w:tentative="0">
      <w:start w:val="0"/>
      <w:numFmt w:val="bullet"/>
      <w:lvlText w:val="•"/>
      <w:lvlJc w:val="left"/>
      <w:pPr>
        <w:ind w:left="5451" w:hanging="627"/>
      </w:pPr>
      <w:rPr>
        <w:rFonts w:hint="default"/>
        <w:lang w:val="zh-CN" w:eastAsia="zh-CN" w:bidi="zh-CN"/>
      </w:rPr>
    </w:lvl>
    <w:lvl w:ilvl="6" w:tentative="0">
      <w:start w:val="0"/>
      <w:numFmt w:val="bullet"/>
      <w:lvlText w:val="•"/>
      <w:lvlJc w:val="left"/>
      <w:pPr>
        <w:ind w:left="6458" w:hanging="627"/>
      </w:pPr>
      <w:rPr>
        <w:rFonts w:hint="default"/>
        <w:lang w:val="zh-CN" w:eastAsia="zh-CN" w:bidi="zh-CN"/>
      </w:rPr>
    </w:lvl>
    <w:lvl w:ilvl="7" w:tentative="0">
      <w:start w:val="0"/>
      <w:numFmt w:val="bullet"/>
      <w:lvlText w:val="•"/>
      <w:lvlJc w:val="left"/>
      <w:pPr>
        <w:ind w:left="7466" w:hanging="627"/>
      </w:pPr>
      <w:rPr>
        <w:rFonts w:hint="default"/>
        <w:lang w:val="zh-CN" w:eastAsia="zh-CN" w:bidi="zh-CN"/>
      </w:rPr>
    </w:lvl>
    <w:lvl w:ilvl="8" w:tentative="0">
      <w:start w:val="0"/>
      <w:numFmt w:val="bullet"/>
      <w:lvlText w:val="•"/>
      <w:lvlJc w:val="left"/>
      <w:pPr>
        <w:ind w:left="8474" w:hanging="627"/>
      </w:pPr>
      <w:rPr>
        <w:rFonts w:hint="default"/>
        <w:lang w:val="zh-CN" w:eastAsia="zh-CN" w:bidi="zh-CN"/>
      </w:rPr>
    </w:lvl>
  </w:abstractNum>
  <w:abstractNum w:abstractNumId="5">
    <w:nsid w:val="0F2080E4"/>
    <w:multiLevelType w:val="singleLevel"/>
    <w:tmpl w:val="0F2080E4"/>
    <w:lvl w:ilvl="0" w:tentative="0">
      <w:start w:val="1"/>
      <w:numFmt w:val="decimal"/>
      <w:suff w:val="nothing"/>
      <w:lvlText w:val="%1）"/>
      <w:lvlJc w:val="left"/>
    </w:lvl>
  </w:abstractNum>
  <w:abstractNum w:abstractNumId="6">
    <w:nsid w:val="488A68B5"/>
    <w:multiLevelType w:val="singleLevel"/>
    <w:tmpl w:val="488A68B5"/>
    <w:lvl w:ilvl="0" w:tentative="0">
      <w:start w:val="1"/>
      <w:numFmt w:val="decimal"/>
      <w:suff w:val="nothing"/>
      <w:lvlText w:val="（%1）"/>
      <w:lvlJc w:val="left"/>
    </w:lvl>
  </w:abstractNum>
  <w:abstractNum w:abstractNumId="7">
    <w:nsid w:val="5FF56A43"/>
    <w:multiLevelType w:val="multilevel"/>
    <w:tmpl w:val="5FF56A43"/>
    <w:lvl w:ilvl="0" w:tentative="0">
      <w:start w:val="1"/>
      <w:numFmt w:val="decimal"/>
      <w:lvlText w:val="%1."/>
      <w:lvlJc w:val="left"/>
      <w:pPr>
        <w:ind w:left="567" w:leftChars="0" w:hanging="567" w:firstLineChars="0"/>
      </w:pPr>
      <w:rPr>
        <w:rFonts w:hint="default"/>
      </w:rPr>
    </w:lvl>
    <w:lvl w:ilvl="1" w:tentative="0">
      <w:start w:val="1"/>
      <w:numFmt w:val="decimal"/>
      <w:lvlText w:val="%1.%2"/>
      <w:lvlJc w:val="left"/>
      <w:pPr>
        <w:ind w:left="680" w:leftChars="0" w:hanging="680" w:firstLineChars="0"/>
      </w:pPr>
      <w:rPr>
        <w:rFonts w:hint="default"/>
      </w:rPr>
    </w:lvl>
    <w:lvl w:ilvl="2" w:tentative="0">
      <w:start w:val="1"/>
      <w:numFmt w:val="decimal"/>
      <w:suff w:val="space"/>
      <w:lvlText w:val="%1.%2.%3"/>
      <w:lvlJc w:val="left"/>
      <w:pPr>
        <w:ind w:left="680" w:leftChars="0" w:hanging="680" w:firstLineChars="0"/>
      </w:pPr>
      <w:rPr>
        <w:rFonts w:hint="default"/>
      </w:rPr>
    </w:lvl>
    <w:lvl w:ilvl="3" w:tentative="0">
      <w:start w:val="1"/>
      <w:numFmt w:val="decimal"/>
      <w:suff w:val="space"/>
      <w:lvlText w:val="%1.%2.%3.%4"/>
      <w:lvlJc w:val="left"/>
      <w:pPr>
        <w:ind w:left="420" w:leftChars="0" w:hanging="420" w:firstLineChars="0"/>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7"/>
  </w:num>
  <w:num w:numId="2">
    <w:abstractNumId w:val="2"/>
  </w:num>
  <w:num w:numId="3">
    <w:abstractNumId w:val="3"/>
  </w:num>
  <w:num w:numId="4">
    <w:abstractNumId w:val="6"/>
  </w:num>
  <w:num w:numId="5">
    <w:abstractNumId w:val="1"/>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UwYjMwNzcwYzZmOGVlNGIzYThiNjQ0MWVmYWI4MWIifQ=="/>
  </w:docVars>
  <w:rsids>
    <w:rsidRoot w:val="00D17F2F"/>
    <w:rsid w:val="00055A86"/>
    <w:rsid w:val="000E28F5"/>
    <w:rsid w:val="000F6B2B"/>
    <w:rsid w:val="00131AF7"/>
    <w:rsid w:val="002B4BA7"/>
    <w:rsid w:val="002D58D8"/>
    <w:rsid w:val="00347039"/>
    <w:rsid w:val="00391D62"/>
    <w:rsid w:val="00475C4D"/>
    <w:rsid w:val="004B26F7"/>
    <w:rsid w:val="00692FA7"/>
    <w:rsid w:val="00825066"/>
    <w:rsid w:val="00866478"/>
    <w:rsid w:val="00867A3F"/>
    <w:rsid w:val="008B5614"/>
    <w:rsid w:val="009F7D1A"/>
    <w:rsid w:val="00A326B3"/>
    <w:rsid w:val="00A566D5"/>
    <w:rsid w:val="00A65FA9"/>
    <w:rsid w:val="00AB7A64"/>
    <w:rsid w:val="00AD4629"/>
    <w:rsid w:val="00B30E44"/>
    <w:rsid w:val="00C20284"/>
    <w:rsid w:val="00C6664C"/>
    <w:rsid w:val="00D17F2F"/>
    <w:rsid w:val="00D73DB1"/>
    <w:rsid w:val="00D743B5"/>
    <w:rsid w:val="00DC6105"/>
    <w:rsid w:val="00DD616A"/>
    <w:rsid w:val="00DE7954"/>
    <w:rsid w:val="00EC6F52"/>
    <w:rsid w:val="010B596F"/>
    <w:rsid w:val="01173891"/>
    <w:rsid w:val="0124265B"/>
    <w:rsid w:val="01282E62"/>
    <w:rsid w:val="01457CA0"/>
    <w:rsid w:val="01536454"/>
    <w:rsid w:val="016278A5"/>
    <w:rsid w:val="01A21411"/>
    <w:rsid w:val="01AF70E0"/>
    <w:rsid w:val="01D4376A"/>
    <w:rsid w:val="01D66A1A"/>
    <w:rsid w:val="01D84888"/>
    <w:rsid w:val="01EC0334"/>
    <w:rsid w:val="01F01BD2"/>
    <w:rsid w:val="01F553D4"/>
    <w:rsid w:val="01FF0067"/>
    <w:rsid w:val="02072A78"/>
    <w:rsid w:val="020F5E4F"/>
    <w:rsid w:val="02182ED7"/>
    <w:rsid w:val="02185A90"/>
    <w:rsid w:val="022D7245"/>
    <w:rsid w:val="023B5CAB"/>
    <w:rsid w:val="024141DC"/>
    <w:rsid w:val="02427F54"/>
    <w:rsid w:val="0251355F"/>
    <w:rsid w:val="025657AD"/>
    <w:rsid w:val="02681AF4"/>
    <w:rsid w:val="029014CF"/>
    <w:rsid w:val="029B4859"/>
    <w:rsid w:val="029C58B6"/>
    <w:rsid w:val="02A57603"/>
    <w:rsid w:val="02A824AD"/>
    <w:rsid w:val="02C31095"/>
    <w:rsid w:val="02DA2C44"/>
    <w:rsid w:val="02F61626"/>
    <w:rsid w:val="030A1FFD"/>
    <w:rsid w:val="032558AB"/>
    <w:rsid w:val="033F7AFD"/>
    <w:rsid w:val="034F09E1"/>
    <w:rsid w:val="03760A36"/>
    <w:rsid w:val="03792532"/>
    <w:rsid w:val="037A2A3A"/>
    <w:rsid w:val="03805FE7"/>
    <w:rsid w:val="039842CF"/>
    <w:rsid w:val="03A762C0"/>
    <w:rsid w:val="03AE7BD5"/>
    <w:rsid w:val="03E72B61"/>
    <w:rsid w:val="042042C5"/>
    <w:rsid w:val="044F0706"/>
    <w:rsid w:val="04582B45"/>
    <w:rsid w:val="04B541CE"/>
    <w:rsid w:val="04B91F33"/>
    <w:rsid w:val="04C122BA"/>
    <w:rsid w:val="04D77FFE"/>
    <w:rsid w:val="04E62470"/>
    <w:rsid w:val="04EE7F1F"/>
    <w:rsid w:val="050E7620"/>
    <w:rsid w:val="051200B1"/>
    <w:rsid w:val="05237BC9"/>
    <w:rsid w:val="0526590B"/>
    <w:rsid w:val="0539563E"/>
    <w:rsid w:val="054F3656"/>
    <w:rsid w:val="05697ACB"/>
    <w:rsid w:val="05772978"/>
    <w:rsid w:val="057D37CE"/>
    <w:rsid w:val="05926AFC"/>
    <w:rsid w:val="05976809"/>
    <w:rsid w:val="059B1E55"/>
    <w:rsid w:val="05C173E2"/>
    <w:rsid w:val="05C217CC"/>
    <w:rsid w:val="05C80770"/>
    <w:rsid w:val="05D37841"/>
    <w:rsid w:val="05DB30DF"/>
    <w:rsid w:val="05E3160E"/>
    <w:rsid w:val="05E41A4E"/>
    <w:rsid w:val="05E62D9C"/>
    <w:rsid w:val="05F9301F"/>
    <w:rsid w:val="060F639F"/>
    <w:rsid w:val="061B4580"/>
    <w:rsid w:val="06260EDC"/>
    <w:rsid w:val="063F079C"/>
    <w:rsid w:val="06470B2E"/>
    <w:rsid w:val="064C01A0"/>
    <w:rsid w:val="065F0BEE"/>
    <w:rsid w:val="06726697"/>
    <w:rsid w:val="069A035E"/>
    <w:rsid w:val="06C567BF"/>
    <w:rsid w:val="06CA19B2"/>
    <w:rsid w:val="06D416EA"/>
    <w:rsid w:val="06DD024B"/>
    <w:rsid w:val="06E15E33"/>
    <w:rsid w:val="06F15AA5"/>
    <w:rsid w:val="07091040"/>
    <w:rsid w:val="07162D47"/>
    <w:rsid w:val="07184F3A"/>
    <w:rsid w:val="07233834"/>
    <w:rsid w:val="073565A6"/>
    <w:rsid w:val="074918C4"/>
    <w:rsid w:val="074E0395"/>
    <w:rsid w:val="07552A7A"/>
    <w:rsid w:val="075E40A2"/>
    <w:rsid w:val="076D544C"/>
    <w:rsid w:val="078057A6"/>
    <w:rsid w:val="07827641"/>
    <w:rsid w:val="079D65DD"/>
    <w:rsid w:val="07A55F2E"/>
    <w:rsid w:val="07A96F2E"/>
    <w:rsid w:val="07AC2477"/>
    <w:rsid w:val="07BF3128"/>
    <w:rsid w:val="07D23B28"/>
    <w:rsid w:val="07D5167D"/>
    <w:rsid w:val="07DB7519"/>
    <w:rsid w:val="07E212AD"/>
    <w:rsid w:val="07E70955"/>
    <w:rsid w:val="07E83D9D"/>
    <w:rsid w:val="07F874F1"/>
    <w:rsid w:val="080D690E"/>
    <w:rsid w:val="081607F6"/>
    <w:rsid w:val="081F4B00"/>
    <w:rsid w:val="082641D3"/>
    <w:rsid w:val="082F6A38"/>
    <w:rsid w:val="08386072"/>
    <w:rsid w:val="08386081"/>
    <w:rsid w:val="083B16CD"/>
    <w:rsid w:val="0854278F"/>
    <w:rsid w:val="08585DDE"/>
    <w:rsid w:val="085B34CE"/>
    <w:rsid w:val="08662DEA"/>
    <w:rsid w:val="086A7B73"/>
    <w:rsid w:val="088713C2"/>
    <w:rsid w:val="08940DDD"/>
    <w:rsid w:val="08980C2B"/>
    <w:rsid w:val="08B03F1F"/>
    <w:rsid w:val="08B84ACC"/>
    <w:rsid w:val="08D4233A"/>
    <w:rsid w:val="08EE4992"/>
    <w:rsid w:val="09012917"/>
    <w:rsid w:val="0902578E"/>
    <w:rsid w:val="09047508"/>
    <w:rsid w:val="092E2FE0"/>
    <w:rsid w:val="0949606C"/>
    <w:rsid w:val="094B5940"/>
    <w:rsid w:val="0966277A"/>
    <w:rsid w:val="096B1B3E"/>
    <w:rsid w:val="097F5F8A"/>
    <w:rsid w:val="09921681"/>
    <w:rsid w:val="09A514F4"/>
    <w:rsid w:val="09B434E5"/>
    <w:rsid w:val="09B857AD"/>
    <w:rsid w:val="09C000DC"/>
    <w:rsid w:val="09CB082F"/>
    <w:rsid w:val="09D678FF"/>
    <w:rsid w:val="09DC10A0"/>
    <w:rsid w:val="09EA59EB"/>
    <w:rsid w:val="09ED2E9B"/>
    <w:rsid w:val="0A061514"/>
    <w:rsid w:val="0A0D7099"/>
    <w:rsid w:val="0A0F696E"/>
    <w:rsid w:val="0A0F6A47"/>
    <w:rsid w:val="0A1A4692"/>
    <w:rsid w:val="0A2025D0"/>
    <w:rsid w:val="0A37521A"/>
    <w:rsid w:val="0A3A7DC2"/>
    <w:rsid w:val="0A44175C"/>
    <w:rsid w:val="0A5864EE"/>
    <w:rsid w:val="0A746B6C"/>
    <w:rsid w:val="0A7B6A2C"/>
    <w:rsid w:val="0A825391"/>
    <w:rsid w:val="0A875D17"/>
    <w:rsid w:val="0A9357F1"/>
    <w:rsid w:val="0A9A2CD8"/>
    <w:rsid w:val="0AA7129C"/>
    <w:rsid w:val="0ABE2142"/>
    <w:rsid w:val="0ACE32CF"/>
    <w:rsid w:val="0AD16319"/>
    <w:rsid w:val="0AF5381B"/>
    <w:rsid w:val="0B0F299D"/>
    <w:rsid w:val="0B0F7F65"/>
    <w:rsid w:val="0B2812CA"/>
    <w:rsid w:val="0B291CB1"/>
    <w:rsid w:val="0B4D7A2A"/>
    <w:rsid w:val="0B4E34C6"/>
    <w:rsid w:val="0B797C9A"/>
    <w:rsid w:val="0B8A640B"/>
    <w:rsid w:val="0B8D5623"/>
    <w:rsid w:val="0B9E269F"/>
    <w:rsid w:val="0BC157F5"/>
    <w:rsid w:val="0BC474AE"/>
    <w:rsid w:val="0BD25EBD"/>
    <w:rsid w:val="0BDA11FD"/>
    <w:rsid w:val="0BE34A57"/>
    <w:rsid w:val="0BEA6CAC"/>
    <w:rsid w:val="0C047A4E"/>
    <w:rsid w:val="0C2D757F"/>
    <w:rsid w:val="0C377D6A"/>
    <w:rsid w:val="0C461306"/>
    <w:rsid w:val="0C4F5747"/>
    <w:rsid w:val="0C670F7F"/>
    <w:rsid w:val="0C70493E"/>
    <w:rsid w:val="0C8252F9"/>
    <w:rsid w:val="0C840BD0"/>
    <w:rsid w:val="0C923886"/>
    <w:rsid w:val="0C963376"/>
    <w:rsid w:val="0CA40BCC"/>
    <w:rsid w:val="0CBA4DA0"/>
    <w:rsid w:val="0CC41D6A"/>
    <w:rsid w:val="0CC7571C"/>
    <w:rsid w:val="0CCA006B"/>
    <w:rsid w:val="0CCE0D62"/>
    <w:rsid w:val="0CF32576"/>
    <w:rsid w:val="0D216AD8"/>
    <w:rsid w:val="0D2A1D10"/>
    <w:rsid w:val="0D471D25"/>
    <w:rsid w:val="0D5D20E6"/>
    <w:rsid w:val="0D7752E3"/>
    <w:rsid w:val="0D7A67F4"/>
    <w:rsid w:val="0D8774D0"/>
    <w:rsid w:val="0D9378B6"/>
    <w:rsid w:val="0D9755F8"/>
    <w:rsid w:val="0D9F23D2"/>
    <w:rsid w:val="0DB53A2A"/>
    <w:rsid w:val="0E1147DA"/>
    <w:rsid w:val="0E14458C"/>
    <w:rsid w:val="0E217DAF"/>
    <w:rsid w:val="0E337741"/>
    <w:rsid w:val="0E3830A7"/>
    <w:rsid w:val="0E462B7A"/>
    <w:rsid w:val="0E4B63E2"/>
    <w:rsid w:val="0E62212D"/>
    <w:rsid w:val="0E6C337F"/>
    <w:rsid w:val="0E843362"/>
    <w:rsid w:val="0E921890"/>
    <w:rsid w:val="0EAF6971"/>
    <w:rsid w:val="0EB02611"/>
    <w:rsid w:val="0EBB4CC0"/>
    <w:rsid w:val="0EBF5167"/>
    <w:rsid w:val="0EC92C77"/>
    <w:rsid w:val="0ECF6D44"/>
    <w:rsid w:val="0ED14B39"/>
    <w:rsid w:val="0ED31710"/>
    <w:rsid w:val="0ED40186"/>
    <w:rsid w:val="0EDA2FEF"/>
    <w:rsid w:val="0EDC7743"/>
    <w:rsid w:val="0EDE715C"/>
    <w:rsid w:val="0EE455CE"/>
    <w:rsid w:val="0EF44A5C"/>
    <w:rsid w:val="0EFB3964"/>
    <w:rsid w:val="0F1D1FA4"/>
    <w:rsid w:val="0F317386"/>
    <w:rsid w:val="0F391D4A"/>
    <w:rsid w:val="0F3D10DC"/>
    <w:rsid w:val="0F40581B"/>
    <w:rsid w:val="0F4A60A7"/>
    <w:rsid w:val="0F5E2F43"/>
    <w:rsid w:val="0F621C35"/>
    <w:rsid w:val="0F781459"/>
    <w:rsid w:val="0F812FE2"/>
    <w:rsid w:val="0F921D2B"/>
    <w:rsid w:val="0FB2312B"/>
    <w:rsid w:val="0FB80F7E"/>
    <w:rsid w:val="0FCE2E27"/>
    <w:rsid w:val="0FCE5F07"/>
    <w:rsid w:val="0FD81E37"/>
    <w:rsid w:val="0FFD28E0"/>
    <w:rsid w:val="103C1420"/>
    <w:rsid w:val="103E75AB"/>
    <w:rsid w:val="104650B3"/>
    <w:rsid w:val="105139B0"/>
    <w:rsid w:val="105D3AE9"/>
    <w:rsid w:val="107F4121"/>
    <w:rsid w:val="10A544F9"/>
    <w:rsid w:val="10C66B57"/>
    <w:rsid w:val="10DA6F40"/>
    <w:rsid w:val="10E11DAB"/>
    <w:rsid w:val="10E943BC"/>
    <w:rsid w:val="10FB2DD8"/>
    <w:rsid w:val="1102547E"/>
    <w:rsid w:val="11056697"/>
    <w:rsid w:val="11082369"/>
    <w:rsid w:val="111B02EE"/>
    <w:rsid w:val="112A66B2"/>
    <w:rsid w:val="112E1369"/>
    <w:rsid w:val="113D0C2E"/>
    <w:rsid w:val="113D2012"/>
    <w:rsid w:val="116A6B7F"/>
    <w:rsid w:val="116C28F7"/>
    <w:rsid w:val="116F12D7"/>
    <w:rsid w:val="117F6ACF"/>
    <w:rsid w:val="119D0B2A"/>
    <w:rsid w:val="11A43C84"/>
    <w:rsid w:val="11AF2D8D"/>
    <w:rsid w:val="11B5429E"/>
    <w:rsid w:val="11D33F99"/>
    <w:rsid w:val="120A0508"/>
    <w:rsid w:val="12135469"/>
    <w:rsid w:val="122359BE"/>
    <w:rsid w:val="122C6058"/>
    <w:rsid w:val="122D5442"/>
    <w:rsid w:val="123477DB"/>
    <w:rsid w:val="12541F14"/>
    <w:rsid w:val="12597B99"/>
    <w:rsid w:val="126161D4"/>
    <w:rsid w:val="1272218F"/>
    <w:rsid w:val="12837EF9"/>
    <w:rsid w:val="128B222B"/>
    <w:rsid w:val="12BC711D"/>
    <w:rsid w:val="12D544CC"/>
    <w:rsid w:val="12F708E7"/>
    <w:rsid w:val="130628D8"/>
    <w:rsid w:val="1324792E"/>
    <w:rsid w:val="132609DD"/>
    <w:rsid w:val="13335D9C"/>
    <w:rsid w:val="1342137B"/>
    <w:rsid w:val="135F0966"/>
    <w:rsid w:val="136046DE"/>
    <w:rsid w:val="136441CE"/>
    <w:rsid w:val="136640F8"/>
    <w:rsid w:val="13713CFE"/>
    <w:rsid w:val="13791D05"/>
    <w:rsid w:val="139412ED"/>
    <w:rsid w:val="13AA51CA"/>
    <w:rsid w:val="13AC16D1"/>
    <w:rsid w:val="13D053C0"/>
    <w:rsid w:val="13D47E7C"/>
    <w:rsid w:val="13E7095B"/>
    <w:rsid w:val="140C03C2"/>
    <w:rsid w:val="140D69C0"/>
    <w:rsid w:val="141352AC"/>
    <w:rsid w:val="14151024"/>
    <w:rsid w:val="141D1337"/>
    <w:rsid w:val="14213E6D"/>
    <w:rsid w:val="142A3B2F"/>
    <w:rsid w:val="142B4CEC"/>
    <w:rsid w:val="142B6A9A"/>
    <w:rsid w:val="1441793F"/>
    <w:rsid w:val="14481B94"/>
    <w:rsid w:val="147F2942"/>
    <w:rsid w:val="14997B32"/>
    <w:rsid w:val="149B2922"/>
    <w:rsid w:val="14D25BB9"/>
    <w:rsid w:val="14E632DA"/>
    <w:rsid w:val="14F200AF"/>
    <w:rsid w:val="14F72E20"/>
    <w:rsid w:val="14FC1E68"/>
    <w:rsid w:val="151B1281"/>
    <w:rsid w:val="153F1BE9"/>
    <w:rsid w:val="154D1B14"/>
    <w:rsid w:val="15537E34"/>
    <w:rsid w:val="15612CE7"/>
    <w:rsid w:val="15692BFF"/>
    <w:rsid w:val="157224A6"/>
    <w:rsid w:val="158829D7"/>
    <w:rsid w:val="159A3ED7"/>
    <w:rsid w:val="15B900D5"/>
    <w:rsid w:val="15C03212"/>
    <w:rsid w:val="15C745A0"/>
    <w:rsid w:val="15D02CA4"/>
    <w:rsid w:val="15D02F66"/>
    <w:rsid w:val="15F15AC1"/>
    <w:rsid w:val="15FA6724"/>
    <w:rsid w:val="16096967"/>
    <w:rsid w:val="16113A6D"/>
    <w:rsid w:val="162B4F07"/>
    <w:rsid w:val="1658169C"/>
    <w:rsid w:val="16694CB9"/>
    <w:rsid w:val="166C76DF"/>
    <w:rsid w:val="1674297A"/>
    <w:rsid w:val="167F131F"/>
    <w:rsid w:val="169E3AE3"/>
    <w:rsid w:val="16A42B33"/>
    <w:rsid w:val="16BD7F86"/>
    <w:rsid w:val="16BE1E47"/>
    <w:rsid w:val="16C17241"/>
    <w:rsid w:val="16C5620B"/>
    <w:rsid w:val="16E82C3B"/>
    <w:rsid w:val="16F07C7A"/>
    <w:rsid w:val="16F92E7F"/>
    <w:rsid w:val="1707535A"/>
    <w:rsid w:val="17092996"/>
    <w:rsid w:val="1710103D"/>
    <w:rsid w:val="171F06CD"/>
    <w:rsid w:val="1721492C"/>
    <w:rsid w:val="17231CAA"/>
    <w:rsid w:val="172B0B5F"/>
    <w:rsid w:val="1740285C"/>
    <w:rsid w:val="174C146B"/>
    <w:rsid w:val="17516BF1"/>
    <w:rsid w:val="176306F0"/>
    <w:rsid w:val="17663FE4"/>
    <w:rsid w:val="176971F5"/>
    <w:rsid w:val="17872239"/>
    <w:rsid w:val="179947F3"/>
    <w:rsid w:val="17AF09B5"/>
    <w:rsid w:val="17BC3DDA"/>
    <w:rsid w:val="17CF1E32"/>
    <w:rsid w:val="18003D99"/>
    <w:rsid w:val="180970F2"/>
    <w:rsid w:val="180C0521"/>
    <w:rsid w:val="18117F3B"/>
    <w:rsid w:val="181B1DAD"/>
    <w:rsid w:val="181F6915"/>
    <w:rsid w:val="182201B4"/>
    <w:rsid w:val="185C5BFE"/>
    <w:rsid w:val="18714255"/>
    <w:rsid w:val="18737CF7"/>
    <w:rsid w:val="187618B9"/>
    <w:rsid w:val="18893D8F"/>
    <w:rsid w:val="189270E7"/>
    <w:rsid w:val="18934C0E"/>
    <w:rsid w:val="18A32F63"/>
    <w:rsid w:val="18A92683"/>
    <w:rsid w:val="18BF3C55"/>
    <w:rsid w:val="18D15FE1"/>
    <w:rsid w:val="18D314AE"/>
    <w:rsid w:val="18E07450"/>
    <w:rsid w:val="190B0C48"/>
    <w:rsid w:val="190E2BCB"/>
    <w:rsid w:val="19124904"/>
    <w:rsid w:val="191B532F"/>
    <w:rsid w:val="191C10A7"/>
    <w:rsid w:val="1927569A"/>
    <w:rsid w:val="193F500F"/>
    <w:rsid w:val="195D5E4E"/>
    <w:rsid w:val="196C5B8A"/>
    <w:rsid w:val="19763B41"/>
    <w:rsid w:val="199042C8"/>
    <w:rsid w:val="19A60971"/>
    <w:rsid w:val="19A74E14"/>
    <w:rsid w:val="19B60BB4"/>
    <w:rsid w:val="19CE23A1"/>
    <w:rsid w:val="19D76967"/>
    <w:rsid w:val="19E00326"/>
    <w:rsid w:val="19E255FA"/>
    <w:rsid w:val="19F317A1"/>
    <w:rsid w:val="19F65454"/>
    <w:rsid w:val="1A0A7151"/>
    <w:rsid w:val="1A0B1C7C"/>
    <w:rsid w:val="1A233F3A"/>
    <w:rsid w:val="1A385A6D"/>
    <w:rsid w:val="1A387116"/>
    <w:rsid w:val="1A402B73"/>
    <w:rsid w:val="1A492825"/>
    <w:rsid w:val="1A4E703E"/>
    <w:rsid w:val="1A5F2FF9"/>
    <w:rsid w:val="1A615CF9"/>
    <w:rsid w:val="1A6920CA"/>
    <w:rsid w:val="1A6E76E0"/>
    <w:rsid w:val="1A701454"/>
    <w:rsid w:val="1A8C27D1"/>
    <w:rsid w:val="1AA93594"/>
    <w:rsid w:val="1AAE7F44"/>
    <w:rsid w:val="1B0F0EC3"/>
    <w:rsid w:val="1B352500"/>
    <w:rsid w:val="1B3B1CB8"/>
    <w:rsid w:val="1B3D438C"/>
    <w:rsid w:val="1B481CDF"/>
    <w:rsid w:val="1B590DC7"/>
    <w:rsid w:val="1B632FBD"/>
    <w:rsid w:val="1B770817"/>
    <w:rsid w:val="1B7A634B"/>
    <w:rsid w:val="1B901429"/>
    <w:rsid w:val="1BB8278D"/>
    <w:rsid w:val="1BD4340E"/>
    <w:rsid w:val="1BD47A17"/>
    <w:rsid w:val="1BD6378F"/>
    <w:rsid w:val="1BDD0D47"/>
    <w:rsid w:val="1BE85270"/>
    <w:rsid w:val="1BF4730F"/>
    <w:rsid w:val="1BFA3188"/>
    <w:rsid w:val="1C1222ED"/>
    <w:rsid w:val="1C1918CE"/>
    <w:rsid w:val="1C1F5628"/>
    <w:rsid w:val="1C212760"/>
    <w:rsid w:val="1C280FDB"/>
    <w:rsid w:val="1C293F41"/>
    <w:rsid w:val="1C3A7C3D"/>
    <w:rsid w:val="1C3F1B40"/>
    <w:rsid w:val="1C427A06"/>
    <w:rsid w:val="1C4526C3"/>
    <w:rsid w:val="1C4D7416"/>
    <w:rsid w:val="1C715266"/>
    <w:rsid w:val="1C8651B5"/>
    <w:rsid w:val="1C8C6B54"/>
    <w:rsid w:val="1C8E5E18"/>
    <w:rsid w:val="1CB25FAA"/>
    <w:rsid w:val="1CCC6940"/>
    <w:rsid w:val="1CD31A7D"/>
    <w:rsid w:val="1CD75A11"/>
    <w:rsid w:val="1CD7789E"/>
    <w:rsid w:val="1CE87976"/>
    <w:rsid w:val="1CF96883"/>
    <w:rsid w:val="1CFC0FD3"/>
    <w:rsid w:val="1D0154DE"/>
    <w:rsid w:val="1D04432C"/>
    <w:rsid w:val="1D3B6623"/>
    <w:rsid w:val="1D45194B"/>
    <w:rsid w:val="1D640957"/>
    <w:rsid w:val="1D715A06"/>
    <w:rsid w:val="1D7C2114"/>
    <w:rsid w:val="1D8B05A9"/>
    <w:rsid w:val="1D9E6340"/>
    <w:rsid w:val="1DA04055"/>
    <w:rsid w:val="1DB01DBE"/>
    <w:rsid w:val="1DB23D88"/>
    <w:rsid w:val="1DBE097F"/>
    <w:rsid w:val="1DC62498"/>
    <w:rsid w:val="1DCF1BA9"/>
    <w:rsid w:val="1DE859FC"/>
    <w:rsid w:val="1DF02CC4"/>
    <w:rsid w:val="1DF148B0"/>
    <w:rsid w:val="1E171E3D"/>
    <w:rsid w:val="1E277B71"/>
    <w:rsid w:val="1E291981"/>
    <w:rsid w:val="1E4075E6"/>
    <w:rsid w:val="1E4247BE"/>
    <w:rsid w:val="1E4D1671"/>
    <w:rsid w:val="1E57048B"/>
    <w:rsid w:val="1E6959C0"/>
    <w:rsid w:val="1E6E11CD"/>
    <w:rsid w:val="1E7159F1"/>
    <w:rsid w:val="1E8A4A6C"/>
    <w:rsid w:val="1E8B3B0D"/>
    <w:rsid w:val="1EC5398F"/>
    <w:rsid w:val="1ECF42FE"/>
    <w:rsid w:val="1EE1145B"/>
    <w:rsid w:val="1EE77A61"/>
    <w:rsid w:val="1EFA398D"/>
    <w:rsid w:val="1F071097"/>
    <w:rsid w:val="1F164D67"/>
    <w:rsid w:val="1F291E28"/>
    <w:rsid w:val="1F316F2E"/>
    <w:rsid w:val="1F3A4035"/>
    <w:rsid w:val="1F5B748F"/>
    <w:rsid w:val="1F67318A"/>
    <w:rsid w:val="1F6F21BA"/>
    <w:rsid w:val="1F777037"/>
    <w:rsid w:val="1F8608EE"/>
    <w:rsid w:val="1FA6791C"/>
    <w:rsid w:val="1FB14D4C"/>
    <w:rsid w:val="1FB57B5F"/>
    <w:rsid w:val="1FBA6F24"/>
    <w:rsid w:val="1FC90DFD"/>
    <w:rsid w:val="1FCD4EA9"/>
    <w:rsid w:val="1FD10619"/>
    <w:rsid w:val="1FFB42A1"/>
    <w:rsid w:val="200C3C23"/>
    <w:rsid w:val="2017225D"/>
    <w:rsid w:val="201740CF"/>
    <w:rsid w:val="20210D51"/>
    <w:rsid w:val="202E6D95"/>
    <w:rsid w:val="204C1923"/>
    <w:rsid w:val="204F5F26"/>
    <w:rsid w:val="205B27D3"/>
    <w:rsid w:val="20685E17"/>
    <w:rsid w:val="206C0324"/>
    <w:rsid w:val="20847C5E"/>
    <w:rsid w:val="20A71A73"/>
    <w:rsid w:val="20AD52F6"/>
    <w:rsid w:val="20D109C9"/>
    <w:rsid w:val="20D12C12"/>
    <w:rsid w:val="20D64231"/>
    <w:rsid w:val="20F16975"/>
    <w:rsid w:val="20FD356C"/>
    <w:rsid w:val="21347510"/>
    <w:rsid w:val="213C22E6"/>
    <w:rsid w:val="21461012"/>
    <w:rsid w:val="2148301F"/>
    <w:rsid w:val="21535882"/>
    <w:rsid w:val="21563CFB"/>
    <w:rsid w:val="216171A0"/>
    <w:rsid w:val="21617F9F"/>
    <w:rsid w:val="21686AB7"/>
    <w:rsid w:val="21793170"/>
    <w:rsid w:val="218755AB"/>
    <w:rsid w:val="218F0948"/>
    <w:rsid w:val="21920158"/>
    <w:rsid w:val="21933ED0"/>
    <w:rsid w:val="21957C48"/>
    <w:rsid w:val="219914E7"/>
    <w:rsid w:val="219A2E40"/>
    <w:rsid w:val="219B3920"/>
    <w:rsid w:val="21B31E7D"/>
    <w:rsid w:val="21B77BBF"/>
    <w:rsid w:val="21BE6E90"/>
    <w:rsid w:val="21C4408A"/>
    <w:rsid w:val="21EA7433"/>
    <w:rsid w:val="220C5E5F"/>
    <w:rsid w:val="22162B37"/>
    <w:rsid w:val="223034CD"/>
    <w:rsid w:val="223A4C8D"/>
    <w:rsid w:val="223D2864"/>
    <w:rsid w:val="22486A69"/>
    <w:rsid w:val="224A6867"/>
    <w:rsid w:val="22657393"/>
    <w:rsid w:val="228B6EB2"/>
    <w:rsid w:val="228D26CE"/>
    <w:rsid w:val="22A20FA7"/>
    <w:rsid w:val="22B91715"/>
    <w:rsid w:val="22BA0F9A"/>
    <w:rsid w:val="22E1513C"/>
    <w:rsid w:val="22F07C5E"/>
    <w:rsid w:val="22F74EFB"/>
    <w:rsid w:val="23052BAC"/>
    <w:rsid w:val="231525F7"/>
    <w:rsid w:val="23244DE0"/>
    <w:rsid w:val="233B157D"/>
    <w:rsid w:val="237006B3"/>
    <w:rsid w:val="23751ADF"/>
    <w:rsid w:val="23AB72AF"/>
    <w:rsid w:val="23B2098C"/>
    <w:rsid w:val="23BA1BE8"/>
    <w:rsid w:val="23BD2DF5"/>
    <w:rsid w:val="23BE3486"/>
    <w:rsid w:val="23C44815"/>
    <w:rsid w:val="23D63FF3"/>
    <w:rsid w:val="23FB2ED4"/>
    <w:rsid w:val="23FC281B"/>
    <w:rsid w:val="241906BD"/>
    <w:rsid w:val="241C63FF"/>
    <w:rsid w:val="2435126F"/>
    <w:rsid w:val="24365268"/>
    <w:rsid w:val="24373239"/>
    <w:rsid w:val="2443398C"/>
    <w:rsid w:val="24577437"/>
    <w:rsid w:val="246C5B52"/>
    <w:rsid w:val="247A740C"/>
    <w:rsid w:val="247B4ED4"/>
    <w:rsid w:val="247C0E9B"/>
    <w:rsid w:val="24833D88"/>
    <w:rsid w:val="248A15BB"/>
    <w:rsid w:val="249C309C"/>
    <w:rsid w:val="24A44BA9"/>
    <w:rsid w:val="24AC7783"/>
    <w:rsid w:val="24E72569"/>
    <w:rsid w:val="24ED38F7"/>
    <w:rsid w:val="24F94C14"/>
    <w:rsid w:val="251D731A"/>
    <w:rsid w:val="2527505B"/>
    <w:rsid w:val="25675458"/>
    <w:rsid w:val="256C2A6E"/>
    <w:rsid w:val="256C4555"/>
    <w:rsid w:val="257C7A5D"/>
    <w:rsid w:val="258353CC"/>
    <w:rsid w:val="25893620"/>
    <w:rsid w:val="2593449F"/>
    <w:rsid w:val="259721E1"/>
    <w:rsid w:val="25A04B22"/>
    <w:rsid w:val="25B000E4"/>
    <w:rsid w:val="25B74631"/>
    <w:rsid w:val="25C46CDA"/>
    <w:rsid w:val="25DC705A"/>
    <w:rsid w:val="25E940BF"/>
    <w:rsid w:val="25EB2485"/>
    <w:rsid w:val="25EE5B79"/>
    <w:rsid w:val="25F0544D"/>
    <w:rsid w:val="25F56F08"/>
    <w:rsid w:val="26094761"/>
    <w:rsid w:val="262B46D7"/>
    <w:rsid w:val="26336079"/>
    <w:rsid w:val="263E265D"/>
    <w:rsid w:val="26413EFB"/>
    <w:rsid w:val="264B4D7A"/>
    <w:rsid w:val="266D40D1"/>
    <w:rsid w:val="26830933"/>
    <w:rsid w:val="268A1E60"/>
    <w:rsid w:val="268D5E89"/>
    <w:rsid w:val="269B7AAF"/>
    <w:rsid w:val="26B33542"/>
    <w:rsid w:val="26B67982"/>
    <w:rsid w:val="26B91CE3"/>
    <w:rsid w:val="26CC6699"/>
    <w:rsid w:val="26D553C6"/>
    <w:rsid w:val="26E054C2"/>
    <w:rsid w:val="26E06AFC"/>
    <w:rsid w:val="26E56957"/>
    <w:rsid w:val="27007912"/>
    <w:rsid w:val="270218DC"/>
    <w:rsid w:val="271A1D00"/>
    <w:rsid w:val="271A7CF9"/>
    <w:rsid w:val="27223668"/>
    <w:rsid w:val="2729330D"/>
    <w:rsid w:val="272D1514"/>
    <w:rsid w:val="27303348"/>
    <w:rsid w:val="274842D1"/>
    <w:rsid w:val="27547C5E"/>
    <w:rsid w:val="2765234A"/>
    <w:rsid w:val="276C3A97"/>
    <w:rsid w:val="27733FE6"/>
    <w:rsid w:val="277E4102"/>
    <w:rsid w:val="279544FE"/>
    <w:rsid w:val="279C55DC"/>
    <w:rsid w:val="27A110F5"/>
    <w:rsid w:val="27A73A28"/>
    <w:rsid w:val="27B74ECE"/>
    <w:rsid w:val="27B85EE1"/>
    <w:rsid w:val="27D43C48"/>
    <w:rsid w:val="27F11415"/>
    <w:rsid w:val="28097CC4"/>
    <w:rsid w:val="280C4AAD"/>
    <w:rsid w:val="284313A4"/>
    <w:rsid w:val="28645BCA"/>
    <w:rsid w:val="287D1E62"/>
    <w:rsid w:val="28825524"/>
    <w:rsid w:val="288F420D"/>
    <w:rsid w:val="28A40771"/>
    <w:rsid w:val="28AA1591"/>
    <w:rsid w:val="28BC186D"/>
    <w:rsid w:val="28C52BC1"/>
    <w:rsid w:val="28C63607"/>
    <w:rsid w:val="28CE739B"/>
    <w:rsid w:val="28CF7D58"/>
    <w:rsid w:val="28F90ABD"/>
    <w:rsid w:val="28FE2577"/>
    <w:rsid w:val="29115E06"/>
    <w:rsid w:val="291A08A2"/>
    <w:rsid w:val="291E22D1"/>
    <w:rsid w:val="293A043E"/>
    <w:rsid w:val="29622E26"/>
    <w:rsid w:val="29887A1F"/>
    <w:rsid w:val="299E3F09"/>
    <w:rsid w:val="29B73240"/>
    <w:rsid w:val="29DD59E0"/>
    <w:rsid w:val="29EA70E4"/>
    <w:rsid w:val="29EB48A9"/>
    <w:rsid w:val="29EC132F"/>
    <w:rsid w:val="29F55728"/>
    <w:rsid w:val="2A206572"/>
    <w:rsid w:val="2A247694"/>
    <w:rsid w:val="2A29021C"/>
    <w:rsid w:val="2A3A313B"/>
    <w:rsid w:val="2A3B184E"/>
    <w:rsid w:val="2A4915D0"/>
    <w:rsid w:val="2A4E76DE"/>
    <w:rsid w:val="2A50472C"/>
    <w:rsid w:val="2A5E59F7"/>
    <w:rsid w:val="2A612DBE"/>
    <w:rsid w:val="2A841D10"/>
    <w:rsid w:val="2A8645D2"/>
    <w:rsid w:val="2A9767DF"/>
    <w:rsid w:val="2A9F6A30"/>
    <w:rsid w:val="2AB8479E"/>
    <w:rsid w:val="2ABD2B5C"/>
    <w:rsid w:val="2AC05D36"/>
    <w:rsid w:val="2AD01CF1"/>
    <w:rsid w:val="2ADD4158"/>
    <w:rsid w:val="2ADE269C"/>
    <w:rsid w:val="2AE50A40"/>
    <w:rsid w:val="2AF3647D"/>
    <w:rsid w:val="2B2012E0"/>
    <w:rsid w:val="2B25203D"/>
    <w:rsid w:val="2B3758CC"/>
    <w:rsid w:val="2B481888"/>
    <w:rsid w:val="2B4A3852"/>
    <w:rsid w:val="2B4C1121"/>
    <w:rsid w:val="2B595843"/>
    <w:rsid w:val="2B6107A8"/>
    <w:rsid w:val="2B6640B7"/>
    <w:rsid w:val="2B6866B6"/>
    <w:rsid w:val="2B6E2AC4"/>
    <w:rsid w:val="2B764647"/>
    <w:rsid w:val="2B92733D"/>
    <w:rsid w:val="2B94134F"/>
    <w:rsid w:val="2BB313F7"/>
    <w:rsid w:val="2BC2788C"/>
    <w:rsid w:val="2BCD7C30"/>
    <w:rsid w:val="2BE55328"/>
    <w:rsid w:val="2BFA1074"/>
    <w:rsid w:val="2C0B5689"/>
    <w:rsid w:val="2C0E0D23"/>
    <w:rsid w:val="2C115F7B"/>
    <w:rsid w:val="2C304ADD"/>
    <w:rsid w:val="2C4047C0"/>
    <w:rsid w:val="2C440D98"/>
    <w:rsid w:val="2C482373"/>
    <w:rsid w:val="2C534988"/>
    <w:rsid w:val="2C6028DB"/>
    <w:rsid w:val="2C6907FE"/>
    <w:rsid w:val="2C6D3C9C"/>
    <w:rsid w:val="2C6E6302"/>
    <w:rsid w:val="2C994A91"/>
    <w:rsid w:val="2CAD4098"/>
    <w:rsid w:val="2CB43679"/>
    <w:rsid w:val="2CB90C8F"/>
    <w:rsid w:val="2CC338BC"/>
    <w:rsid w:val="2CC60333"/>
    <w:rsid w:val="2CD24708"/>
    <w:rsid w:val="2CD63695"/>
    <w:rsid w:val="2CDC497D"/>
    <w:rsid w:val="2CDC672B"/>
    <w:rsid w:val="2CF12235"/>
    <w:rsid w:val="2D263998"/>
    <w:rsid w:val="2D2F1522"/>
    <w:rsid w:val="2D633CA0"/>
    <w:rsid w:val="2D710576"/>
    <w:rsid w:val="2D74105A"/>
    <w:rsid w:val="2D742E08"/>
    <w:rsid w:val="2D886BC3"/>
    <w:rsid w:val="2D960FD0"/>
    <w:rsid w:val="2DB72CF5"/>
    <w:rsid w:val="2DC7118A"/>
    <w:rsid w:val="2DCA0108"/>
    <w:rsid w:val="2DDD09AD"/>
    <w:rsid w:val="2DF90E58"/>
    <w:rsid w:val="2DFC2F3E"/>
    <w:rsid w:val="2E0C721D"/>
    <w:rsid w:val="2E132621"/>
    <w:rsid w:val="2E15574D"/>
    <w:rsid w:val="2E2B0661"/>
    <w:rsid w:val="2E2B7D19"/>
    <w:rsid w:val="2E346CB0"/>
    <w:rsid w:val="2E3F6F72"/>
    <w:rsid w:val="2E61338C"/>
    <w:rsid w:val="2E7C6FAC"/>
    <w:rsid w:val="2E7D5CEC"/>
    <w:rsid w:val="2E876B6B"/>
    <w:rsid w:val="2E911F29"/>
    <w:rsid w:val="2E9B1CF5"/>
    <w:rsid w:val="2EA93DFB"/>
    <w:rsid w:val="2EB060C2"/>
    <w:rsid w:val="2EBA2A9C"/>
    <w:rsid w:val="2ECE479A"/>
    <w:rsid w:val="2EF02962"/>
    <w:rsid w:val="2F154177"/>
    <w:rsid w:val="2F171E02"/>
    <w:rsid w:val="2F3E191F"/>
    <w:rsid w:val="2F4D1B62"/>
    <w:rsid w:val="2F4D56BE"/>
    <w:rsid w:val="2F522CD5"/>
    <w:rsid w:val="2F633134"/>
    <w:rsid w:val="2F6B1FE9"/>
    <w:rsid w:val="2F6F5FE8"/>
    <w:rsid w:val="2F725125"/>
    <w:rsid w:val="2F9F686C"/>
    <w:rsid w:val="2FAF0127"/>
    <w:rsid w:val="2FB46683"/>
    <w:rsid w:val="2FB92D54"/>
    <w:rsid w:val="2FF16992"/>
    <w:rsid w:val="2FF7387C"/>
    <w:rsid w:val="30062A53"/>
    <w:rsid w:val="301F34FF"/>
    <w:rsid w:val="302204C8"/>
    <w:rsid w:val="30274161"/>
    <w:rsid w:val="303E71A3"/>
    <w:rsid w:val="304447E6"/>
    <w:rsid w:val="30550CCF"/>
    <w:rsid w:val="306301D5"/>
    <w:rsid w:val="306B04F2"/>
    <w:rsid w:val="3073473C"/>
    <w:rsid w:val="307A0735"/>
    <w:rsid w:val="307D5EA2"/>
    <w:rsid w:val="3083092C"/>
    <w:rsid w:val="308B662C"/>
    <w:rsid w:val="308B66D9"/>
    <w:rsid w:val="308E2433"/>
    <w:rsid w:val="30990960"/>
    <w:rsid w:val="30A21A3A"/>
    <w:rsid w:val="30A31D7F"/>
    <w:rsid w:val="30AF3B5A"/>
    <w:rsid w:val="30D342E9"/>
    <w:rsid w:val="30E365D5"/>
    <w:rsid w:val="310E70CF"/>
    <w:rsid w:val="31100E54"/>
    <w:rsid w:val="3115045E"/>
    <w:rsid w:val="31150A41"/>
    <w:rsid w:val="311C7A3E"/>
    <w:rsid w:val="31215055"/>
    <w:rsid w:val="312608BD"/>
    <w:rsid w:val="312A197D"/>
    <w:rsid w:val="312A2724"/>
    <w:rsid w:val="31305298"/>
    <w:rsid w:val="313174F1"/>
    <w:rsid w:val="313D26E4"/>
    <w:rsid w:val="31532D34"/>
    <w:rsid w:val="316423EB"/>
    <w:rsid w:val="316941C1"/>
    <w:rsid w:val="31745184"/>
    <w:rsid w:val="31813D45"/>
    <w:rsid w:val="3183597B"/>
    <w:rsid w:val="319770C5"/>
    <w:rsid w:val="319E4535"/>
    <w:rsid w:val="31A27243"/>
    <w:rsid w:val="31A35A6A"/>
    <w:rsid w:val="31B1547A"/>
    <w:rsid w:val="31D245A1"/>
    <w:rsid w:val="32084689"/>
    <w:rsid w:val="320F30FF"/>
    <w:rsid w:val="321B7CF6"/>
    <w:rsid w:val="321D1D5D"/>
    <w:rsid w:val="321D3A6E"/>
    <w:rsid w:val="322763CE"/>
    <w:rsid w:val="322F7BD9"/>
    <w:rsid w:val="323A4620"/>
    <w:rsid w:val="32502243"/>
    <w:rsid w:val="325154C6"/>
    <w:rsid w:val="32794A1C"/>
    <w:rsid w:val="327B7550"/>
    <w:rsid w:val="32A63A63"/>
    <w:rsid w:val="32AF7187"/>
    <w:rsid w:val="32BB5803"/>
    <w:rsid w:val="32CD1308"/>
    <w:rsid w:val="32D62B99"/>
    <w:rsid w:val="32FB4313"/>
    <w:rsid w:val="33185FE3"/>
    <w:rsid w:val="331A7FAD"/>
    <w:rsid w:val="338F70E1"/>
    <w:rsid w:val="339B6473"/>
    <w:rsid w:val="339B7340"/>
    <w:rsid w:val="33B060E0"/>
    <w:rsid w:val="33C5616B"/>
    <w:rsid w:val="33E41C09"/>
    <w:rsid w:val="33F702EF"/>
    <w:rsid w:val="33F94967"/>
    <w:rsid w:val="34045566"/>
    <w:rsid w:val="340A16F8"/>
    <w:rsid w:val="340B78F6"/>
    <w:rsid w:val="34164C19"/>
    <w:rsid w:val="34295EC6"/>
    <w:rsid w:val="342D5594"/>
    <w:rsid w:val="342F4382"/>
    <w:rsid w:val="343C4012"/>
    <w:rsid w:val="344E7702"/>
    <w:rsid w:val="34504967"/>
    <w:rsid w:val="345179FF"/>
    <w:rsid w:val="348508AD"/>
    <w:rsid w:val="348659A9"/>
    <w:rsid w:val="34897199"/>
    <w:rsid w:val="349618B6"/>
    <w:rsid w:val="349D092C"/>
    <w:rsid w:val="34B41D3C"/>
    <w:rsid w:val="34C91C8B"/>
    <w:rsid w:val="34D7609E"/>
    <w:rsid w:val="34DE40C3"/>
    <w:rsid w:val="351F0186"/>
    <w:rsid w:val="35366A4B"/>
    <w:rsid w:val="353D612C"/>
    <w:rsid w:val="356B722F"/>
    <w:rsid w:val="35841E81"/>
    <w:rsid w:val="35860C9C"/>
    <w:rsid w:val="35C16E06"/>
    <w:rsid w:val="35CA5862"/>
    <w:rsid w:val="35CA7398"/>
    <w:rsid w:val="35D408E8"/>
    <w:rsid w:val="35F21D57"/>
    <w:rsid w:val="36127662"/>
    <w:rsid w:val="361A2BC5"/>
    <w:rsid w:val="36286FF1"/>
    <w:rsid w:val="36363350"/>
    <w:rsid w:val="36513CE6"/>
    <w:rsid w:val="3652408E"/>
    <w:rsid w:val="366C535D"/>
    <w:rsid w:val="367A2CD8"/>
    <w:rsid w:val="369E4A52"/>
    <w:rsid w:val="36C206A9"/>
    <w:rsid w:val="36CA074A"/>
    <w:rsid w:val="36D36DF1"/>
    <w:rsid w:val="36DF6732"/>
    <w:rsid w:val="36E1469F"/>
    <w:rsid w:val="36F6263B"/>
    <w:rsid w:val="36F823B4"/>
    <w:rsid w:val="36FB418E"/>
    <w:rsid w:val="370A20E7"/>
    <w:rsid w:val="37132309"/>
    <w:rsid w:val="37141E1B"/>
    <w:rsid w:val="371602F8"/>
    <w:rsid w:val="372E14F8"/>
    <w:rsid w:val="372F1B4E"/>
    <w:rsid w:val="37420524"/>
    <w:rsid w:val="375F4AE5"/>
    <w:rsid w:val="376B13CE"/>
    <w:rsid w:val="37735EDE"/>
    <w:rsid w:val="377958EC"/>
    <w:rsid w:val="377F2AD5"/>
    <w:rsid w:val="378105FB"/>
    <w:rsid w:val="378C0D4E"/>
    <w:rsid w:val="37A278A0"/>
    <w:rsid w:val="37BF1123"/>
    <w:rsid w:val="37C16C4A"/>
    <w:rsid w:val="37C52BDE"/>
    <w:rsid w:val="37D96767"/>
    <w:rsid w:val="37DA7D0B"/>
    <w:rsid w:val="382734B8"/>
    <w:rsid w:val="38372745"/>
    <w:rsid w:val="38411121"/>
    <w:rsid w:val="384D2BD3"/>
    <w:rsid w:val="384E6C47"/>
    <w:rsid w:val="38591578"/>
    <w:rsid w:val="38593326"/>
    <w:rsid w:val="38674176"/>
    <w:rsid w:val="386E217D"/>
    <w:rsid w:val="387D1690"/>
    <w:rsid w:val="38893D8D"/>
    <w:rsid w:val="388C0703"/>
    <w:rsid w:val="389820A0"/>
    <w:rsid w:val="389D1465"/>
    <w:rsid w:val="38A35B6F"/>
    <w:rsid w:val="38AF73EA"/>
    <w:rsid w:val="38B22A36"/>
    <w:rsid w:val="38B42661"/>
    <w:rsid w:val="38BB5D8F"/>
    <w:rsid w:val="38BD07E4"/>
    <w:rsid w:val="38CE3F42"/>
    <w:rsid w:val="38DE1A7D"/>
    <w:rsid w:val="38EA6FCF"/>
    <w:rsid w:val="38ED3A6E"/>
    <w:rsid w:val="38FD7B55"/>
    <w:rsid w:val="38FE2273"/>
    <w:rsid w:val="38FE7A29"/>
    <w:rsid w:val="390038C8"/>
    <w:rsid w:val="390B6245"/>
    <w:rsid w:val="39264B2C"/>
    <w:rsid w:val="3944652F"/>
    <w:rsid w:val="395579B2"/>
    <w:rsid w:val="39864BD3"/>
    <w:rsid w:val="398A5E57"/>
    <w:rsid w:val="398B5761"/>
    <w:rsid w:val="399022A4"/>
    <w:rsid w:val="39934616"/>
    <w:rsid w:val="39A700C1"/>
    <w:rsid w:val="39A7655E"/>
    <w:rsid w:val="39E54249"/>
    <w:rsid w:val="39FC665F"/>
    <w:rsid w:val="39FD1201"/>
    <w:rsid w:val="3A1514CF"/>
    <w:rsid w:val="3A194A3C"/>
    <w:rsid w:val="3A287454"/>
    <w:rsid w:val="3A2B5E2A"/>
    <w:rsid w:val="3A2E433E"/>
    <w:rsid w:val="3A4F7EFD"/>
    <w:rsid w:val="3A5126DF"/>
    <w:rsid w:val="3A576333"/>
    <w:rsid w:val="3A63048C"/>
    <w:rsid w:val="3A700F4E"/>
    <w:rsid w:val="3A72247D"/>
    <w:rsid w:val="3A7428CC"/>
    <w:rsid w:val="3A86417A"/>
    <w:rsid w:val="3AAA5962"/>
    <w:rsid w:val="3AC11561"/>
    <w:rsid w:val="3ACC6031"/>
    <w:rsid w:val="3AE113B1"/>
    <w:rsid w:val="3AE55345"/>
    <w:rsid w:val="3AF92B9E"/>
    <w:rsid w:val="3B015A52"/>
    <w:rsid w:val="3B0C637C"/>
    <w:rsid w:val="3B27770B"/>
    <w:rsid w:val="3B2E57D9"/>
    <w:rsid w:val="3B4C6D41"/>
    <w:rsid w:val="3B502399"/>
    <w:rsid w:val="3B52630A"/>
    <w:rsid w:val="3B64626A"/>
    <w:rsid w:val="3B691AD2"/>
    <w:rsid w:val="3B7346FF"/>
    <w:rsid w:val="3B7B4BFE"/>
    <w:rsid w:val="3B815E78"/>
    <w:rsid w:val="3B9A6A6F"/>
    <w:rsid w:val="3BA42229"/>
    <w:rsid w:val="3BAE6CDE"/>
    <w:rsid w:val="3BB35C3F"/>
    <w:rsid w:val="3BC21F46"/>
    <w:rsid w:val="3BCB453B"/>
    <w:rsid w:val="3BEB698B"/>
    <w:rsid w:val="3BF84C04"/>
    <w:rsid w:val="3C0124C3"/>
    <w:rsid w:val="3C08753D"/>
    <w:rsid w:val="3C153A08"/>
    <w:rsid w:val="3C1A77FC"/>
    <w:rsid w:val="3C1D466B"/>
    <w:rsid w:val="3C261771"/>
    <w:rsid w:val="3C36439C"/>
    <w:rsid w:val="3C3F0A85"/>
    <w:rsid w:val="3C6504EB"/>
    <w:rsid w:val="3C882C35"/>
    <w:rsid w:val="3C9E57AB"/>
    <w:rsid w:val="3CC86CCC"/>
    <w:rsid w:val="3CDE266D"/>
    <w:rsid w:val="3CE31AC5"/>
    <w:rsid w:val="3CEB1943"/>
    <w:rsid w:val="3CFD6976"/>
    <w:rsid w:val="3D031629"/>
    <w:rsid w:val="3D1E4B3E"/>
    <w:rsid w:val="3D2F5D90"/>
    <w:rsid w:val="3D3B749E"/>
    <w:rsid w:val="3D3D4FC4"/>
    <w:rsid w:val="3D7031B1"/>
    <w:rsid w:val="3D803FCD"/>
    <w:rsid w:val="3D8449A1"/>
    <w:rsid w:val="3D8D05FF"/>
    <w:rsid w:val="3DB72FC9"/>
    <w:rsid w:val="3DC41242"/>
    <w:rsid w:val="3DD6757E"/>
    <w:rsid w:val="3DE73182"/>
    <w:rsid w:val="3DF41AF6"/>
    <w:rsid w:val="3DFD29A6"/>
    <w:rsid w:val="3E0A31FF"/>
    <w:rsid w:val="3E0B2B56"/>
    <w:rsid w:val="3E165D7B"/>
    <w:rsid w:val="3E1D4DF6"/>
    <w:rsid w:val="3E2E0DB1"/>
    <w:rsid w:val="3E33097B"/>
    <w:rsid w:val="3E4E6498"/>
    <w:rsid w:val="3E4F5F4D"/>
    <w:rsid w:val="3E5041C9"/>
    <w:rsid w:val="3E530817"/>
    <w:rsid w:val="3E580CBF"/>
    <w:rsid w:val="3E5E10E7"/>
    <w:rsid w:val="3E6532EA"/>
    <w:rsid w:val="3E6E552A"/>
    <w:rsid w:val="3E7C7D6E"/>
    <w:rsid w:val="3E806BEB"/>
    <w:rsid w:val="3EA3354D"/>
    <w:rsid w:val="3EC22DEC"/>
    <w:rsid w:val="3EC6723B"/>
    <w:rsid w:val="3F085E24"/>
    <w:rsid w:val="3F0D4E6A"/>
    <w:rsid w:val="3F141D55"/>
    <w:rsid w:val="3F177A97"/>
    <w:rsid w:val="3F1955BD"/>
    <w:rsid w:val="3F312907"/>
    <w:rsid w:val="3F343F05"/>
    <w:rsid w:val="3F7171EE"/>
    <w:rsid w:val="3F79477C"/>
    <w:rsid w:val="3FA24216"/>
    <w:rsid w:val="3FAA5D1E"/>
    <w:rsid w:val="3FB6105E"/>
    <w:rsid w:val="3FCF3ECE"/>
    <w:rsid w:val="3FD1056D"/>
    <w:rsid w:val="3FD634AE"/>
    <w:rsid w:val="3FDB6777"/>
    <w:rsid w:val="3FE417DA"/>
    <w:rsid w:val="3FED0DD8"/>
    <w:rsid w:val="3FFD5C32"/>
    <w:rsid w:val="400C5EB9"/>
    <w:rsid w:val="401A060A"/>
    <w:rsid w:val="401B0F1D"/>
    <w:rsid w:val="40463AB2"/>
    <w:rsid w:val="40582115"/>
    <w:rsid w:val="406311E6"/>
    <w:rsid w:val="40956AAD"/>
    <w:rsid w:val="40AD2461"/>
    <w:rsid w:val="40BA4FF0"/>
    <w:rsid w:val="40BC30F3"/>
    <w:rsid w:val="40CD48B1"/>
    <w:rsid w:val="40DC2D46"/>
    <w:rsid w:val="40DF31AF"/>
    <w:rsid w:val="40EF2A79"/>
    <w:rsid w:val="410A5B51"/>
    <w:rsid w:val="41157BCA"/>
    <w:rsid w:val="41210759"/>
    <w:rsid w:val="412B15D8"/>
    <w:rsid w:val="414C180B"/>
    <w:rsid w:val="414F66D2"/>
    <w:rsid w:val="415129D2"/>
    <w:rsid w:val="415B2EA9"/>
    <w:rsid w:val="418F7C72"/>
    <w:rsid w:val="419453CF"/>
    <w:rsid w:val="41A35612"/>
    <w:rsid w:val="41A5449A"/>
    <w:rsid w:val="41AF3FB7"/>
    <w:rsid w:val="41B82E6B"/>
    <w:rsid w:val="41C55588"/>
    <w:rsid w:val="41CF3875"/>
    <w:rsid w:val="41D72E6D"/>
    <w:rsid w:val="41EB5E6D"/>
    <w:rsid w:val="420274C6"/>
    <w:rsid w:val="42081412"/>
    <w:rsid w:val="42116A20"/>
    <w:rsid w:val="42240501"/>
    <w:rsid w:val="422A2386"/>
    <w:rsid w:val="422B7AE1"/>
    <w:rsid w:val="42345558"/>
    <w:rsid w:val="42380E68"/>
    <w:rsid w:val="423B0453"/>
    <w:rsid w:val="423B107F"/>
    <w:rsid w:val="423D7815"/>
    <w:rsid w:val="424264A7"/>
    <w:rsid w:val="426707A9"/>
    <w:rsid w:val="427A69AF"/>
    <w:rsid w:val="428471F1"/>
    <w:rsid w:val="428C3E4F"/>
    <w:rsid w:val="42AA08C4"/>
    <w:rsid w:val="42AF665F"/>
    <w:rsid w:val="42B851C3"/>
    <w:rsid w:val="42C35F6C"/>
    <w:rsid w:val="42E93267"/>
    <w:rsid w:val="42F0695E"/>
    <w:rsid w:val="42F400B4"/>
    <w:rsid w:val="42F56103"/>
    <w:rsid w:val="42F8373B"/>
    <w:rsid w:val="43036368"/>
    <w:rsid w:val="43120CA1"/>
    <w:rsid w:val="43256A94"/>
    <w:rsid w:val="432E715D"/>
    <w:rsid w:val="43361880"/>
    <w:rsid w:val="434A053E"/>
    <w:rsid w:val="43537B47"/>
    <w:rsid w:val="43574906"/>
    <w:rsid w:val="43670FED"/>
    <w:rsid w:val="436A63E7"/>
    <w:rsid w:val="436A6CAA"/>
    <w:rsid w:val="436A6DC0"/>
    <w:rsid w:val="437F3C2F"/>
    <w:rsid w:val="4385720D"/>
    <w:rsid w:val="43975748"/>
    <w:rsid w:val="439A4CDF"/>
    <w:rsid w:val="43B27984"/>
    <w:rsid w:val="43BB2C0A"/>
    <w:rsid w:val="43C55DEE"/>
    <w:rsid w:val="43C81360"/>
    <w:rsid w:val="43CC70A2"/>
    <w:rsid w:val="43DC0122"/>
    <w:rsid w:val="43E9625C"/>
    <w:rsid w:val="43F54BF4"/>
    <w:rsid w:val="44043EDF"/>
    <w:rsid w:val="442577CC"/>
    <w:rsid w:val="443F72CB"/>
    <w:rsid w:val="4441183E"/>
    <w:rsid w:val="444924A1"/>
    <w:rsid w:val="44527E85"/>
    <w:rsid w:val="446960A5"/>
    <w:rsid w:val="44715FFD"/>
    <w:rsid w:val="448742CD"/>
    <w:rsid w:val="44956DCF"/>
    <w:rsid w:val="449C4CC6"/>
    <w:rsid w:val="44B32407"/>
    <w:rsid w:val="44BD68E4"/>
    <w:rsid w:val="44DF2E05"/>
    <w:rsid w:val="450665E4"/>
    <w:rsid w:val="450A60D4"/>
    <w:rsid w:val="450F5CCC"/>
    <w:rsid w:val="451C1963"/>
    <w:rsid w:val="452460B6"/>
    <w:rsid w:val="45376531"/>
    <w:rsid w:val="453F5652"/>
    <w:rsid w:val="4541761C"/>
    <w:rsid w:val="454676EB"/>
    <w:rsid w:val="455728DE"/>
    <w:rsid w:val="4568104C"/>
    <w:rsid w:val="45877724"/>
    <w:rsid w:val="458A0FC3"/>
    <w:rsid w:val="459222B1"/>
    <w:rsid w:val="459567E7"/>
    <w:rsid w:val="45AD7235"/>
    <w:rsid w:val="45BB5620"/>
    <w:rsid w:val="45C85F51"/>
    <w:rsid w:val="45D93085"/>
    <w:rsid w:val="45FE550D"/>
    <w:rsid w:val="46017D10"/>
    <w:rsid w:val="46032B23"/>
    <w:rsid w:val="4618037D"/>
    <w:rsid w:val="462907DC"/>
    <w:rsid w:val="462A3848"/>
    <w:rsid w:val="46361D1C"/>
    <w:rsid w:val="46565349"/>
    <w:rsid w:val="465872C7"/>
    <w:rsid w:val="465E7674"/>
    <w:rsid w:val="466978B8"/>
    <w:rsid w:val="46841C3A"/>
    <w:rsid w:val="468679DC"/>
    <w:rsid w:val="469400B0"/>
    <w:rsid w:val="46B503A6"/>
    <w:rsid w:val="46BE5E5B"/>
    <w:rsid w:val="46BE663B"/>
    <w:rsid w:val="46D00C57"/>
    <w:rsid w:val="46D06EA9"/>
    <w:rsid w:val="46D67F48"/>
    <w:rsid w:val="46F801AE"/>
    <w:rsid w:val="4705742D"/>
    <w:rsid w:val="471C5BCD"/>
    <w:rsid w:val="471D19C3"/>
    <w:rsid w:val="4734568A"/>
    <w:rsid w:val="47370CD6"/>
    <w:rsid w:val="473D50BE"/>
    <w:rsid w:val="473F154C"/>
    <w:rsid w:val="474E580B"/>
    <w:rsid w:val="475C24EB"/>
    <w:rsid w:val="476067BD"/>
    <w:rsid w:val="476240E0"/>
    <w:rsid w:val="47685334"/>
    <w:rsid w:val="476F0470"/>
    <w:rsid w:val="476F0D8E"/>
    <w:rsid w:val="477D4101"/>
    <w:rsid w:val="47887784"/>
    <w:rsid w:val="479C6998"/>
    <w:rsid w:val="47A27084"/>
    <w:rsid w:val="47A44BEB"/>
    <w:rsid w:val="47A54DB1"/>
    <w:rsid w:val="47B2035D"/>
    <w:rsid w:val="47BE1317"/>
    <w:rsid w:val="47C34A14"/>
    <w:rsid w:val="47F24BFD"/>
    <w:rsid w:val="48097E39"/>
    <w:rsid w:val="480F57AF"/>
    <w:rsid w:val="4814136D"/>
    <w:rsid w:val="48194880"/>
    <w:rsid w:val="48435459"/>
    <w:rsid w:val="4847319B"/>
    <w:rsid w:val="48491DE6"/>
    <w:rsid w:val="484C6A03"/>
    <w:rsid w:val="48592ECE"/>
    <w:rsid w:val="4859477F"/>
    <w:rsid w:val="487C4D8A"/>
    <w:rsid w:val="48846AEF"/>
    <w:rsid w:val="488937B4"/>
    <w:rsid w:val="48894B24"/>
    <w:rsid w:val="488E6A39"/>
    <w:rsid w:val="48A13736"/>
    <w:rsid w:val="48A25794"/>
    <w:rsid w:val="48A64365"/>
    <w:rsid w:val="48A95C04"/>
    <w:rsid w:val="48C22822"/>
    <w:rsid w:val="48C60564"/>
    <w:rsid w:val="48CA2379"/>
    <w:rsid w:val="48F0738F"/>
    <w:rsid w:val="48FD5F50"/>
    <w:rsid w:val="49023D9B"/>
    <w:rsid w:val="490C1CEF"/>
    <w:rsid w:val="49167E13"/>
    <w:rsid w:val="491F1A22"/>
    <w:rsid w:val="492434DC"/>
    <w:rsid w:val="493D634C"/>
    <w:rsid w:val="49463453"/>
    <w:rsid w:val="494C29AE"/>
    <w:rsid w:val="4950607F"/>
    <w:rsid w:val="495243A9"/>
    <w:rsid w:val="498413E9"/>
    <w:rsid w:val="498521CD"/>
    <w:rsid w:val="49C10D2B"/>
    <w:rsid w:val="49CF5923"/>
    <w:rsid w:val="49ED14ED"/>
    <w:rsid w:val="4A1452FF"/>
    <w:rsid w:val="4A166124"/>
    <w:rsid w:val="4A1B668D"/>
    <w:rsid w:val="4A2117CA"/>
    <w:rsid w:val="4A253068"/>
    <w:rsid w:val="4A2A42E9"/>
    <w:rsid w:val="4A2B014A"/>
    <w:rsid w:val="4A337094"/>
    <w:rsid w:val="4A46477D"/>
    <w:rsid w:val="4A4D2C6F"/>
    <w:rsid w:val="4A5D0A54"/>
    <w:rsid w:val="4A5D4EF8"/>
    <w:rsid w:val="4A5E15C0"/>
    <w:rsid w:val="4A633B90"/>
    <w:rsid w:val="4A6F4C2B"/>
    <w:rsid w:val="4A9B1CED"/>
    <w:rsid w:val="4AA06B93"/>
    <w:rsid w:val="4AA246B9"/>
    <w:rsid w:val="4AB35AC8"/>
    <w:rsid w:val="4ADB5E1D"/>
    <w:rsid w:val="4AE6599B"/>
    <w:rsid w:val="4AF60EA8"/>
    <w:rsid w:val="4AFD5D93"/>
    <w:rsid w:val="4B022328"/>
    <w:rsid w:val="4B052E99"/>
    <w:rsid w:val="4B056663"/>
    <w:rsid w:val="4B2C0AEE"/>
    <w:rsid w:val="4B2F3845"/>
    <w:rsid w:val="4B524331"/>
    <w:rsid w:val="4B7726B3"/>
    <w:rsid w:val="4B7C0C17"/>
    <w:rsid w:val="4B7C315C"/>
    <w:rsid w:val="4B8B7843"/>
    <w:rsid w:val="4B8C7577"/>
    <w:rsid w:val="4B906C07"/>
    <w:rsid w:val="4B9F18AC"/>
    <w:rsid w:val="4BA670C6"/>
    <w:rsid w:val="4BDE7972"/>
    <w:rsid w:val="4BF32C0C"/>
    <w:rsid w:val="4BF4363A"/>
    <w:rsid w:val="4BF61160"/>
    <w:rsid w:val="4C082694"/>
    <w:rsid w:val="4C097FBD"/>
    <w:rsid w:val="4C101AF6"/>
    <w:rsid w:val="4C1710D6"/>
    <w:rsid w:val="4C1C1464"/>
    <w:rsid w:val="4C2832E3"/>
    <w:rsid w:val="4C284E83"/>
    <w:rsid w:val="4C3A2108"/>
    <w:rsid w:val="4C3B7578"/>
    <w:rsid w:val="4C3E6663"/>
    <w:rsid w:val="4C583BC9"/>
    <w:rsid w:val="4C633D3F"/>
    <w:rsid w:val="4C653BF0"/>
    <w:rsid w:val="4C742085"/>
    <w:rsid w:val="4C7E5F5E"/>
    <w:rsid w:val="4C9B201A"/>
    <w:rsid w:val="4CA509ED"/>
    <w:rsid w:val="4CAA1F4A"/>
    <w:rsid w:val="4CB16E35"/>
    <w:rsid w:val="4CBB7CB4"/>
    <w:rsid w:val="4CC052CA"/>
    <w:rsid w:val="4CD314A1"/>
    <w:rsid w:val="4CD81006"/>
    <w:rsid w:val="4CDA2A7E"/>
    <w:rsid w:val="4CF66F3E"/>
    <w:rsid w:val="4CF6702F"/>
    <w:rsid w:val="4CFD3C6B"/>
    <w:rsid w:val="4D1D271C"/>
    <w:rsid w:val="4D2A4ECB"/>
    <w:rsid w:val="4D311BBD"/>
    <w:rsid w:val="4D3F2693"/>
    <w:rsid w:val="4D4001B9"/>
    <w:rsid w:val="4D706CF0"/>
    <w:rsid w:val="4D722A68"/>
    <w:rsid w:val="4D74087A"/>
    <w:rsid w:val="4D746E8E"/>
    <w:rsid w:val="4D783DF7"/>
    <w:rsid w:val="4D8C33FE"/>
    <w:rsid w:val="4DC132BF"/>
    <w:rsid w:val="4DC56AE0"/>
    <w:rsid w:val="4DD110B1"/>
    <w:rsid w:val="4DE80F7C"/>
    <w:rsid w:val="4DEB281B"/>
    <w:rsid w:val="4E0B6A19"/>
    <w:rsid w:val="4E2157B8"/>
    <w:rsid w:val="4E224CE2"/>
    <w:rsid w:val="4E246B25"/>
    <w:rsid w:val="4E281379"/>
    <w:rsid w:val="4E320449"/>
    <w:rsid w:val="4E400A55"/>
    <w:rsid w:val="4E456915"/>
    <w:rsid w:val="4E4F371C"/>
    <w:rsid w:val="4E5F4533"/>
    <w:rsid w:val="4E6525CD"/>
    <w:rsid w:val="4E853694"/>
    <w:rsid w:val="4E854A1D"/>
    <w:rsid w:val="4E860D19"/>
    <w:rsid w:val="4EAC1094"/>
    <w:rsid w:val="4EC33834"/>
    <w:rsid w:val="4ECC660A"/>
    <w:rsid w:val="4ED46C6B"/>
    <w:rsid w:val="4EFF56E1"/>
    <w:rsid w:val="4F1A33B7"/>
    <w:rsid w:val="4F253B0A"/>
    <w:rsid w:val="4F2C1773"/>
    <w:rsid w:val="4F363F69"/>
    <w:rsid w:val="4F3D70A6"/>
    <w:rsid w:val="4F5B74ED"/>
    <w:rsid w:val="4F615AA1"/>
    <w:rsid w:val="4F6173D5"/>
    <w:rsid w:val="4F7725B8"/>
    <w:rsid w:val="4F792A76"/>
    <w:rsid w:val="4FA17635"/>
    <w:rsid w:val="4FC60E49"/>
    <w:rsid w:val="50037383"/>
    <w:rsid w:val="50114A60"/>
    <w:rsid w:val="50130B14"/>
    <w:rsid w:val="50352B33"/>
    <w:rsid w:val="5038161B"/>
    <w:rsid w:val="504E6A01"/>
    <w:rsid w:val="505B3C87"/>
    <w:rsid w:val="505F4DFA"/>
    <w:rsid w:val="506D5769"/>
    <w:rsid w:val="50704303"/>
    <w:rsid w:val="50820E1A"/>
    <w:rsid w:val="508F3931"/>
    <w:rsid w:val="50966A6E"/>
    <w:rsid w:val="509947B0"/>
    <w:rsid w:val="509C1BAA"/>
    <w:rsid w:val="50A218B6"/>
    <w:rsid w:val="50B61D2A"/>
    <w:rsid w:val="50C879BA"/>
    <w:rsid w:val="50D023EB"/>
    <w:rsid w:val="50D31B56"/>
    <w:rsid w:val="50D94BAC"/>
    <w:rsid w:val="50DB26D2"/>
    <w:rsid w:val="50F0558B"/>
    <w:rsid w:val="51002139"/>
    <w:rsid w:val="510330F7"/>
    <w:rsid w:val="510F4A72"/>
    <w:rsid w:val="5114461E"/>
    <w:rsid w:val="5119144D"/>
    <w:rsid w:val="511B51C5"/>
    <w:rsid w:val="51356054"/>
    <w:rsid w:val="51384413"/>
    <w:rsid w:val="514E7348"/>
    <w:rsid w:val="51586419"/>
    <w:rsid w:val="515F3303"/>
    <w:rsid w:val="518B5CE1"/>
    <w:rsid w:val="51907DD3"/>
    <w:rsid w:val="51915F7E"/>
    <w:rsid w:val="51920958"/>
    <w:rsid w:val="51945AC3"/>
    <w:rsid w:val="51A258E6"/>
    <w:rsid w:val="51A404F0"/>
    <w:rsid w:val="51D573CA"/>
    <w:rsid w:val="51DF4444"/>
    <w:rsid w:val="51ED2BF4"/>
    <w:rsid w:val="51FA7692"/>
    <w:rsid w:val="5217598C"/>
    <w:rsid w:val="521C3C79"/>
    <w:rsid w:val="522D3402"/>
    <w:rsid w:val="524D5852"/>
    <w:rsid w:val="524E5AB0"/>
    <w:rsid w:val="52540C1F"/>
    <w:rsid w:val="52576018"/>
    <w:rsid w:val="527B23BF"/>
    <w:rsid w:val="52927CE4"/>
    <w:rsid w:val="529E0FA1"/>
    <w:rsid w:val="529E1C09"/>
    <w:rsid w:val="529E60AD"/>
    <w:rsid w:val="52A20945"/>
    <w:rsid w:val="52BD7F3F"/>
    <w:rsid w:val="52BF0352"/>
    <w:rsid w:val="52DC2732"/>
    <w:rsid w:val="52DD44F5"/>
    <w:rsid w:val="52E14675"/>
    <w:rsid w:val="52F43F1F"/>
    <w:rsid w:val="52F6132D"/>
    <w:rsid w:val="52FA333D"/>
    <w:rsid w:val="530653B4"/>
    <w:rsid w:val="53085EE7"/>
    <w:rsid w:val="5311494E"/>
    <w:rsid w:val="533A1182"/>
    <w:rsid w:val="53630F4A"/>
    <w:rsid w:val="53633E5D"/>
    <w:rsid w:val="537F294A"/>
    <w:rsid w:val="53832F71"/>
    <w:rsid w:val="538E6122"/>
    <w:rsid w:val="53952E76"/>
    <w:rsid w:val="539A6875"/>
    <w:rsid w:val="53A2229D"/>
    <w:rsid w:val="53A616BE"/>
    <w:rsid w:val="53AC65A8"/>
    <w:rsid w:val="53B227DE"/>
    <w:rsid w:val="53C252BC"/>
    <w:rsid w:val="53C763D7"/>
    <w:rsid w:val="53CA4C80"/>
    <w:rsid w:val="53DA7A10"/>
    <w:rsid w:val="53F54B70"/>
    <w:rsid w:val="540006A2"/>
    <w:rsid w:val="540839FD"/>
    <w:rsid w:val="54196205"/>
    <w:rsid w:val="542D3DF3"/>
    <w:rsid w:val="542E520F"/>
    <w:rsid w:val="544D1B39"/>
    <w:rsid w:val="54603907"/>
    <w:rsid w:val="54776BB6"/>
    <w:rsid w:val="549408EE"/>
    <w:rsid w:val="54957D8F"/>
    <w:rsid w:val="54B13782"/>
    <w:rsid w:val="54B73456"/>
    <w:rsid w:val="54C367E5"/>
    <w:rsid w:val="54CC7B84"/>
    <w:rsid w:val="550A71CD"/>
    <w:rsid w:val="55175CA3"/>
    <w:rsid w:val="5521586B"/>
    <w:rsid w:val="55216B22"/>
    <w:rsid w:val="552A7F37"/>
    <w:rsid w:val="552E1A10"/>
    <w:rsid w:val="55472A2C"/>
    <w:rsid w:val="554E1B40"/>
    <w:rsid w:val="55576452"/>
    <w:rsid w:val="5560589C"/>
    <w:rsid w:val="556D1D67"/>
    <w:rsid w:val="557E3F74"/>
    <w:rsid w:val="55A51501"/>
    <w:rsid w:val="55A571C8"/>
    <w:rsid w:val="55B0074C"/>
    <w:rsid w:val="55C87B44"/>
    <w:rsid w:val="55DF2C65"/>
    <w:rsid w:val="55E252A6"/>
    <w:rsid w:val="55E4027B"/>
    <w:rsid w:val="56086BDD"/>
    <w:rsid w:val="560F4871"/>
    <w:rsid w:val="561546F9"/>
    <w:rsid w:val="561641AD"/>
    <w:rsid w:val="561843C9"/>
    <w:rsid w:val="562E14F6"/>
    <w:rsid w:val="562E7748"/>
    <w:rsid w:val="5640122A"/>
    <w:rsid w:val="5647095E"/>
    <w:rsid w:val="565A678F"/>
    <w:rsid w:val="56717635"/>
    <w:rsid w:val="56737851"/>
    <w:rsid w:val="567747E3"/>
    <w:rsid w:val="569255DA"/>
    <w:rsid w:val="56A3479D"/>
    <w:rsid w:val="56C105BC"/>
    <w:rsid w:val="56C1236A"/>
    <w:rsid w:val="56C37E91"/>
    <w:rsid w:val="56CD5FC2"/>
    <w:rsid w:val="56D46542"/>
    <w:rsid w:val="56D57BC4"/>
    <w:rsid w:val="570E6BAD"/>
    <w:rsid w:val="570F7BE9"/>
    <w:rsid w:val="57276D2E"/>
    <w:rsid w:val="572B316F"/>
    <w:rsid w:val="57316401"/>
    <w:rsid w:val="573E7E5F"/>
    <w:rsid w:val="5745229F"/>
    <w:rsid w:val="574C257C"/>
    <w:rsid w:val="57524D0C"/>
    <w:rsid w:val="57545446"/>
    <w:rsid w:val="57574A7D"/>
    <w:rsid w:val="57711FE2"/>
    <w:rsid w:val="57803BF0"/>
    <w:rsid w:val="578C0BCA"/>
    <w:rsid w:val="5794182D"/>
    <w:rsid w:val="579E26AC"/>
    <w:rsid w:val="57BB325E"/>
    <w:rsid w:val="57C230F2"/>
    <w:rsid w:val="57EC78BB"/>
    <w:rsid w:val="57F51B1B"/>
    <w:rsid w:val="58047668"/>
    <w:rsid w:val="58223AF1"/>
    <w:rsid w:val="582708F3"/>
    <w:rsid w:val="58286DCF"/>
    <w:rsid w:val="58337298"/>
    <w:rsid w:val="5838665C"/>
    <w:rsid w:val="583D1D79"/>
    <w:rsid w:val="5845667D"/>
    <w:rsid w:val="584920F7"/>
    <w:rsid w:val="58727DC0"/>
    <w:rsid w:val="587358E6"/>
    <w:rsid w:val="587C0C3F"/>
    <w:rsid w:val="58A129A8"/>
    <w:rsid w:val="58A84D1E"/>
    <w:rsid w:val="58AE4B70"/>
    <w:rsid w:val="58C83E84"/>
    <w:rsid w:val="58CF30A7"/>
    <w:rsid w:val="58E7371F"/>
    <w:rsid w:val="58FE1654"/>
    <w:rsid w:val="591250FF"/>
    <w:rsid w:val="59345B49"/>
    <w:rsid w:val="593603E8"/>
    <w:rsid w:val="5937715E"/>
    <w:rsid w:val="594A2AEB"/>
    <w:rsid w:val="595C637A"/>
    <w:rsid w:val="595E7374"/>
    <w:rsid w:val="59822933"/>
    <w:rsid w:val="598454B4"/>
    <w:rsid w:val="59875AED"/>
    <w:rsid w:val="598F6750"/>
    <w:rsid w:val="59900615"/>
    <w:rsid w:val="59A321FB"/>
    <w:rsid w:val="59AD25E8"/>
    <w:rsid w:val="59BE5287"/>
    <w:rsid w:val="59CD1026"/>
    <w:rsid w:val="59E06FAB"/>
    <w:rsid w:val="59E52814"/>
    <w:rsid w:val="59EA238B"/>
    <w:rsid w:val="5A044AC5"/>
    <w:rsid w:val="5A1F5D26"/>
    <w:rsid w:val="5A2A1247"/>
    <w:rsid w:val="5A44578C"/>
    <w:rsid w:val="5A5A5442"/>
    <w:rsid w:val="5A6279C1"/>
    <w:rsid w:val="5A68285E"/>
    <w:rsid w:val="5A9113C5"/>
    <w:rsid w:val="5A94302F"/>
    <w:rsid w:val="5A987492"/>
    <w:rsid w:val="5A9F0C15"/>
    <w:rsid w:val="5AA045CD"/>
    <w:rsid w:val="5AB01FBD"/>
    <w:rsid w:val="5AD713D5"/>
    <w:rsid w:val="5ADA7E9F"/>
    <w:rsid w:val="5ADB4549"/>
    <w:rsid w:val="5ADF1BC9"/>
    <w:rsid w:val="5AED0436"/>
    <w:rsid w:val="5AEE74A6"/>
    <w:rsid w:val="5AF36F67"/>
    <w:rsid w:val="5AF54CD9"/>
    <w:rsid w:val="5AF80325"/>
    <w:rsid w:val="5AFA22EF"/>
    <w:rsid w:val="5B10594C"/>
    <w:rsid w:val="5B1A473F"/>
    <w:rsid w:val="5B24111A"/>
    <w:rsid w:val="5B265CBE"/>
    <w:rsid w:val="5B2A2BD4"/>
    <w:rsid w:val="5B304053"/>
    <w:rsid w:val="5B4138C2"/>
    <w:rsid w:val="5B647768"/>
    <w:rsid w:val="5B9444F1"/>
    <w:rsid w:val="5B96718F"/>
    <w:rsid w:val="5B9E5921"/>
    <w:rsid w:val="5BB93F58"/>
    <w:rsid w:val="5BD82630"/>
    <w:rsid w:val="5BEB1911"/>
    <w:rsid w:val="5BF925A6"/>
    <w:rsid w:val="5C0009AC"/>
    <w:rsid w:val="5C0357F7"/>
    <w:rsid w:val="5C0A1B46"/>
    <w:rsid w:val="5C166CB5"/>
    <w:rsid w:val="5C216449"/>
    <w:rsid w:val="5C651510"/>
    <w:rsid w:val="5C6519EA"/>
    <w:rsid w:val="5C974299"/>
    <w:rsid w:val="5CB84210"/>
    <w:rsid w:val="5CCB3F43"/>
    <w:rsid w:val="5CD0242C"/>
    <w:rsid w:val="5CD66444"/>
    <w:rsid w:val="5CEF16CB"/>
    <w:rsid w:val="5CF74D38"/>
    <w:rsid w:val="5D16001D"/>
    <w:rsid w:val="5D176D58"/>
    <w:rsid w:val="5D2175A4"/>
    <w:rsid w:val="5D2D2508"/>
    <w:rsid w:val="5D6446DC"/>
    <w:rsid w:val="5D724B8E"/>
    <w:rsid w:val="5D8F31C2"/>
    <w:rsid w:val="5DB25ED5"/>
    <w:rsid w:val="5DB42F55"/>
    <w:rsid w:val="5DBC6970"/>
    <w:rsid w:val="5DBE5856"/>
    <w:rsid w:val="5DC17DAA"/>
    <w:rsid w:val="5DC843AF"/>
    <w:rsid w:val="5DD47E86"/>
    <w:rsid w:val="5DD650F7"/>
    <w:rsid w:val="5DFA3A6F"/>
    <w:rsid w:val="5DFB0858"/>
    <w:rsid w:val="5E0C65C1"/>
    <w:rsid w:val="5E115985"/>
    <w:rsid w:val="5E174F66"/>
    <w:rsid w:val="5E2F22B0"/>
    <w:rsid w:val="5E47584B"/>
    <w:rsid w:val="5E4915C3"/>
    <w:rsid w:val="5E5836FB"/>
    <w:rsid w:val="5E6D4B86"/>
    <w:rsid w:val="5E8E347A"/>
    <w:rsid w:val="5E9F1736"/>
    <w:rsid w:val="5EBE5974"/>
    <w:rsid w:val="5EE017FC"/>
    <w:rsid w:val="5EE412EC"/>
    <w:rsid w:val="5F3270C5"/>
    <w:rsid w:val="5F4973A1"/>
    <w:rsid w:val="5F7408C2"/>
    <w:rsid w:val="5F7D4102"/>
    <w:rsid w:val="5F830B05"/>
    <w:rsid w:val="5F884A61"/>
    <w:rsid w:val="5F8875BE"/>
    <w:rsid w:val="5F90251E"/>
    <w:rsid w:val="5F982321"/>
    <w:rsid w:val="5FA5323E"/>
    <w:rsid w:val="5FB32146"/>
    <w:rsid w:val="5FBC1BF0"/>
    <w:rsid w:val="5FBD2D98"/>
    <w:rsid w:val="5FE423A2"/>
    <w:rsid w:val="5FF05552"/>
    <w:rsid w:val="5FFA244F"/>
    <w:rsid w:val="5FFB363D"/>
    <w:rsid w:val="600049F1"/>
    <w:rsid w:val="600A2FD4"/>
    <w:rsid w:val="60122437"/>
    <w:rsid w:val="601860CE"/>
    <w:rsid w:val="601910C5"/>
    <w:rsid w:val="60397415"/>
    <w:rsid w:val="604858AA"/>
    <w:rsid w:val="606171FC"/>
    <w:rsid w:val="60673F83"/>
    <w:rsid w:val="608E7761"/>
    <w:rsid w:val="609266F1"/>
    <w:rsid w:val="609B5CF6"/>
    <w:rsid w:val="609F196E"/>
    <w:rsid w:val="60A96E90"/>
    <w:rsid w:val="60E2185B"/>
    <w:rsid w:val="60E973EA"/>
    <w:rsid w:val="60F4183F"/>
    <w:rsid w:val="60FB2EF8"/>
    <w:rsid w:val="610E7639"/>
    <w:rsid w:val="611253AC"/>
    <w:rsid w:val="61176A42"/>
    <w:rsid w:val="61197EA9"/>
    <w:rsid w:val="611B712C"/>
    <w:rsid w:val="611F2AAF"/>
    <w:rsid w:val="61265BEC"/>
    <w:rsid w:val="612D10B3"/>
    <w:rsid w:val="613320B7"/>
    <w:rsid w:val="61355E2F"/>
    <w:rsid w:val="61442791"/>
    <w:rsid w:val="61504A17"/>
    <w:rsid w:val="6164715E"/>
    <w:rsid w:val="619C5EAE"/>
    <w:rsid w:val="619F599E"/>
    <w:rsid w:val="61A11716"/>
    <w:rsid w:val="61BA4586"/>
    <w:rsid w:val="61DA69D6"/>
    <w:rsid w:val="61E77A70"/>
    <w:rsid w:val="61F47A98"/>
    <w:rsid w:val="61F856E1"/>
    <w:rsid w:val="61F950AE"/>
    <w:rsid w:val="620174BF"/>
    <w:rsid w:val="6211064A"/>
    <w:rsid w:val="623B01B0"/>
    <w:rsid w:val="623B7475"/>
    <w:rsid w:val="623F4390"/>
    <w:rsid w:val="624502F4"/>
    <w:rsid w:val="6247507F"/>
    <w:rsid w:val="6252656D"/>
    <w:rsid w:val="62536BFB"/>
    <w:rsid w:val="625833D2"/>
    <w:rsid w:val="626D1A66"/>
    <w:rsid w:val="628030DA"/>
    <w:rsid w:val="628841B8"/>
    <w:rsid w:val="628D3A84"/>
    <w:rsid w:val="629B6165"/>
    <w:rsid w:val="62AC15AD"/>
    <w:rsid w:val="62C3390B"/>
    <w:rsid w:val="62D63E97"/>
    <w:rsid w:val="62F602B7"/>
    <w:rsid w:val="630A6E47"/>
    <w:rsid w:val="630C7063"/>
    <w:rsid w:val="631321A0"/>
    <w:rsid w:val="631677AE"/>
    <w:rsid w:val="63181564"/>
    <w:rsid w:val="6323058D"/>
    <w:rsid w:val="63442359"/>
    <w:rsid w:val="635F7193"/>
    <w:rsid w:val="636615C2"/>
    <w:rsid w:val="63716EC6"/>
    <w:rsid w:val="637A23E2"/>
    <w:rsid w:val="63CC234F"/>
    <w:rsid w:val="63D00937"/>
    <w:rsid w:val="63E7592F"/>
    <w:rsid w:val="63ED7329"/>
    <w:rsid w:val="63F7561D"/>
    <w:rsid w:val="63FD075A"/>
    <w:rsid w:val="640F0BB9"/>
    <w:rsid w:val="64155AA4"/>
    <w:rsid w:val="64264155"/>
    <w:rsid w:val="643E77E3"/>
    <w:rsid w:val="646507D9"/>
    <w:rsid w:val="646A0640"/>
    <w:rsid w:val="647E1891"/>
    <w:rsid w:val="647F354D"/>
    <w:rsid w:val="649F3D07"/>
    <w:rsid w:val="64A44953"/>
    <w:rsid w:val="64A64D5A"/>
    <w:rsid w:val="64AC6408"/>
    <w:rsid w:val="64B14D8B"/>
    <w:rsid w:val="64B9786E"/>
    <w:rsid w:val="64D47DC3"/>
    <w:rsid w:val="64D63485"/>
    <w:rsid w:val="64DE67DD"/>
    <w:rsid w:val="64E21E2A"/>
    <w:rsid w:val="64E536C8"/>
    <w:rsid w:val="650C5BF0"/>
    <w:rsid w:val="650F19D0"/>
    <w:rsid w:val="651A5A67"/>
    <w:rsid w:val="6522491C"/>
    <w:rsid w:val="65333513"/>
    <w:rsid w:val="653B778C"/>
    <w:rsid w:val="654A5C21"/>
    <w:rsid w:val="655621BC"/>
    <w:rsid w:val="65582360"/>
    <w:rsid w:val="656960A7"/>
    <w:rsid w:val="656B2BFC"/>
    <w:rsid w:val="6572089F"/>
    <w:rsid w:val="657333CA"/>
    <w:rsid w:val="657C1835"/>
    <w:rsid w:val="657F1D6E"/>
    <w:rsid w:val="658D3F7E"/>
    <w:rsid w:val="65986472"/>
    <w:rsid w:val="659C3AAC"/>
    <w:rsid w:val="659D4E73"/>
    <w:rsid w:val="65AE1741"/>
    <w:rsid w:val="65B23EF2"/>
    <w:rsid w:val="65C92256"/>
    <w:rsid w:val="65D8147F"/>
    <w:rsid w:val="65DA0D53"/>
    <w:rsid w:val="65ED6CD8"/>
    <w:rsid w:val="66067495"/>
    <w:rsid w:val="661029C7"/>
    <w:rsid w:val="66304E17"/>
    <w:rsid w:val="663A033F"/>
    <w:rsid w:val="663B13AC"/>
    <w:rsid w:val="663E5786"/>
    <w:rsid w:val="663F14FE"/>
    <w:rsid w:val="664803B2"/>
    <w:rsid w:val="664F1741"/>
    <w:rsid w:val="666F3B91"/>
    <w:rsid w:val="66707909"/>
    <w:rsid w:val="668313EA"/>
    <w:rsid w:val="668F61EA"/>
    <w:rsid w:val="66923659"/>
    <w:rsid w:val="66952ECC"/>
    <w:rsid w:val="669C425A"/>
    <w:rsid w:val="66A7157D"/>
    <w:rsid w:val="66A743CB"/>
    <w:rsid w:val="66A80676"/>
    <w:rsid w:val="66AA2E1B"/>
    <w:rsid w:val="66AD6DFD"/>
    <w:rsid w:val="66B772E6"/>
    <w:rsid w:val="66C51A03"/>
    <w:rsid w:val="66CC1C5B"/>
    <w:rsid w:val="66D02362"/>
    <w:rsid w:val="66EC6F90"/>
    <w:rsid w:val="67010561"/>
    <w:rsid w:val="67083EFF"/>
    <w:rsid w:val="670E33AA"/>
    <w:rsid w:val="671958AB"/>
    <w:rsid w:val="67202D1E"/>
    <w:rsid w:val="67313013"/>
    <w:rsid w:val="6731787F"/>
    <w:rsid w:val="67380427"/>
    <w:rsid w:val="67472418"/>
    <w:rsid w:val="674A1F08"/>
    <w:rsid w:val="67515045"/>
    <w:rsid w:val="676034DA"/>
    <w:rsid w:val="6767756C"/>
    <w:rsid w:val="677573B4"/>
    <w:rsid w:val="67891049"/>
    <w:rsid w:val="67900263"/>
    <w:rsid w:val="67A1421E"/>
    <w:rsid w:val="67A26B47"/>
    <w:rsid w:val="67B6134C"/>
    <w:rsid w:val="67D16185"/>
    <w:rsid w:val="67D32E61"/>
    <w:rsid w:val="67DA7730"/>
    <w:rsid w:val="67EE6D37"/>
    <w:rsid w:val="67FA3B61"/>
    <w:rsid w:val="67FD0838"/>
    <w:rsid w:val="680B5540"/>
    <w:rsid w:val="68324E76"/>
    <w:rsid w:val="683A5BC6"/>
    <w:rsid w:val="683C62D2"/>
    <w:rsid w:val="683E7CB7"/>
    <w:rsid w:val="68492F39"/>
    <w:rsid w:val="685179D9"/>
    <w:rsid w:val="68556DB7"/>
    <w:rsid w:val="68570D81"/>
    <w:rsid w:val="68582403"/>
    <w:rsid w:val="686D552A"/>
    <w:rsid w:val="68717569"/>
    <w:rsid w:val="687C6B56"/>
    <w:rsid w:val="687E00BB"/>
    <w:rsid w:val="687E630D"/>
    <w:rsid w:val="688473B3"/>
    <w:rsid w:val="68A37B22"/>
    <w:rsid w:val="68AD09A1"/>
    <w:rsid w:val="68AF045F"/>
    <w:rsid w:val="68B11DFF"/>
    <w:rsid w:val="68B12FED"/>
    <w:rsid w:val="68B24209"/>
    <w:rsid w:val="68B8295B"/>
    <w:rsid w:val="68CB427A"/>
    <w:rsid w:val="68E02B24"/>
    <w:rsid w:val="68FB170C"/>
    <w:rsid w:val="69112CDD"/>
    <w:rsid w:val="691652F6"/>
    <w:rsid w:val="691A637A"/>
    <w:rsid w:val="692C3FBB"/>
    <w:rsid w:val="69401815"/>
    <w:rsid w:val="69482CF9"/>
    <w:rsid w:val="69496146"/>
    <w:rsid w:val="69676DA1"/>
    <w:rsid w:val="696C35A9"/>
    <w:rsid w:val="69807E63"/>
    <w:rsid w:val="698425E0"/>
    <w:rsid w:val="6987701B"/>
    <w:rsid w:val="699121C4"/>
    <w:rsid w:val="69AE43F0"/>
    <w:rsid w:val="69B53FB1"/>
    <w:rsid w:val="69BE518B"/>
    <w:rsid w:val="69DB153D"/>
    <w:rsid w:val="69DC35AE"/>
    <w:rsid w:val="69E72097"/>
    <w:rsid w:val="69E93C5A"/>
    <w:rsid w:val="69F65D30"/>
    <w:rsid w:val="69FB573C"/>
    <w:rsid w:val="6A17753D"/>
    <w:rsid w:val="6A1A2066"/>
    <w:rsid w:val="6A301A95"/>
    <w:rsid w:val="6A383046"/>
    <w:rsid w:val="6A4E61B3"/>
    <w:rsid w:val="6A562337"/>
    <w:rsid w:val="6A683CD5"/>
    <w:rsid w:val="6A731776"/>
    <w:rsid w:val="6A9B5AAD"/>
    <w:rsid w:val="6ABC4ECB"/>
    <w:rsid w:val="6AC975E8"/>
    <w:rsid w:val="6AD1632C"/>
    <w:rsid w:val="6AD246EE"/>
    <w:rsid w:val="6AD54E94"/>
    <w:rsid w:val="6AD83AD4"/>
    <w:rsid w:val="6ADA25B4"/>
    <w:rsid w:val="6ADE0ABB"/>
    <w:rsid w:val="6AE34B4E"/>
    <w:rsid w:val="6AE6019A"/>
    <w:rsid w:val="6B047B1F"/>
    <w:rsid w:val="6B421874"/>
    <w:rsid w:val="6B8C6F93"/>
    <w:rsid w:val="6B924815"/>
    <w:rsid w:val="6BA20565"/>
    <w:rsid w:val="6BB14145"/>
    <w:rsid w:val="6BBE0D9A"/>
    <w:rsid w:val="6BC54253"/>
    <w:rsid w:val="6BD67709"/>
    <w:rsid w:val="6BD745F3"/>
    <w:rsid w:val="6BF80185"/>
    <w:rsid w:val="6C017A49"/>
    <w:rsid w:val="6C133015"/>
    <w:rsid w:val="6C335661"/>
    <w:rsid w:val="6C60273B"/>
    <w:rsid w:val="6C67797B"/>
    <w:rsid w:val="6C711CE5"/>
    <w:rsid w:val="6C733CAF"/>
    <w:rsid w:val="6C785167"/>
    <w:rsid w:val="6C9500C9"/>
    <w:rsid w:val="6C951E77"/>
    <w:rsid w:val="6CC10EBE"/>
    <w:rsid w:val="6CC4450B"/>
    <w:rsid w:val="6CCB5899"/>
    <w:rsid w:val="6CF05300"/>
    <w:rsid w:val="6D01750D"/>
    <w:rsid w:val="6D03317B"/>
    <w:rsid w:val="6D0B1BA5"/>
    <w:rsid w:val="6D0E0DE2"/>
    <w:rsid w:val="6D19440C"/>
    <w:rsid w:val="6D1C7EA3"/>
    <w:rsid w:val="6D1F1741"/>
    <w:rsid w:val="6D3E42BD"/>
    <w:rsid w:val="6D526662"/>
    <w:rsid w:val="6D55593E"/>
    <w:rsid w:val="6D594C53"/>
    <w:rsid w:val="6D627F42"/>
    <w:rsid w:val="6D7A3242"/>
    <w:rsid w:val="6D7F71AD"/>
    <w:rsid w:val="6D875C64"/>
    <w:rsid w:val="6D8B6DD7"/>
    <w:rsid w:val="6DA775A3"/>
    <w:rsid w:val="6DC865BE"/>
    <w:rsid w:val="6DDC0947"/>
    <w:rsid w:val="6DDE33AA"/>
    <w:rsid w:val="6DDF784E"/>
    <w:rsid w:val="6DE51FC5"/>
    <w:rsid w:val="6DF37591"/>
    <w:rsid w:val="6DFA652C"/>
    <w:rsid w:val="6E056B89"/>
    <w:rsid w:val="6E160D96"/>
    <w:rsid w:val="6E2039C3"/>
    <w:rsid w:val="6E2B72FA"/>
    <w:rsid w:val="6E4C308E"/>
    <w:rsid w:val="6E5D5893"/>
    <w:rsid w:val="6E634BB8"/>
    <w:rsid w:val="6E6F4BC0"/>
    <w:rsid w:val="6E7D7067"/>
    <w:rsid w:val="6E8958FE"/>
    <w:rsid w:val="6E910B04"/>
    <w:rsid w:val="6EAE7221"/>
    <w:rsid w:val="6EB01EB0"/>
    <w:rsid w:val="6EB178F7"/>
    <w:rsid w:val="6EC02FD8"/>
    <w:rsid w:val="6ED343A4"/>
    <w:rsid w:val="6EDF387E"/>
    <w:rsid w:val="6EF56BFD"/>
    <w:rsid w:val="6EF957F8"/>
    <w:rsid w:val="6EFB25F6"/>
    <w:rsid w:val="6EFB71CA"/>
    <w:rsid w:val="6EFC4430"/>
    <w:rsid w:val="6F07576D"/>
    <w:rsid w:val="6F162CBE"/>
    <w:rsid w:val="6F174DC6"/>
    <w:rsid w:val="6F186309"/>
    <w:rsid w:val="6F234D4A"/>
    <w:rsid w:val="6F250331"/>
    <w:rsid w:val="6F26325B"/>
    <w:rsid w:val="6F347726"/>
    <w:rsid w:val="6F381A63"/>
    <w:rsid w:val="6F3E6657"/>
    <w:rsid w:val="6F425934"/>
    <w:rsid w:val="6F4436E1"/>
    <w:rsid w:val="6F491CD8"/>
    <w:rsid w:val="6F4B2CC1"/>
    <w:rsid w:val="6F6D70DC"/>
    <w:rsid w:val="6F7F55C4"/>
    <w:rsid w:val="6FA81EC2"/>
    <w:rsid w:val="6FAA79E8"/>
    <w:rsid w:val="6FAC19B2"/>
    <w:rsid w:val="6FAF4FFE"/>
    <w:rsid w:val="6FC211D5"/>
    <w:rsid w:val="6FD809F9"/>
    <w:rsid w:val="6FE61D4B"/>
    <w:rsid w:val="6FF17B65"/>
    <w:rsid w:val="6FF671DA"/>
    <w:rsid w:val="70076BE8"/>
    <w:rsid w:val="701644B6"/>
    <w:rsid w:val="70180765"/>
    <w:rsid w:val="70182BA3"/>
    <w:rsid w:val="702E0B67"/>
    <w:rsid w:val="702F4391"/>
    <w:rsid w:val="703F1C24"/>
    <w:rsid w:val="70454113"/>
    <w:rsid w:val="705362D1"/>
    <w:rsid w:val="707B00CD"/>
    <w:rsid w:val="708A070B"/>
    <w:rsid w:val="70A64653"/>
    <w:rsid w:val="70BF5FE0"/>
    <w:rsid w:val="70DC0075"/>
    <w:rsid w:val="712502DE"/>
    <w:rsid w:val="71306A35"/>
    <w:rsid w:val="714929C1"/>
    <w:rsid w:val="714B2083"/>
    <w:rsid w:val="71551F30"/>
    <w:rsid w:val="71575F78"/>
    <w:rsid w:val="71597917"/>
    <w:rsid w:val="715E0A8A"/>
    <w:rsid w:val="716342F2"/>
    <w:rsid w:val="717973E1"/>
    <w:rsid w:val="718B2F32"/>
    <w:rsid w:val="71973F9C"/>
    <w:rsid w:val="71AC5FAB"/>
    <w:rsid w:val="71B67F85"/>
    <w:rsid w:val="71BE49AC"/>
    <w:rsid w:val="71CC00E9"/>
    <w:rsid w:val="71D90A58"/>
    <w:rsid w:val="71F92123"/>
    <w:rsid w:val="71FD03D0"/>
    <w:rsid w:val="72005FE5"/>
    <w:rsid w:val="72050764"/>
    <w:rsid w:val="72251A08"/>
    <w:rsid w:val="7228649C"/>
    <w:rsid w:val="722C4B01"/>
    <w:rsid w:val="724C4D86"/>
    <w:rsid w:val="724F5AAF"/>
    <w:rsid w:val="726A345E"/>
    <w:rsid w:val="727D13E4"/>
    <w:rsid w:val="72A17885"/>
    <w:rsid w:val="72AC1CC9"/>
    <w:rsid w:val="72BE7802"/>
    <w:rsid w:val="72BF7C4E"/>
    <w:rsid w:val="72C214EC"/>
    <w:rsid w:val="72C64894"/>
    <w:rsid w:val="72CA214F"/>
    <w:rsid w:val="72CB0C8E"/>
    <w:rsid w:val="72CC6117"/>
    <w:rsid w:val="72D17AF3"/>
    <w:rsid w:val="72DC5CCC"/>
    <w:rsid w:val="72E04F19"/>
    <w:rsid w:val="72E72D01"/>
    <w:rsid w:val="72ED1180"/>
    <w:rsid w:val="72FD42D3"/>
    <w:rsid w:val="73090B43"/>
    <w:rsid w:val="73131732"/>
    <w:rsid w:val="731D6723"/>
    <w:rsid w:val="73335F46"/>
    <w:rsid w:val="735570FA"/>
    <w:rsid w:val="735A5B0E"/>
    <w:rsid w:val="736D3206"/>
    <w:rsid w:val="7380086D"/>
    <w:rsid w:val="7398241D"/>
    <w:rsid w:val="7399224D"/>
    <w:rsid w:val="73A330CC"/>
    <w:rsid w:val="73AE4B95"/>
    <w:rsid w:val="73B52DFF"/>
    <w:rsid w:val="73BA21C4"/>
    <w:rsid w:val="73BC5F3C"/>
    <w:rsid w:val="73C3551C"/>
    <w:rsid w:val="73D2750D"/>
    <w:rsid w:val="73DE225A"/>
    <w:rsid w:val="73E7057E"/>
    <w:rsid w:val="73F41B79"/>
    <w:rsid w:val="73F53236"/>
    <w:rsid w:val="740022CC"/>
    <w:rsid w:val="740438D8"/>
    <w:rsid w:val="74061605"/>
    <w:rsid w:val="74100024"/>
    <w:rsid w:val="74455F31"/>
    <w:rsid w:val="74756A4D"/>
    <w:rsid w:val="74970CF4"/>
    <w:rsid w:val="749B0247"/>
    <w:rsid w:val="74CF4E70"/>
    <w:rsid w:val="74D06143"/>
    <w:rsid w:val="74D76839"/>
    <w:rsid w:val="74E30B82"/>
    <w:rsid w:val="74E75EF0"/>
    <w:rsid w:val="74ED0D85"/>
    <w:rsid w:val="74FF4B63"/>
    <w:rsid w:val="7512280B"/>
    <w:rsid w:val="75206919"/>
    <w:rsid w:val="7536604E"/>
    <w:rsid w:val="756267B2"/>
    <w:rsid w:val="75705230"/>
    <w:rsid w:val="75BE0DC2"/>
    <w:rsid w:val="75C1238B"/>
    <w:rsid w:val="75EF43A6"/>
    <w:rsid w:val="75F7730B"/>
    <w:rsid w:val="75FC6AC3"/>
    <w:rsid w:val="760A7432"/>
    <w:rsid w:val="760F67F7"/>
    <w:rsid w:val="76160622"/>
    <w:rsid w:val="761B5537"/>
    <w:rsid w:val="761E748A"/>
    <w:rsid w:val="762229CE"/>
    <w:rsid w:val="76223567"/>
    <w:rsid w:val="76252FD5"/>
    <w:rsid w:val="76404C02"/>
    <w:rsid w:val="76424E1E"/>
    <w:rsid w:val="76432944"/>
    <w:rsid w:val="764B35A7"/>
    <w:rsid w:val="76525BE7"/>
    <w:rsid w:val="765F4257"/>
    <w:rsid w:val="766318AD"/>
    <w:rsid w:val="76724D7A"/>
    <w:rsid w:val="76852F5D"/>
    <w:rsid w:val="769648A3"/>
    <w:rsid w:val="76A20169"/>
    <w:rsid w:val="76C269AB"/>
    <w:rsid w:val="76D17F50"/>
    <w:rsid w:val="76D4359C"/>
    <w:rsid w:val="76D57503"/>
    <w:rsid w:val="76D812DE"/>
    <w:rsid w:val="76EA2457"/>
    <w:rsid w:val="76F0211D"/>
    <w:rsid w:val="771340C5"/>
    <w:rsid w:val="77176BA7"/>
    <w:rsid w:val="7718792D"/>
    <w:rsid w:val="771A42A0"/>
    <w:rsid w:val="772260B1"/>
    <w:rsid w:val="7735255B"/>
    <w:rsid w:val="773721C1"/>
    <w:rsid w:val="774063F9"/>
    <w:rsid w:val="77476464"/>
    <w:rsid w:val="77597468"/>
    <w:rsid w:val="775C313C"/>
    <w:rsid w:val="776D2980"/>
    <w:rsid w:val="777D4D3A"/>
    <w:rsid w:val="778154D2"/>
    <w:rsid w:val="778D7D0B"/>
    <w:rsid w:val="77A411C1"/>
    <w:rsid w:val="77A47413"/>
    <w:rsid w:val="77A92E06"/>
    <w:rsid w:val="77B04009"/>
    <w:rsid w:val="77C14D1D"/>
    <w:rsid w:val="77C6382D"/>
    <w:rsid w:val="77CB499F"/>
    <w:rsid w:val="77DC6BAC"/>
    <w:rsid w:val="77EF4B32"/>
    <w:rsid w:val="78010FE2"/>
    <w:rsid w:val="78114285"/>
    <w:rsid w:val="78313890"/>
    <w:rsid w:val="7835260B"/>
    <w:rsid w:val="783A4D18"/>
    <w:rsid w:val="783C589D"/>
    <w:rsid w:val="784604CA"/>
    <w:rsid w:val="784F2557"/>
    <w:rsid w:val="784F737E"/>
    <w:rsid w:val="787050BC"/>
    <w:rsid w:val="78793B0D"/>
    <w:rsid w:val="788708AB"/>
    <w:rsid w:val="789631FF"/>
    <w:rsid w:val="78984CE8"/>
    <w:rsid w:val="78EA354B"/>
    <w:rsid w:val="78EF0B61"/>
    <w:rsid w:val="79050385"/>
    <w:rsid w:val="79134850"/>
    <w:rsid w:val="792151BF"/>
    <w:rsid w:val="792866E3"/>
    <w:rsid w:val="793547C6"/>
    <w:rsid w:val="79425135"/>
    <w:rsid w:val="794A5D98"/>
    <w:rsid w:val="79694470"/>
    <w:rsid w:val="797352EE"/>
    <w:rsid w:val="797D6FC7"/>
    <w:rsid w:val="797E2B9D"/>
    <w:rsid w:val="7981052A"/>
    <w:rsid w:val="79A523CA"/>
    <w:rsid w:val="79A92498"/>
    <w:rsid w:val="79AB7841"/>
    <w:rsid w:val="79AD6A52"/>
    <w:rsid w:val="79C40A75"/>
    <w:rsid w:val="79C43D9C"/>
    <w:rsid w:val="79E5505B"/>
    <w:rsid w:val="79EE2BC7"/>
    <w:rsid w:val="7A0423EA"/>
    <w:rsid w:val="7A083C89"/>
    <w:rsid w:val="7A1277DD"/>
    <w:rsid w:val="7A28257D"/>
    <w:rsid w:val="7A291E51"/>
    <w:rsid w:val="7A4B2370"/>
    <w:rsid w:val="7A4D1FE3"/>
    <w:rsid w:val="7A5731A8"/>
    <w:rsid w:val="7A690F97"/>
    <w:rsid w:val="7A700577"/>
    <w:rsid w:val="7A732163"/>
    <w:rsid w:val="7A844179"/>
    <w:rsid w:val="7AA86067"/>
    <w:rsid w:val="7ABB1655"/>
    <w:rsid w:val="7AC1749D"/>
    <w:rsid w:val="7AE71AF0"/>
    <w:rsid w:val="7AEC35AA"/>
    <w:rsid w:val="7AF661D7"/>
    <w:rsid w:val="7AFF15FB"/>
    <w:rsid w:val="7B05339A"/>
    <w:rsid w:val="7B261F1B"/>
    <w:rsid w:val="7B343EFA"/>
    <w:rsid w:val="7B436059"/>
    <w:rsid w:val="7B580C40"/>
    <w:rsid w:val="7B656EB9"/>
    <w:rsid w:val="7B786C1E"/>
    <w:rsid w:val="7B927F9A"/>
    <w:rsid w:val="7B9553D2"/>
    <w:rsid w:val="7BB75966"/>
    <w:rsid w:val="7BCB6A8D"/>
    <w:rsid w:val="7BD1454E"/>
    <w:rsid w:val="7BEE10C0"/>
    <w:rsid w:val="7C077F70"/>
    <w:rsid w:val="7C1A7CA3"/>
    <w:rsid w:val="7C2428D0"/>
    <w:rsid w:val="7C286864"/>
    <w:rsid w:val="7C3D08BA"/>
    <w:rsid w:val="7C445A23"/>
    <w:rsid w:val="7C47326A"/>
    <w:rsid w:val="7C4D1E27"/>
    <w:rsid w:val="7C613B24"/>
    <w:rsid w:val="7C690A14"/>
    <w:rsid w:val="7C6F305E"/>
    <w:rsid w:val="7C7F3FAA"/>
    <w:rsid w:val="7C914409"/>
    <w:rsid w:val="7C944BCF"/>
    <w:rsid w:val="7C9F7B6B"/>
    <w:rsid w:val="7CB12938"/>
    <w:rsid w:val="7CB93DD5"/>
    <w:rsid w:val="7CC033E0"/>
    <w:rsid w:val="7CC82B3C"/>
    <w:rsid w:val="7CE243B7"/>
    <w:rsid w:val="7CF130FA"/>
    <w:rsid w:val="7CF84488"/>
    <w:rsid w:val="7CFE75C5"/>
    <w:rsid w:val="7D081DD0"/>
    <w:rsid w:val="7D084D64"/>
    <w:rsid w:val="7D141FA8"/>
    <w:rsid w:val="7D1720F2"/>
    <w:rsid w:val="7D173CEB"/>
    <w:rsid w:val="7D256900"/>
    <w:rsid w:val="7D292894"/>
    <w:rsid w:val="7D2F59D0"/>
    <w:rsid w:val="7D3A25C1"/>
    <w:rsid w:val="7D4551F4"/>
    <w:rsid w:val="7D7341E9"/>
    <w:rsid w:val="7D7F0706"/>
    <w:rsid w:val="7DA16B80"/>
    <w:rsid w:val="7DCD3EB0"/>
    <w:rsid w:val="7DD51600"/>
    <w:rsid w:val="7DF05160"/>
    <w:rsid w:val="7DF95F4C"/>
    <w:rsid w:val="7E0B68D2"/>
    <w:rsid w:val="7E1153D2"/>
    <w:rsid w:val="7E2272E3"/>
    <w:rsid w:val="7E370FE0"/>
    <w:rsid w:val="7E375A7C"/>
    <w:rsid w:val="7E48543B"/>
    <w:rsid w:val="7E582D05"/>
    <w:rsid w:val="7E5F4093"/>
    <w:rsid w:val="7E7933A7"/>
    <w:rsid w:val="7E7A0ECD"/>
    <w:rsid w:val="7E8200D1"/>
    <w:rsid w:val="7E8D6E52"/>
    <w:rsid w:val="7EA5419C"/>
    <w:rsid w:val="7EB22415"/>
    <w:rsid w:val="7EB73ECF"/>
    <w:rsid w:val="7EBB576E"/>
    <w:rsid w:val="7EBE13A2"/>
    <w:rsid w:val="7EC36A6A"/>
    <w:rsid w:val="7EC9775F"/>
    <w:rsid w:val="7ECD724F"/>
    <w:rsid w:val="7ED24865"/>
    <w:rsid w:val="7EF46946"/>
    <w:rsid w:val="7EF944E8"/>
    <w:rsid w:val="7EFB0260"/>
    <w:rsid w:val="7F052E8D"/>
    <w:rsid w:val="7F0770F7"/>
    <w:rsid w:val="7F0A04F2"/>
    <w:rsid w:val="7F120D40"/>
    <w:rsid w:val="7F270E16"/>
    <w:rsid w:val="7F2A644F"/>
    <w:rsid w:val="7F3B6DB1"/>
    <w:rsid w:val="7F4D0736"/>
    <w:rsid w:val="7F4F5DFA"/>
    <w:rsid w:val="7F5636E8"/>
    <w:rsid w:val="7F7B682A"/>
    <w:rsid w:val="7F7C5BBA"/>
    <w:rsid w:val="7F8E2E82"/>
    <w:rsid w:val="7F8F2756"/>
    <w:rsid w:val="7F9966DE"/>
    <w:rsid w:val="7FA3110E"/>
    <w:rsid w:val="7FB456BF"/>
    <w:rsid w:val="7FB45B1A"/>
    <w:rsid w:val="7FD340FE"/>
    <w:rsid w:val="7FD85EAB"/>
    <w:rsid w:val="7FDD7966"/>
    <w:rsid w:val="7FED4A8C"/>
    <w:rsid w:val="7FF66E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Lines="0" w:beforeAutospacing="0" w:afterLines="0" w:afterAutospacing="0" w:line="240" w:lineRule="auto"/>
      <w:jc w:val="center"/>
      <w:outlineLvl w:val="0"/>
    </w:pPr>
    <w:rPr>
      <w:rFonts w:ascii="Times New Roman" w:hAnsi="Times New Roman" w:eastAsia="宋体"/>
      <w:b/>
      <w:kern w:val="44"/>
      <w:sz w:val="32"/>
    </w:rPr>
  </w:style>
  <w:style w:type="paragraph" w:styleId="4">
    <w:name w:val="heading 2"/>
    <w:basedOn w:val="1"/>
    <w:next w:val="1"/>
    <w:qFormat/>
    <w:uiPriority w:val="0"/>
    <w:pPr>
      <w:keepNext/>
      <w:keepLines/>
      <w:spacing w:before="260" w:after="260" w:line="360" w:lineRule="auto"/>
      <w:ind w:firstLine="540" w:firstLineChars="168"/>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autoRedefine/>
    <w:unhideWhenUsed/>
    <w:qFormat/>
    <w:uiPriority w:val="0"/>
    <w:pPr>
      <w:keepNext/>
      <w:keepLines/>
      <w:numPr>
        <w:ilvl w:val="4"/>
        <w:numId w:val="1"/>
      </w:numPr>
      <w:tabs>
        <w:tab w:val="left" w:pos="0"/>
        <w:tab w:val="left" w:pos="1008"/>
      </w:tabs>
      <w:spacing w:beforeLines="0" w:beforeAutospacing="0" w:afterLines="0" w:afterAutospacing="0" w:line="480" w:lineRule="exact"/>
      <w:ind w:left="1008" w:hanging="1008" w:firstLineChars="0"/>
      <w:outlineLvl w:val="4"/>
    </w:pPr>
    <w:rPr>
      <w:rFonts w:ascii="Times New Roman" w:hAnsi="Times New Roman" w:eastAsia="宋体" w:cs="Times New Roman"/>
      <w:b/>
      <w:szCs w:val="24"/>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line="400" w:lineRule="exact"/>
    </w:pPr>
    <w:rPr>
      <w:rFonts w:ascii="宋体"/>
      <w:sz w:val="24"/>
    </w:rPr>
  </w:style>
  <w:style w:type="paragraph" w:styleId="8">
    <w:name w:val="table of authorities"/>
    <w:basedOn w:val="1"/>
    <w:next w:val="1"/>
    <w:qFormat/>
    <w:uiPriority w:val="0"/>
    <w:pPr>
      <w:ind w:left="420" w:leftChars="200"/>
    </w:pPr>
  </w:style>
  <w:style w:type="paragraph" w:styleId="9">
    <w:name w:val="Normal Indent"/>
    <w:basedOn w:val="1"/>
    <w:next w:val="6"/>
    <w:qFormat/>
    <w:uiPriority w:val="0"/>
    <w:pPr>
      <w:spacing w:line="440" w:lineRule="exact"/>
      <w:ind w:firstLine="652"/>
    </w:pPr>
    <w:rPr>
      <w:spacing w:val="20"/>
      <w:sz w:val="24"/>
      <w:szCs w:val="20"/>
    </w:rPr>
  </w:style>
  <w:style w:type="paragraph" w:styleId="10">
    <w:name w:val="caption"/>
    <w:basedOn w:val="1"/>
    <w:next w:val="1"/>
    <w:qFormat/>
    <w:uiPriority w:val="0"/>
    <w:rPr>
      <w:rFonts w:ascii="Arial" w:hAnsi="Arial" w:eastAsia="黑体" w:cs="Arial"/>
      <w:sz w:val="20"/>
    </w:rPr>
  </w:style>
  <w:style w:type="paragraph" w:styleId="11">
    <w:name w:val="annotation text"/>
    <w:basedOn w:val="1"/>
    <w:link w:val="80"/>
    <w:qFormat/>
    <w:uiPriority w:val="0"/>
    <w:pPr>
      <w:jc w:val="left"/>
    </w:pPr>
    <w:rPr>
      <w:kern w:val="0"/>
      <w:sz w:val="24"/>
      <w:szCs w:val="20"/>
    </w:rPr>
  </w:style>
  <w:style w:type="paragraph" w:styleId="12">
    <w:name w:val="Salutation"/>
    <w:basedOn w:val="1"/>
    <w:next w:val="1"/>
    <w:qFormat/>
    <w:uiPriority w:val="0"/>
    <w:rPr>
      <w:sz w:val="28"/>
    </w:rPr>
  </w:style>
  <w:style w:type="paragraph" w:styleId="13">
    <w:name w:val="Body Text Indent"/>
    <w:basedOn w:val="1"/>
    <w:next w:val="14"/>
    <w:qFormat/>
    <w:uiPriority w:val="0"/>
    <w:pPr>
      <w:spacing w:after="120"/>
      <w:ind w:left="420" w:leftChars="200"/>
    </w:pPr>
    <w:rPr>
      <w:kern w:val="0"/>
      <w:sz w:val="24"/>
      <w:szCs w:val="20"/>
    </w:rPr>
  </w:style>
  <w:style w:type="paragraph" w:styleId="14">
    <w:name w:val="Body Text Indent 2"/>
    <w:basedOn w:val="1"/>
    <w:next w:val="15"/>
    <w:qFormat/>
    <w:uiPriority w:val="0"/>
    <w:pPr>
      <w:spacing w:line="360" w:lineRule="auto"/>
      <w:ind w:left="720" w:hanging="720"/>
    </w:pPr>
    <w:rPr>
      <w:rFonts w:ascii="宋体"/>
      <w:sz w:val="24"/>
    </w:rPr>
  </w:style>
  <w:style w:type="paragraph" w:styleId="15">
    <w:name w:val="Body Text First Indent 2"/>
    <w:basedOn w:val="13"/>
    <w:next w:val="1"/>
    <w:qFormat/>
    <w:uiPriority w:val="0"/>
    <w:pPr>
      <w:ind w:firstLine="420" w:firstLineChars="200"/>
    </w:pPr>
  </w:style>
  <w:style w:type="paragraph" w:styleId="16">
    <w:name w:val="Plain Text"/>
    <w:basedOn w:val="1"/>
    <w:next w:val="12"/>
    <w:qFormat/>
    <w:uiPriority w:val="0"/>
    <w:rPr>
      <w:rFonts w:ascii="宋体" w:hAnsi="Courier New"/>
      <w:szCs w:val="21"/>
    </w:rPr>
  </w:style>
  <w:style w:type="paragraph" w:styleId="17">
    <w:name w:val="footer"/>
    <w:basedOn w:val="1"/>
    <w:qFormat/>
    <w:uiPriority w:val="99"/>
    <w:pPr>
      <w:tabs>
        <w:tab w:val="center" w:pos="4153"/>
        <w:tab w:val="right" w:pos="8306"/>
      </w:tabs>
      <w:snapToGrid w:val="0"/>
      <w:jc w:val="left"/>
    </w:pPr>
    <w:rPr>
      <w:kern w:val="0"/>
      <w:sz w:val="18"/>
      <w:szCs w:val="20"/>
    </w:rPr>
  </w:style>
  <w:style w:type="paragraph" w:styleId="18">
    <w:name w:val="header"/>
    <w:basedOn w:val="1"/>
    <w:qFormat/>
    <w:uiPriority w:val="0"/>
    <w:pPr>
      <w:pBdr>
        <w:bottom w:val="single" w:color="auto" w:sz="6" w:space="1"/>
      </w:pBdr>
      <w:tabs>
        <w:tab w:val="center" w:pos="4153"/>
        <w:tab w:val="right" w:pos="8306"/>
      </w:tabs>
      <w:snapToGrid w:val="0"/>
      <w:jc w:val="center"/>
    </w:pPr>
    <w:rPr>
      <w:kern w:val="0"/>
      <w:sz w:val="18"/>
      <w:szCs w:val="20"/>
    </w:rPr>
  </w:style>
  <w:style w:type="paragraph" w:styleId="19">
    <w:name w:val="toc 1"/>
    <w:basedOn w:val="1"/>
    <w:next w:val="1"/>
    <w:qFormat/>
    <w:uiPriority w:val="0"/>
  </w:style>
  <w:style w:type="paragraph" w:styleId="20">
    <w:name w:val="List"/>
    <w:basedOn w:val="1"/>
    <w:qFormat/>
    <w:uiPriority w:val="0"/>
    <w:pPr>
      <w:ind w:left="200" w:hanging="200" w:hangingChars="200"/>
    </w:pPr>
  </w:style>
  <w:style w:type="paragraph" w:styleId="21">
    <w:name w:val="table of figures"/>
    <w:basedOn w:val="1"/>
    <w:next w:val="1"/>
    <w:qFormat/>
    <w:uiPriority w:val="0"/>
    <w:pPr>
      <w:ind w:left="200" w:leftChars="200" w:hanging="200" w:hangingChars="200"/>
    </w:pPr>
    <w:rPr>
      <w:rFonts w:hint="eastAsia"/>
      <w:szCs w:val="20"/>
    </w:rPr>
  </w:style>
  <w:style w:type="paragraph" w:styleId="22">
    <w:name w:val="Body Text 2"/>
    <w:basedOn w:val="1"/>
    <w:qFormat/>
    <w:uiPriority w:val="0"/>
    <w:rPr>
      <w:rFonts w:ascii="宋体"/>
      <w:b/>
      <w:bCs/>
      <w:color w:val="000000"/>
      <w:sz w:val="28"/>
    </w:rPr>
  </w:style>
  <w:style w:type="paragraph" w:styleId="23">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4">
    <w:name w:val="annotation subject"/>
    <w:basedOn w:val="11"/>
    <w:next w:val="11"/>
    <w:link w:val="81"/>
    <w:qFormat/>
    <w:uiPriority w:val="0"/>
    <w:rPr>
      <w:b/>
      <w:bCs/>
      <w:kern w:val="2"/>
      <w:sz w:val="21"/>
      <w:szCs w:val="24"/>
    </w:rPr>
  </w:style>
  <w:style w:type="paragraph" w:styleId="25">
    <w:name w:val="Body Text First Indent"/>
    <w:basedOn w:val="2"/>
    <w:next w:val="1"/>
    <w:qFormat/>
    <w:uiPriority w:val="0"/>
    <w:pPr>
      <w:ind w:firstLine="200" w:firstLineChars="200"/>
    </w:pPr>
    <w:rPr>
      <w:lang w:eastAsia="en-U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Hyperlink"/>
    <w:basedOn w:val="28"/>
    <w:qFormat/>
    <w:uiPriority w:val="0"/>
    <w:rPr>
      <w:color w:val="0000FF"/>
      <w:u w:val="single"/>
    </w:rPr>
  </w:style>
  <w:style w:type="character" w:styleId="32">
    <w:name w:val="annotation reference"/>
    <w:basedOn w:val="28"/>
    <w:qFormat/>
    <w:uiPriority w:val="0"/>
    <w:rPr>
      <w:sz w:val="21"/>
      <w:szCs w:val="21"/>
    </w:rPr>
  </w:style>
  <w:style w:type="paragraph" w:customStyle="1" w:styleId="33">
    <w:name w:val="Default"/>
    <w:basedOn w:val="34"/>
    <w:qFormat/>
    <w:uiPriority w:val="0"/>
    <w:pPr>
      <w:widowControl w:val="0"/>
      <w:autoSpaceDE w:val="0"/>
      <w:autoSpaceDN w:val="0"/>
      <w:adjustRightInd w:val="0"/>
    </w:pPr>
    <w:rPr>
      <w:rFonts w:ascii="宋体" w:cs="宋体"/>
      <w:color w:val="000000"/>
      <w:sz w:val="24"/>
      <w:szCs w:val="24"/>
    </w:rPr>
  </w:style>
  <w:style w:type="paragraph" w:customStyle="1" w:styleId="34">
    <w:name w:val="标题2"/>
    <w:next w:val="1"/>
    <w:qFormat/>
    <w:uiPriority w:val="2"/>
    <w:pPr>
      <w:outlineLvl w:val="2"/>
    </w:pPr>
    <w:rPr>
      <w:rFonts w:ascii="Calibri" w:hAnsi="Calibri" w:eastAsia="宋体" w:cs="Times New Roman"/>
      <w:kern w:val="2"/>
      <w:sz w:val="21"/>
      <w:szCs w:val="22"/>
      <w:lang w:val="en-US" w:eastAsia="zh-CN" w:bidi="ar-SA"/>
    </w:rPr>
  </w:style>
  <w:style w:type="paragraph" w:customStyle="1" w:styleId="35">
    <w:name w:val="样式3"/>
    <w:basedOn w:val="19"/>
    <w:next w:val="36"/>
    <w:qFormat/>
    <w:uiPriority w:val="0"/>
    <w:pPr>
      <w:pBdr>
        <w:bottom w:val="thinThickSmallGap" w:color="auto" w:sz="12" w:space="1"/>
      </w:pBdr>
      <w:tabs>
        <w:tab w:val="center" w:pos="4153"/>
        <w:tab w:val="right" w:pos="8306"/>
      </w:tabs>
      <w:snapToGrid w:val="0"/>
      <w:jc w:val="center"/>
    </w:pPr>
    <w:rPr>
      <w:rFonts w:eastAsia="Times New Roman"/>
      <w:sz w:val="18"/>
      <w:szCs w:val="18"/>
    </w:rPr>
  </w:style>
  <w:style w:type="paragraph" w:customStyle="1" w:styleId="36">
    <w:name w:val="目录 53"/>
    <w:basedOn w:val="1"/>
    <w:next w:val="1"/>
    <w:qFormat/>
    <w:uiPriority w:val="0"/>
    <w:pPr>
      <w:ind w:left="840"/>
    </w:pPr>
    <w:rPr>
      <w:rFonts w:cs="宋体"/>
      <w:color w:val="000000"/>
    </w:rPr>
  </w:style>
  <w:style w:type="paragraph" w:customStyle="1" w:styleId="37">
    <w:name w:val=" Char Char Char Char Char Char2"/>
    <w:basedOn w:val="1"/>
    <w:autoRedefine/>
    <w:qFormat/>
    <w:uiPriority w:val="0"/>
  </w:style>
  <w:style w:type="paragraph" w:customStyle="1" w:styleId="38">
    <w:name w:val=" Char Char Char Char Char Char7"/>
    <w:basedOn w:val="1"/>
    <w:autoRedefine/>
    <w:qFormat/>
    <w:uiPriority w:val="0"/>
  </w:style>
  <w:style w:type="paragraph" w:customStyle="1" w:styleId="39">
    <w:name w:val="xl27"/>
    <w:basedOn w:val="1"/>
    <w:next w:val="40"/>
    <w:qFormat/>
    <w:uiPriority w:val="0"/>
    <w:pPr>
      <w:widowControl/>
      <w:spacing w:before="100" w:beforeAutospacing="1" w:after="100" w:afterAutospacing="1" w:line="360" w:lineRule="auto"/>
      <w:ind w:firstLine="465"/>
      <w:jc w:val="center"/>
      <w:textAlignment w:val="center"/>
    </w:pPr>
    <w:rPr>
      <w:rFonts w:ascii="宋体" w:hAnsi="宋体" w:eastAsia="Arial Unicode MS" w:cs="宋体"/>
      <w:b/>
      <w:kern w:val="0"/>
      <w:sz w:val="24"/>
      <w:szCs w:val="20"/>
    </w:rPr>
  </w:style>
  <w:style w:type="paragraph" w:customStyle="1" w:styleId="40">
    <w:name w:val="A正文"/>
    <w:basedOn w:val="1"/>
    <w:qFormat/>
    <w:uiPriority w:val="0"/>
    <w:pPr>
      <w:widowControl/>
      <w:spacing w:line="360" w:lineRule="auto"/>
      <w:ind w:firstLine="200" w:firstLineChars="200"/>
      <w:jc w:val="left"/>
    </w:pPr>
    <w:rPr>
      <w:kern w:val="0"/>
      <w:sz w:val="24"/>
      <w:szCs w:val="22"/>
    </w:rPr>
  </w:style>
  <w:style w:type="paragraph" w:customStyle="1" w:styleId="41">
    <w:name w:val="表头"/>
    <w:basedOn w:val="42"/>
    <w:next w:val="1"/>
    <w:qFormat/>
    <w:uiPriority w:val="0"/>
    <w:pPr>
      <w:keepNext/>
      <w:snapToGrid w:val="0"/>
      <w:spacing w:line="360" w:lineRule="auto"/>
    </w:pPr>
    <w:rPr>
      <w:sz w:val="24"/>
    </w:rPr>
  </w:style>
  <w:style w:type="paragraph" w:customStyle="1" w:styleId="42">
    <w:name w:val="11111111111"/>
    <w:basedOn w:val="1"/>
    <w:qFormat/>
    <w:uiPriority w:val="0"/>
    <w:pPr>
      <w:spacing w:line="480" w:lineRule="exact"/>
      <w:jc w:val="center"/>
    </w:pPr>
    <w:rPr>
      <w:b/>
    </w:rPr>
  </w:style>
  <w:style w:type="paragraph" w:customStyle="1" w:styleId="43">
    <w:name w:val="表格"/>
    <w:basedOn w:val="44"/>
    <w:next w:val="1"/>
    <w:qFormat/>
    <w:uiPriority w:val="0"/>
    <w:pPr>
      <w:adjustRightInd w:val="0"/>
      <w:snapToGrid w:val="0"/>
      <w:spacing w:beforeLines="10" w:afterLines="10" w:line="259" w:lineRule="auto"/>
      <w:jc w:val="center"/>
    </w:pPr>
    <w:rPr>
      <w:kern w:val="0"/>
      <w:szCs w:val="20"/>
    </w:rPr>
  </w:style>
  <w:style w:type="paragraph" w:customStyle="1" w:styleId="44">
    <w:name w:val="表格式"/>
    <w:basedOn w:val="20"/>
    <w:qFormat/>
    <w:uiPriority w:val="0"/>
    <w:pPr>
      <w:spacing w:before="156" w:beforeLines="50" w:after="156" w:afterLines="50" w:line="200" w:lineRule="exact"/>
      <w:ind w:left="0" w:firstLine="0" w:firstLineChars="0"/>
      <w:jc w:val="center"/>
    </w:pPr>
    <w:rPr>
      <w:rFonts w:cs="Times New Roman"/>
      <w:szCs w:val="20"/>
    </w:rPr>
  </w:style>
  <w:style w:type="paragraph" w:customStyle="1" w:styleId="45">
    <w:name w:val="表内"/>
    <w:basedOn w:val="8"/>
    <w:qFormat/>
    <w:uiPriority w:val="0"/>
    <w:pPr>
      <w:jc w:val="center"/>
    </w:pPr>
  </w:style>
  <w:style w:type="paragraph" w:customStyle="1" w:styleId="46">
    <w:name w:val="样式 正文文本缩进 + 行距: 1.5 倍行距"/>
    <w:basedOn w:val="1"/>
    <w:qFormat/>
    <w:uiPriority w:val="0"/>
    <w:pPr>
      <w:spacing w:after="120" w:line="360" w:lineRule="auto"/>
      <w:ind w:left="90" w:leftChars="32" w:firstLine="560" w:firstLineChars="200"/>
    </w:pPr>
    <w:rPr>
      <w:rFonts w:cs="宋体"/>
    </w:rPr>
  </w:style>
  <w:style w:type="paragraph" w:customStyle="1" w:styleId="47">
    <w:name w:val="1正文段落"/>
    <w:basedOn w:val="1"/>
    <w:qFormat/>
    <w:uiPriority w:val="0"/>
    <w:pPr>
      <w:widowControl/>
      <w:spacing w:line="360" w:lineRule="auto"/>
      <w:ind w:firstLine="480" w:firstLineChars="200"/>
      <w:jc w:val="left"/>
    </w:pPr>
    <w:rPr>
      <w:rFonts w:ascii="Times New Roman" w:hAnsi="Times New Roman"/>
      <w:snapToGrid w:val="0"/>
      <w:kern w:val="0"/>
    </w:rPr>
  </w:style>
  <w:style w:type="paragraph" w:customStyle="1" w:styleId="48">
    <w:name w:val="正文1"/>
    <w:basedOn w:val="9"/>
    <w:qFormat/>
    <w:uiPriority w:val="0"/>
    <w:pPr>
      <w:adjustRightInd w:val="0"/>
      <w:snapToGrid w:val="0"/>
      <w:spacing w:line="360" w:lineRule="auto"/>
      <w:ind w:firstLine="482"/>
    </w:pPr>
    <w:rPr>
      <w:rFonts w:ascii="宋体" w:hAnsi="宋体"/>
      <w:snapToGrid w:val="0"/>
      <w:kern w:val="0"/>
    </w:rPr>
  </w:style>
  <w:style w:type="paragraph" w:customStyle="1" w:styleId="49">
    <w:name w:val="Table Paragraph"/>
    <w:basedOn w:val="1"/>
    <w:qFormat/>
    <w:uiPriority w:val="1"/>
    <w:pPr>
      <w:jc w:val="left"/>
    </w:pPr>
    <w:rPr>
      <w:rFonts w:ascii="Calibri" w:hAnsi="Calibri"/>
      <w:kern w:val="0"/>
      <w:sz w:val="22"/>
      <w:szCs w:val="22"/>
      <w:lang w:eastAsia="en-US"/>
    </w:rPr>
  </w:style>
  <w:style w:type="paragraph" w:styleId="50">
    <w:name w:val="List Paragraph"/>
    <w:basedOn w:val="1"/>
    <w:qFormat/>
    <w:uiPriority w:val="0"/>
    <w:pPr>
      <w:ind w:firstLine="420" w:firstLineChars="200"/>
    </w:pPr>
    <w:rPr>
      <w:rFonts w:ascii="Calibri" w:hAnsi="Calibri" w:cs="Calibri"/>
      <w:color w:val="000000"/>
      <w:szCs w:val="22"/>
    </w:rPr>
  </w:style>
  <w:style w:type="paragraph" w:customStyle="1" w:styleId="51">
    <w:name w:val="00"/>
    <w:basedOn w:val="1"/>
    <w:qFormat/>
    <w:uiPriority w:val="0"/>
    <w:pPr>
      <w:spacing w:line="520" w:lineRule="exact"/>
      <w:ind w:firstLine="480"/>
    </w:pPr>
    <w:rPr>
      <w:rFonts w:hAnsi="宋体"/>
      <w:sz w:val="24"/>
    </w:rPr>
  </w:style>
  <w:style w:type="paragraph" w:customStyle="1" w:styleId="52">
    <w:name w:val="p15"/>
    <w:basedOn w:val="1"/>
    <w:qFormat/>
    <w:uiPriority w:val="0"/>
    <w:pPr>
      <w:widowControl/>
    </w:pPr>
    <w:rPr>
      <w:rFonts w:cs="Calibri"/>
      <w:color w:val="000000"/>
      <w:kern w:val="0"/>
      <w:szCs w:val="21"/>
    </w:rPr>
  </w:style>
  <w:style w:type="character" w:customStyle="1" w:styleId="53">
    <w:name w:val="font11"/>
    <w:basedOn w:val="28"/>
    <w:qFormat/>
    <w:uiPriority w:val="0"/>
    <w:rPr>
      <w:rFonts w:hint="eastAsia" w:ascii="宋体" w:hAnsi="宋体" w:eastAsia="宋体" w:cs="宋体"/>
      <w:color w:val="000000"/>
      <w:sz w:val="21"/>
      <w:szCs w:val="21"/>
      <w:u w:val="none"/>
    </w:rPr>
  </w:style>
  <w:style w:type="character" w:customStyle="1" w:styleId="54">
    <w:name w:val="font21"/>
    <w:basedOn w:val="28"/>
    <w:qFormat/>
    <w:uiPriority w:val="0"/>
    <w:rPr>
      <w:rFonts w:hint="default" w:ascii="Times New Roman" w:hAnsi="Times New Roman" w:cs="Times New Roman"/>
      <w:color w:val="000000"/>
      <w:sz w:val="21"/>
      <w:szCs w:val="21"/>
      <w:u w:val="none"/>
    </w:rPr>
  </w:style>
  <w:style w:type="paragraph" w:customStyle="1" w:styleId="55">
    <w:name w:val="1正文"/>
    <w:qFormat/>
    <w:uiPriority w:val="0"/>
    <w:pPr>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56">
    <w:name w:val="环评表头"/>
    <w:basedOn w:val="1"/>
    <w:link w:val="58"/>
    <w:qFormat/>
    <w:uiPriority w:val="0"/>
    <w:pPr>
      <w:spacing w:line="360" w:lineRule="auto"/>
      <w:jc w:val="center"/>
    </w:pPr>
    <w:rPr>
      <w:b/>
      <w:szCs w:val="21"/>
    </w:rPr>
  </w:style>
  <w:style w:type="paragraph" w:customStyle="1" w:styleId="57">
    <w:name w:val="环评表格"/>
    <w:basedOn w:val="1"/>
    <w:qFormat/>
    <w:uiPriority w:val="0"/>
    <w:pPr>
      <w:jc w:val="center"/>
    </w:pPr>
    <w:rPr>
      <w:szCs w:val="21"/>
    </w:rPr>
  </w:style>
  <w:style w:type="character" w:customStyle="1" w:styleId="58">
    <w:name w:val="环评表头 Char"/>
    <w:link w:val="56"/>
    <w:qFormat/>
    <w:uiPriority w:val="0"/>
    <w:rPr>
      <w:b/>
      <w:sz w:val="21"/>
      <w:szCs w:val="21"/>
    </w:rPr>
  </w:style>
  <w:style w:type="paragraph" w:customStyle="1" w:styleId="59">
    <w:name w:val="表内容"/>
    <w:basedOn w:val="1"/>
    <w:next w:val="1"/>
    <w:qFormat/>
    <w:uiPriority w:val="0"/>
    <w:pPr>
      <w:spacing w:line="320" w:lineRule="exact"/>
      <w:jc w:val="center"/>
    </w:pPr>
  </w:style>
  <w:style w:type="paragraph" w:customStyle="1" w:styleId="60">
    <w:name w:val="默认段落字体 Para Char Char Char Char"/>
    <w:basedOn w:val="1"/>
    <w:qFormat/>
    <w:uiPriority w:val="0"/>
    <w:pPr>
      <w:spacing w:beforeLines="100" w:afterLines="50" w:line="600" w:lineRule="exact"/>
      <w:ind w:firstLine="200" w:firstLineChars="200"/>
    </w:pPr>
    <w:rPr>
      <w:rFonts w:eastAsia="黑体"/>
      <w:sz w:val="28"/>
    </w:rPr>
  </w:style>
  <w:style w:type="paragraph" w:customStyle="1" w:styleId="61">
    <w:name w:val="表格内容自定"/>
    <w:basedOn w:val="1"/>
    <w:qFormat/>
    <w:uiPriority w:val="0"/>
    <w:pPr>
      <w:spacing w:line="280" w:lineRule="exact"/>
      <w:jc w:val="center"/>
    </w:pPr>
    <w:rPr>
      <w:kern w:val="0"/>
      <w:sz w:val="18"/>
      <w:szCs w:val="21"/>
    </w:rPr>
  </w:style>
  <w:style w:type="paragraph" w:customStyle="1" w:styleId="62">
    <w:name w:val="报告正文"/>
    <w:basedOn w:val="1"/>
    <w:qFormat/>
    <w:uiPriority w:val="0"/>
    <w:pPr>
      <w:spacing w:line="360" w:lineRule="auto"/>
      <w:ind w:firstLine="200" w:firstLineChars="200"/>
      <w:jc w:val="left"/>
    </w:pPr>
    <w:rPr>
      <w:sz w:val="24"/>
    </w:rPr>
  </w:style>
  <w:style w:type="paragraph" w:customStyle="1" w:styleId="63">
    <w:name w:val="p0"/>
    <w:basedOn w:val="1"/>
    <w:qFormat/>
    <w:uiPriority w:val="0"/>
    <w:pPr>
      <w:widowControl/>
      <w:snapToGrid w:val="0"/>
      <w:spacing w:line="312" w:lineRule="atLeast"/>
    </w:pPr>
    <w:rPr>
      <w:kern w:val="0"/>
      <w:szCs w:val="21"/>
    </w:rPr>
  </w:style>
  <w:style w:type="paragraph" w:customStyle="1" w:styleId="64">
    <w:name w:val="正文01"/>
    <w:basedOn w:val="9"/>
    <w:qFormat/>
    <w:uiPriority w:val="0"/>
    <w:pPr>
      <w:spacing w:before="60" w:line="460" w:lineRule="exact"/>
      <w:ind w:firstLine="200" w:firstLineChars="200"/>
    </w:pPr>
  </w:style>
  <w:style w:type="paragraph" w:customStyle="1" w:styleId="65">
    <w:name w:val="+正文"/>
    <w:basedOn w:val="1"/>
    <w:qFormat/>
    <w:uiPriority w:val="0"/>
    <w:pPr>
      <w:spacing w:line="360" w:lineRule="auto"/>
      <w:ind w:firstLine="200" w:firstLineChars="200"/>
      <w:jc w:val="left"/>
    </w:pPr>
    <w:rPr>
      <w:sz w:val="24"/>
      <w:szCs w:val="28"/>
    </w:rPr>
  </w:style>
  <w:style w:type="paragraph" w:customStyle="1" w:styleId="66">
    <w:name w:val="样式35"/>
    <w:basedOn w:val="1"/>
    <w:qFormat/>
    <w:uiPriority w:val="0"/>
    <w:pPr>
      <w:adjustRightInd w:val="0"/>
      <w:spacing w:line="312" w:lineRule="auto"/>
      <w:ind w:firstLine="567"/>
    </w:pPr>
    <w:rPr>
      <w:rFonts w:ascii="宋体"/>
      <w:kern w:val="0"/>
      <w:sz w:val="28"/>
    </w:rPr>
  </w:style>
  <w:style w:type="character" w:customStyle="1" w:styleId="67">
    <w:name w:val="font51"/>
    <w:basedOn w:val="28"/>
    <w:qFormat/>
    <w:uiPriority w:val="0"/>
    <w:rPr>
      <w:rFonts w:hint="eastAsia" w:ascii="宋体" w:hAnsi="宋体" w:eastAsia="宋体" w:cs="宋体"/>
      <w:color w:val="000000"/>
      <w:sz w:val="21"/>
      <w:szCs w:val="21"/>
      <w:u w:val="none"/>
    </w:rPr>
  </w:style>
  <w:style w:type="paragraph" w:customStyle="1" w:styleId="68">
    <w:name w:val="24磅正文"/>
    <w:basedOn w:val="1"/>
    <w:qFormat/>
    <w:uiPriority w:val="0"/>
    <w:pPr>
      <w:spacing w:line="480" w:lineRule="exact"/>
      <w:ind w:firstLine="480" w:firstLineChars="200"/>
    </w:pPr>
  </w:style>
  <w:style w:type="table" w:customStyle="1" w:styleId="69">
    <w:name w:val="Table Normal"/>
    <w:basedOn w:val="26"/>
    <w:qFormat/>
    <w:uiPriority w:val="0"/>
    <w:tblPr>
      <w:tblCellMar>
        <w:left w:w="0" w:type="dxa"/>
        <w:right w:w="0" w:type="dxa"/>
      </w:tblCellMar>
    </w:tblPr>
  </w:style>
  <w:style w:type="paragraph" w:customStyle="1" w:styleId="70">
    <w:name w:val="表格正文"/>
    <w:basedOn w:val="1"/>
    <w:qFormat/>
    <w:uiPriority w:val="0"/>
    <w:pPr>
      <w:jc w:val="center"/>
    </w:pPr>
    <w:rPr>
      <w:rFonts w:ascii="仿宋_GB2312" w:eastAsia="仿宋_GB2312"/>
    </w:rPr>
  </w:style>
  <w:style w:type="paragraph" w:customStyle="1" w:styleId="71">
    <w:name w:val="WPSOffice手动目录 1"/>
    <w:qFormat/>
    <w:uiPriority w:val="0"/>
    <w:rPr>
      <w:rFonts w:ascii="Times New Roman" w:hAnsi="Times New Roman" w:eastAsia="宋体" w:cs="Times New Roman"/>
      <w:lang w:val="en-US" w:eastAsia="zh-CN" w:bidi="ar-SA"/>
    </w:rPr>
  </w:style>
  <w:style w:type="paragraph" w:customStyle="1" w:styleId="72">
    <w:name w:val="正文部分"/>
    <w:basedOn w:val="1"/>
    <w:qFormat/>
    <w:uiPriority w:val="0"/>
    <w:pPr>
      <w:topLinePunct/>
      <w:adjustRightInd w:val="0"/>
      <w:snapToGrid w:val="0"/>
      <w:spacing w:line="360" w:lineRule="auto"/>
      <w:ind w:firstLine="480" w:firstLineChars="200"/>
    </w:pPr>
    <w:rPr>
      <w:kern w:val="0"/>
      <w:sz w:val="24"/>
      <w:shd w:val="clear" w:color="auto" w:fill="FFFFFF"/>
      <w:lang w:val="zh-CN"/>
    </w:rPr>
  </w:style>
  <w:style w:type="character" w:customStyle="1" w:styleId="73">
    <w:name w:val="font31"/>
    <w:basedOn w:val="28"/>
    <w:qFormat/>
    <w:uiPriority w:val="0"/>
    <w:rPr>
      <w:rFonts w:hint="default" w:ascii="Times New Roman" w:hAnsi="Times New Roman" w:cs="Times New Roman"/>
      <w:color w:val="000000"/>
      <w:sz w:val="21"/>
      <w:szCs w:val="21"/>
      <w:u w:val="none"/>
      <w:vertAlign w:val="subscript"/>
    </w:rPr>
  </w:style>
  <w:style w:type="character" w:customStyle="1" w:styleId="74">
    <w:name w:val="font61"/>
    <w:basedOn w:val="28"/>
    <w:qFormat/>
    <w:uiPriority w:val="0"/>
    <w:rPr>
      <w:rFonts w:hint="eastAsia" w:ascii="宋体" w:hAnsi="宋体" w:eastAsia="宋体" w:cs="宋体"/>
      <w:color w:val="000000"/>
      <w:sz w:val="21"/>
      <w:szCs w:val="21"/>
      <w:u w:val="none"/>
    </w:rPr>
  </w:style>
  <w:style w:type="paragraph" w:customStyle="1" w:styleId="75">
    <w:name w:val="Table Text"/>
    <w:basedOn w:val="1"/>
    <w:qFormat/>
    <w:uiPriority w:val="0"/>
    <w:rPr>
      <w:rFonts w:ascii="宋体" w:hAnsi="宋体" w:cs="宋体"/>
      <w:sz w:val="24"/>
      <w:lang w:eastAsia="en-US"/>
    </w:rPr>
  </w:style>
  <w:style w:type="paragraph" w:customStyle="1" w:styleId="76">
    <w:name w:val="表格头"/>
    <w:basedOn w:val="1"/>
    <w:qFormat/>
    <w:uiPriority w:val="0"/>
    <w:pPr>
      <w:tabs>
        <w:tab w:val="left" w:pos="0"/>
      </w:tabs>
      <w:spacing w:line="360" w:lineRule="auto"/>
      <w:jc w:val="center"/>
    </w:pPr>
    <w:rPr>
      <w:b/>
      <w:bCs/>
      <w:sz w:val="24"/>
    </w:rPr>
  </w:style>
  <w:style w:type="paragraph" w:customStyle="1" w:styleId="77">
    <w:name w:val="环评正文"/>
    <w:basedOn w:val="78"/>
    <w:qFormat/>
    <w:uiPriority w:val="0"/>
    <w:pPr>
      <w:ind w:firstLine="200" w:firstLineChars="200"/>
      <w:jc w:val="both"/>
    </w:pPr>
    <w:rPr>
      <w:b w:val="0"/>
      <w:sz w:val="24"/>
      <w:szCs w:val="24"/>
    </w:rPr>
  </w:style>
  <w:style w:type="paragraph" w:customStyle="1" w:styleId="78">
    <w:name w:val="表格标题"/>
    <w:basedOn w:val="79"/>
    <w:qFormat/>
    <w:uiPriority w:val="0"/>
    <w:pPr>
      <w:ind w:firstLine="0" w:firstLineChars="0"/>
      <w:jc w:val="center"/>
    </w:pPr>
    <w:rPr>
      <w:b/>
      <w:sz w:val="21"/>
      <w:szCs w:val="21"/>
    </w:rPr>
  </w:style>
  <w:style w:type="paragraph" w:customStyle="1" w:styleId="79">
    <w:name w:val="正文内容"/>
    <w:basedOn w:val="55"/>
    <w:qFormat/>
    <w:uiPriority w:val="0"/>
    <w:pPr>
      <w:spacing w:line="360" w:lineRule="auto"/>
      <w:ind w:firstLine="480"/>
    </w:pPr>
    <w:rPr>
      <w:color w:val="000000"/>
    </w:rPr>
  </w:style>
  <w:style w:type="character" w:customStyle="1" w:styleId="80">
    <w:name w:val="批注文字 字符"/>
    <w:basedOn w:val="28"/>
    <w:link w:val="11"/>
    <w:qFormat/>
    <w:uiPriority w:val="0"/>
    <w:rPr>
      <w:sz w:val="24"/>
    </w:rPr>
  </w:style>
  <w:style w:type="character" w:customStyle="1" w:styleId="81">
    <w:name w:val="批注主题 字符"/>
    <w:basedOn w:val="80"/>
    <w:link w:val="24"/>
    <w:qFormat/>
    <w:uiPriority w:val="0"/>
    <w:rPr>
      <w:b/>
      <w:bCs/>
      <w:kern w:val="2"/>
      <w:sz w:val="21"/>
      <w:szCs w:val="24"/>
    </w:rPr>
  </w:style>
  <w:style w:type="character" w:customStyle="1" w:styleId="82">
    <w:name w:val="font71"/>
    <w:basedOn w:val="28"/>
    <w:qFormat/>
    <w:uiPriority w:val="0"/>
    <w:rPr>
      <w:rFonts w:hint="default" w:ascii="Times New Roman" w:hAnsi="Times New Roman" w:cs="Times New Roman"/>
      <w:b/>
      <w:bCs/>
      <w:color w:val="000000"/>
      <w:sz w:val="21"/>
      <w:szCs w:val="21"/>
      <w:u w:val="none"/>
      <w:vertAlign w:val="superscript"/>
    </w:rPr>
  </w:style>
  <w:style w:type="character" w:customStyle="1" w:styleId="83">
    <w:name w:val="font41"/>
    <w:basedOn w:val="28"/>
    <w:qFormat/>
    <w:uiPriority w:val="0"/>
    <w:rPr>
      <w:rFonts w:hint="default" w:ascii="Times New Roman" w:hAnsi="Times New Roman" w:cs="Times New Roman"/>
      <w:b/>
      <w:bCs/>
      <w:color w:val="000000"/>
      <w:sz w:val="18"/>
      <w:szCs w:val="18"/>
      <w:u w:val="none"/>
    </w:rPr>
  </w:style>
  <w:style w:type="paragraph" w:customStyle="1" w:styleId="84">
    <w:name w:val="p16"/>
    <w:basedOn w:val="1"/>
    <w:qFormat/>
    <w:uiPriority w:val="0"/>
    <w:pPr>
      <w:widowControl/>
      <w:spacing w:line="500" w:lineRule="atLeast"/>
      <w:jc w:val="left"/>
    </w:pPr>
    <w:rPr>
      <w:b/>
      <w:bCs/>
      <w:color w:val="000000"/>
      <w:kern w:val="0"/>
      <w:sz w:val="24"/>
    </w:rPr>
  </w:style>
  <w:style w:type="character" w:customStyle="1" w:styleId="85">
    <w:name w:val="！ Char Char"/>
    <w:qFormat/>
    <w:uiPriority w:val="0"/>
    <w:rPr>
      <w:rFonts w:ascii="Times New Roman" w:hAnsi="Times New Roman" w:eastAsia="黑体"/>
      <w:kern w:val="2"/>
      <w:sz w:val="24"/>
      <w:szCs w:val="28"/>
      <w:lang w:val="en-US" w:eastAsia="zh-CN" w:bidi="ar-SA"/>
    </w:rPr>
  </w:style>
  <w:style w:type="character" w:customStyle="1" w:styleId="86">
    <w:name w:val="font01"/>
    <w:basedOn w:val="28"/>
    <w:qFormat/>
    <w:uiPriority w:val="0"/>
    <w:rPr>
      <w:rFonts w:hint="eastAsia" w:ascii="宋体" w:hAnsi="宋体" w:eastAsia="宋体" w:cs="宋体"/>
      <w:color w:val="000000"/>
      <w:sz w:val="24"/>
      <w:szCs w:val="24"/>
      <w:u w:val="none"/>
    </w:rPr>
  </w:style>
  <w:style w:type="paragraph" w:customStyle="1" w:styleId="87">
    <w:name w:val="小四+首行缩进"/>
    <w:basedOn w:val="1"/>
    <w:qFormat/>
    <w:uiPriority w:val="0"/>
    <w:pPr>
      <w:spacing w:line="360" w:lineRule="auto"/>
      <w:ind w:firstLine="482"/>
    </w:pPr>
    <w:rPr>
      <w:rFonts w:ascii="宋体" w:hAnsi="宋体"/>
      <w:sz w:val="24"/>
    </w:rPr>
  </w:style>
  <w:style w:type="paragraph" w:customStyle="1" w:styleId="88">
    <w:name w:val="表头5"/>
    <w:basedOn w:val="1"/>
    <w:qFormat/>
    <w:uiPriority w:val="0"/>
    <w:pPr>
      <w:numPr>
        <w:ilvl w:val="0"/>
        <w:numId w:val="2"/>
      </w:numPr>
      <w:spacing w:before="50" w:beforeLines="50"/>
      <w:ind w:left="0" w:firstLine="0"/>
      <w:jc w:val="center"/>
    </w:pPr>
    <w:rPr>
      <w:b/>
      <w:szCs w:val="21"/>
    </w:rPr>
  </w:style>
  <w:style w:type="character" w:customStyle="1" w:styleId="89">
    <w:name w:val="font81"/>
    <w:basedOn w:val="28"/>
    <w:qFormat/>
    <w:uiPriority w:val="0"/>
    <w:rPr>
      <w:rFonts w:hint="default" w:ascii="Times New Roman" w:hAnsi="Times New Roman" w:cs="Times New Roman"/>
      <w:b/>
      <w:bCs/>
      <w:color w:val="000000"/>
      <w:sz w:val="21"/>
      <w:szCs w:val="21"/>
      <w:u w:val="none"/>
      <w:vertAlign w:val="superscript"/>
    </w:rPr>
  </w:style>
  <w:style w:type="character" w:customStyle="1" w:styleId="90">
    <w:name w:val="font91"/>
    <w:basedOn w:val="28"/>
    <w:qFormat/>
    <w:uiPriority w:val="0"/>
    <w:rPr>
      <w:rFonts w:hint="default" w:ascii="Times New Roman" w:hAnsi="Times New Roman" w:cs="Times New Roman"/>
      <w:color w:val="000000"/>
      <w:sz w:val="22"/>
      <w:szCs w:val="22"/>
      <w:u w:val="none"/>
    </w:rPr>
  </w:style>
  <w:style w:type="character" w:customStyle="1" w:styleId="91">
    <w:name w:val="font101"/>
    <w:basedOn w:val="28"/>
    <w:qFormat/>
    <w:uiPriority w:val="0"/>
    <w:rPr>
      <w:rFonts w:hint="eastAsia" w:ascii="宋体" w:hAnsi="宋体" w:eastAsia="宋体" w:cs="宋体"/>
      <w:color w:val="000000"/>
      <w:sz w:val="22"/>
      <w:szCs w:val="22"/>
      <w:u w:val="none"/>
    </w:rPr>
  </w:style>
  <w:style w:type="paragraph" w:customStyle="1" w:styleId="92">
    <w:name w:val="正文首行缩进＋湿地"/>
    <w:basedOn w:val="1"/>
    <w:qFormat/>
    <w:uiPriority w:val="0"/>
    <w:pPr>
      <w:spacing w:line="440" w:lineRule="exact"/>
      <w:ind w:firstLine="540" w:firstLineChars="225"/>
    </w:pPr>
    <w:rPr>
      <w:rFonts w:ascii="仿宋_GB2312" w:hAnsi="宋体" w:eastAsia="仿宋_GB2312"/>
      <w:kern w:val="0"/>
      <w:sz w:val="28"/>
      <w:szCs w:val="20"/>
    </w:rPr>
  </w:style>
  <w:style w:type="paragraph" w:customStyle="1" w:styleId="93">
    <w:name w:val="正文文本，表格"/>
    <w:basedOn w:val="1"/>
    <w:qFormat/>
    <w:uiPriority w:val="0"/>
    <w:pPr>
      <w:jc w:val="center"/>
    </w:pPr>
    <w:rPr>
      <w:rFonts w:cs="宋体"/>
      <w:szCs w:val="21"/>
    </w:rPr>
  </w:style>
  <w:style w:type="paragraph" w:customStyle="1" w:styleId="94">
    <w:name w:val="表格 32"/>
    <w:basedOn w:val="43"/>
    <w:qFormat/>
    <w:uiPriority w:val="0"/>
    <w:pPr>
      <w:autoSpaceDE w:val="0"/>
      <w:autoSpaceDN w:val="0"/>
      <w:adjustRightInd w:val="0"/>
      <w:spacing w:line="240" w:lineRule="atLeast"/>
      <w:jc w:val="center"/>
    </w:pPr>
    <w:rPr>
      <w:kern w:val="0"/>
      <w:sz w:val="24"/>
    </w:rPr>
  </w:style>
  <w:style w:type="paragraph" w:customStyle="1" w:styleId="95">
    <w:name w:val="_Style 13"/>
    <w:qFormat/>
    <w:uiPriority w:val="0"/>
    <w:pPr>
      <w:spacing w:before="120" w:after="120" w:line="288" w:lineRule="auto"/>
      <w:ind w:left="0"/>
      <w:jc w:val="left"/>
    </w:pPr>
    <w:rPr>
      <w:rFonts w:ascii="Arial" w:hAnsi="Arial" w:eastAsia="等线" w:cs="Arial"/>
      <w:sz w:val="22"/>
      <w:szCs w:val="22"/>
    </w:rPr>
  </w:style>
  <w:style w:type="paragraph" w:customStyle="1" w:styleId="96">
    <w:name w:val="Body Text First Indent 2"/>
    <w:basedOn w:val="97"/>
    <w:next w:val="1"/>
    <w:qFormat/>
    <w:uiPriority w:val="0"/>
    <w:pPr>
      <w:ind w:firstLine="420"/>
    </w:pPr>
    <w:rPr>
      <w:rFonts w:ascii="Times New Roman"/>
    </w:rPr>
  </w:style>
  <w:style w:type="paragraph" w:customStyle="1" w:styleId="97">
    <w:name w:val="Body Text Indent"/>
    <w:basedOn w:val="1"/>
    <w:next w:val="46"/>
    <w:qFormat/>
    <w:uiPriority w:val="0"/>
    <w:pPr>
      <w:spacing w:before="240" w:beforeLines="0" w:line="360" w:lineRule="auto"/>
      <w:ind w:firstLine="482"/>
    </w:pPr>
    <w:rPr>
      <w:rFonts w:ascii="宋体"/>
      <w:kern w:val="2"/>
      <w:sz w:val="24"/>
    </w:rPr>
  </w:style>
  <w:style w:type="paragraph" w:customStyle="1" w:styleId="98">
    <w:name w:val="表格内文字-杨帆"/>
    <w:basedOn w:val="1"/>
    <w:qFormat/>
    <w:uiPriority w:val="0"/>
    <w:pPr>
      <w:tabs>
        <w:tab w:val="left" w:pos="0"/>
      </w:tabs>
      <w:spacing w:line="240" w:lineRule="auto"/>
      <w:ind w:left="-24" w:leftChars="-10" w:right="-24" w:rightChars="-10" w:firstLine="0" w:firstLineChars="0"/>
      <w:jc w:val="center"/>
    </w:pPr>
    <w:rPr>
      <w:rFonts w:ascii="Times New Roman" w:hAnsi="Times New Roman" w:eastAsia="楷体_GB2312"/>
      <w:sz w:val="21"/>
      <w:szCs w:val="21"/>
    </w:rPr>
  </w:style>
  <w:style w:type="paragraph" w:customStyle="1" w:styleId="99">
    <w:name w:val="表格内容Q"/>
    <w:basedOn w:val="1"/>
    <w:autoRedefine/>
    <w:qFormat/>
    <w:uiPriority w:val="0"/>
    <w:pPr>
      <w:widowControl/>
      <w:jc w:val="center"/>
    </w:pPr>
    <w:rPr>
      <w:rFonts w:cs="宋体"/>
      <w:kern w:val="0"/>
      <w:sz w:val="20"/>
    </w:rPr>
  </w:style>
  <w:style w:type="paragraph" w:customStyle="1" w:styleId="100">
    <w:name w:val="11表格"/>
    <w:basedOn w:val="1"/>
    <w:autoRedefine/>
    <w:qFormat/>
    <w:uiPriority w:val="0"/>
    <w:pPr>
      <w:spacing w:line="360" w:lineRule="exact"/>
      <w:jc w:val="center"/>
    </w:pPr>
    <w:rPr>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6" Type="http://schemas.openxmlformats.org/officeDocument/2006/relationships/fontTable" Target="fontTable.xml"/><Relationship Id="rId55" Type="http://schemas.microsoft.com/office/2006/relationships/keyMapCustomizations" Target="customizations.xml"/><Relationship Id="rId54" Type="http://schemas.openxmlformats.org/officeDocument/2006/relationships/numbering" Target="numbering.xml"/><Relationship Id="rId53" Type="http://schemas.openxmlformats.org/officeDocument/2006/relationships/customXml" Target="../customXml/item1.xml"/><Relationship Id="rId52" Type="http://schemas.openxmlformats.org/officeDocument/2006/relationships/image" Target="media/image43.png"/><Relationship Id="rId51" Type="http://schemas.openxmlformats.org/officeDocument/2006/relationships/image" Target="media/image42.png"/><Relationship Id="rId50" Type="http://schemas.openxmlformats.org/officeDocument/2006/relationships/image" Target="media/image41.png"/><Relationship Id="rId5" Type="http://schemas.openxmlformats.org/officeDocument/2006/relationships/footer" Target="footer3.xml"/><Relationship Id="rId49" Type="http://schemas.openxmlformats.org/officeDocument/2006/relationships/image" Target="media/image40.png"/><Relationship Id="rId48" Type="http://schemas.openxmlformats.org/officeDocument/2006/relationships/image" Target="media/image39.png"/><Relationship Id="rId47" Type="http://schemas.openxmlformats.org/officeDocument/2006/relationships/image" Target="media/image38.png"/><Relationship Id="rId46" Type="http://schemas.openxmlformats.org/officeDocument/2006/relationships/image" Target="media/image37.png"/><Relationship Id="rId45" Type="http://schemas.openxmlformats.org/officeDocument/2006/relationships/image" Target="media/image36.png"/><Relationship Id="rId44" Type="http://schemas.openxmlformats.org/officeDocument/2006/relationships/image" Target="media/image35.png"/><Relationship Id="rId43" Type="http://schemas.openxmlformats.org/officeDocument/2006/relationships/image" Target="media/image34.png"/><Relationship Id="rId42" Type="http://schemas.openxmlformats.org/officeDocument/2006/relationships/image" Target="media/image33.wmf"/><Relationship Id="rId41" Type="http://schemas.openxmlformats.org/officeDocument/2006/relationships/image" Target="media/image32.wmf"/><Relationship Id="rId40" Type="http://schemas.openxmlformats.org/officeDocument/2006/relationships/image" Target="media/image31.png"/><Relationship Id="rId4" Type="http://schemas.openxmlformats.org/officeDocument/2006/relationships/footer" Target="footer2.xml"/><Relationship Id="rId39" Type="http://schemas.openxmlformats.org/officeDocument/2006/relationships/image" Target="media/image30.png"/><Relationship Id="rId38" Type="http://schemas.openxmlformats.org/officeDocument/2006/relationships/image" Target="media/image29.pn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jpeg"/><Relationship Id="rId3" Type="http://schemas.openxmlformats.org/officeDocument/2006/relationships/footer" Target="foot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jpe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140</Pages>
  <Words>38499</Words>
  <Characters>40668</Characters>
  <Lines>356</Lines>
  <Paragraphs>100</Paragraphs>
  <TotalTime>2</TotalTime>
  <ScaleCrop>false</ScaleCrop>
  <LinksUpToDate>false</LinksUpToDate>
  <CharactersWithSpaces>40932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2022-05-16T00:41:00Z</dcterms:created>
  <dc:creator>Te amo</dc:creator>
  <cp:lastModifiedBy>徐晶晶</cp:lastModifiedBy>
  <dcterms:modified xsi:type="dcterms:W3CDTF">2025-09-22T05:50:39Z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0649E1462B4F490386E3F7B32E611158_13</vt:lpwstr>
  </property>
  <property fmtid="{D5CDD505-2E9C-101B-9397-08002B2CF9AE}" pid="4" name="KSOTemplateDocerSaveRecord">
    <vt:lpwstr>eyJoZGlkIjoiNGI5NjhjYWE4ZDdiZjMyOWM2NWZlZDIxNjdhMDAwNzMiLCJ1c2VySWQiOiIzMzczOTc3NTMifQ==</vt:lpwstr>
  </property>
</Properties>
</file>